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tiff" ContentType="image/tiff"/>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686E067">
      <w:pPr>
        <w:spacing w:line="360" w:lineRule="auto"/>
        <w:rPr>
          <w:rFonts w:cs="Times New Roman"/>
          <w:color w:val="auto"/>
          <w:sz w:val="36"/>
          <w:szCs w:val="36"/>
        </w:rPr>
      </w:pPr>
    </w:p>
    <w:p w14:paraId="716824C6">
      <w:pPr>
        <w:spacing w:line="360" w:lineRule="auto"/>
        <w:rPr>
          <w:rFonts w:cs="Times New Roman"/>
          <w:color w:val="auto"/>
          <w:sz w:val="36"/>
          <w:szCs w:val="36"/>
        </w:rPr>
      </w:pPr>
    </w:p>
    <w:p w14:paraId="61B54D33">
      <w:pPr>
        <w:spacing w:line="360" w:lineRule="auto"/>
        <w:rPr>
          <w:rFonts w:cs="Times New Roman"/>
          <w:color w:val="auto"/>
          <w:sz w:val="36"/>
          <w:szCs w:val="36"/>
        </w:rPr>
      </w:pPr>
    </w:p>
    <w:p w14:paraId="65FEB82D">
      <w:pPr>
        <w:spacing w:line="360" w:lineRule="auto"/>
        <w:jc w:val="center"/>
        <w:outlineLvl w:val="0"/>
        <w:rPr>
          <w:rFonts w:ascii="方正小标宋_GBK" w:hAnsi="方正小标宋_GBK" w:eastAsia="方正小标宋_GBK" w:cs="方正小标宋_GBK"/>
          <w:color w:val="auto"/>
          <w:sz w:val="72"/>
          <w:szCs w:val="72"/>
        </w:rPr>
      </w:pPr>
      <w:bookmarkStart w:id="0" w:name="_Toc12732"/>
      <w:r>
        <w:rPr>
          <w:rFonts w:hint="eastAsia" w:ascii="方正小标宋_GBK" w:hAnsi="方正小标宋_GBK" w:eastAsia="方正小标宋_GBK" w:cs="方正小标宋_GBK"/>
          <w:color w:val="auto"/>
          <w:sz w:val="72"/>
          <w:szCs w:val="72"/>
        </w:rPr>
        <w:t>建设项目环境影响报告表</w:t>
      </w:r>
      <w:bookmarkEnd w:id="0"/>
    </w:p>
    <w:p w14:paraId="0AC2982C">
      <w:pPr>
        <w:jc w:val="center"/>
        <w:rPr>
          <w:rFonts w:cs="Times New Roman"/>
          <w:b/>
          <w:bCs/>
          <w:color w:val="auto"/>
          <w:sz w:val="48"/>
          <w:szCs w:val="48"/>
        </w:rPr>
      </w:pPr>
      <w:r>
        <w:rPr>
          <w:rFonts w:cs="Times New Roman"/>
          <w:b/>
          <w:bCs/>
          <w:color w:val="auto"/>
          <w:sz w:val="48"/>
          <w:szCs w:val="48"/>
        </w:rPr>
        <w:t>（污染影响类）</w:t>
      </w:r>
    </w:p>
    <w:p w14:paraId="13E4AA9A">
      <w:pPr>
        <w:spacing w:line="360" w:lineRule="auto"/>
        <w:jc w:val="center"/>
        <w:outlineLvl w:val="0"/>
        <w:rPr>
          <w:rFonts w:cs="Times New Roman"/>
          <w:b/>
          <w:bCs/>
          <w:color w:val="auto"/>
          <w:sz w:val="36"/>
          <w:szCs w:val="36"/>
        </w:rPr>
      </w:pPr>
      <w:bookmarkStart w:id="1" w:name="_Toc28761"/>
      <w:r>
        <w:rPr>
          <w:rFonts w:cs="Times New Roman"/>
          <w:b/>
          <w:bCs/>
          <w:color w:val="auto"/>
          <w:sz w:val="36"/>
          <w:szCs w:val="36"/>
        </w:rPr>
        <w:t>（</w:t>
      </w:r>
      <w:r>
        <w:rPr>
          <w:rFonts w:hint="eastAsia" w:cs="Times New Roman"/>
          <w:b/>
          <w:bCs/>
          <w:color w:val="auto"/>
          <w:sz w:val="36"/>
          <w:szCs w:val="36"/>
          <w:lang w:val="en-US" w:eastAsia="zh-CN"/>
        </w:rPr>
        <w:t>公示</w:t>
      </w:r>
      <w:r>
        <w:rPr>
          <w:rFonts w:hint="eastAsia" w:cs="Times New Roman"/>
          <w:b/>
          <w:bCs/>
          <w:color w:val="auto"/>
          <w:sz w:val="36"/>
          <w:szCs w:val="36"/>
          <w:lang w:eastAsia="zh-CN"/>
        </w:rPr>
        <w:t>本</w:t>
      </w:r>
      <w:r>
        <w:rPr>
          <w:rFonts w:cs="Times New Roman"/>
          <w:b/>
          <w:bCs/>
          <w:color w:val="auto"/>
          <w:sz w:val="36"/>
          <w:szCs w:val="36"/>
        </w:rPr>
        <w:t>）</w:t>
      </w:r>
      <w:bookmarkEnd w:id="1"/>
    </w:p>
    <w:p w14:paraId="01549C12">
      <w:pPr>
        <w:spacing w:line="360" w:lineRule="auto"/>
        <w:rPr>
          <w:rFonts w:cs="Times New Roman"/>
          <w:b/>
          <w:bCs/>
          <w:color w:val="auto"/>
          <w:sz w:val="36"/>
          <w:szCs w:val="36"/>
        </w:rPr>
      </w:pPr>
    </w:p>
    <w:p w14:paraId="579C204C">
      <w:pPr>
        <w:spacing w:line="360" w:lineRule="auto"/>
        <w:rPr>
          <w:rFonts w:cs="Times New Roman"/>
          <w:b/>
          <w:bCs/>
          <w:color w:val="auto"/>
          <w:sz w:val="36"/>
          <w:szCs w:val="36"/>
        </w:rPr>
      </w:pPr>
    </w:p>
    <w:p w14:paraId="5E365D41">
      <w:pPr>
        <w:spacing w:line="360" w:lineRule="auto"/>
        <w:rPr>
          <w:rFonts w:cs="Times New Roman"/>
          <w:b/>
          <w:bCs/>
          <w:color w:val="auto"/>
          <w:sz w:val="36"/>
          <w:szCs w:val="36"/>
        </w:rPr>
      </w:pPr>
    </w:p>
    <w:p w14:paraId="008AB31D">
      <w:pPr>
        <w:spacing w:line="360" w:lineRule="auto"/>
        <w:rPr>
          <w:rFonts w:cs="Times New Roman"/>
          <w:b/>
          <w:bCs/>
          <w:color w:val="auto"/>
          <w:sz w:val="36"/>
          <w:szCs w:val="36"/>
        </w:rPr>
      </w:pPr>
    </w:p>
    <w:p w14:paraId="07CF2B7B">
      <w:pPr>
        <w:spacing w:line="360" w:lineRule="auto"/>
        <w:ind w:left="2527" w:leftChars="171" w:right="-193" w:rightChars="-92" w:hanging="2168" w:hangingChars="600"/>
        <w:outlineLvl w:val="0"/>
        <w:rPr>
          <w:rFonts w:cs="Times New Roman"/>
          <w:b/>
          <w:bCs/>
          <w:color w:val="auto"/>
          <w:sz w:val="36"/>
          <w:szCs w:val="36"/>
          <w:u w:val="single"/>
        </w:rPr>
      </w:pPr>
      <w:bookmarkStart w:id="2" w:name="_Toc4514"/>
      <w:r>
        <w:rPr>
          <w:rFonts w:cs="Times New Roman"/>
          <w:b/>
          <w:bCs/>
          <w:color w:val="auto"/>
          <w:sz w:val="36"/>
          <w:szCs w:val="36"/>
        </w:rPr>
        <w:t>项目名称：</w:t>
      </w:r>
      <w:r>
        <w:rPr>
          <w:rFonts w:cs="Times New Roman"/>
          <w:b/>
          <w:bCs/>
          <w:color w:val="auto"/>
          <w:sz w:val="36"/>
          <w:szCs w:val="36"/>
          <w:u w:val="single"/>
        </w:rPr>
        <w:t xml:space="preserve"> </w:t>
      </w:r>
      <w:bookmarkEnd w:id="2"/>
      <w:r>
        <w:rPr>
          <w:rFonts w:hint="eastAsia" w:cs="Times New Roman"/>
          <w:b/>
          <w:bCs/>
          <w:color w:val="auto"/>
          <w:sz w:val="36"/>
          <w:szCs w:val="36"/>
          <w:u w:val="single"/>
          <w:lang w:eastAsia="zh-CN"/>
        </w:rPr>
        <w:t>达州鼎磊装饰用石切割雕刻生产线建设项目</w:t>
      </w:r>
      <w:r>
        <w:rPr>
          <w:rFonts w:cs="Times New Roman"/>
          <w:b/>
          <w:bCs/>
          <w:color w:val="auto"/>
          <w:sz w:val="36"/>
          <w:szCs w:val="36"/>
          <w:u w:val="single"/>
        </w:rPr>
        <w:t xml:space="preserve">   </w:t>
      </w:r>
    </w:p>
    <w:p w14:paraId="51BD3268">
      <w:pPr>
        <w:spacing w:line="360" w:lineRule="auto"/>
        <w:ind w:firstLine="361" w:firstLineChars="100"/>
        <w:rPr>
          <w:rFonts w:cs="Times New Roman"/>
          <w:b/>
          <w:bCs/>
          <w:color w:val="auto"/>
          <w:sz w:val="36"/>
          <w:szCs w:val="36"/>
          <w:u w:val="single"/>
        </w:rPr>
      </w:pPr>
      <w:r>
        <w:rPr>
          <w:rFonts w:cs="Times New Roman"/>
          <w:b/>
          <w:bCs/>
          <w:color w:val="auto"/>
          <w:sz w:val="36"/>
          <w:szCs w:val="36"/>
        </w:rPr>
        <w:t>建设单位（盖章）：</w:t>
      </w:r>
      <w:r>
        <w:rPr>
          <w:rFonts w:cs="Times New Roman"/>
          <w:b/>
          <w:bCs/>
          <w:color w:val="auto"/>
          <w:sz w:val="36"/>
          <w:szCs w:val="36"/>
          <w:u w:val="single"/>
        </w:rPr>
        <w:t xml:space="preserve">  </w:t>
      </w:r>
      <w:r>
        <w:rPr>
          <w:rFonts w:hint="eastAsia" w:cs="Times New Roman"/>
          <w:b/>
          <w:bCs/>
          <w:color w:val="auto"/>
          <w:sz w:val="36"/>
          <w:szCs w:val="36"/>
          <w:u w:val="single"/>
          <w:lang w:val="en-US" w:eastAsia="zh-CN"/>
        </w:rPr>
        <w:t xml:space="preserve"> </w:t>
      </w:r>
      <w:r>
        <w:rPr>
          <w:rFonts w:cs="Times New Roman"/>
          <w:b/>
          <w:bCs/>
          <w:color w:val="auto"/>
          <w:sz w:val="36"/>
          <w:szCs w:val="36"/>
          <w:u w:val="single"/>
        </w:rPr>
        <w:t xml:space="preserve">  </w:t>
      </w:r>
      <w:r>
        <w:rPr>
          <w:rFonts w:hint="eastAsia" w:cs="Times New Roman"/>
          <w:b/>
          <w:bCs/>
          <w:color w:val="auto"/>
          <w:sz w:val="36"/>
          <w:szCs w:val="36"/>
          <w:u w:val="single"/>
          <w:lang w:eastAsia="zh-CN"/>
        </w:rPr>
        <w:t>达州市鼎磊石材有限公司</w:t>
      </w:r>
      <w:r>
        <w:rPr>
          <w:rFonts w:cs="Times New Roman"/>
          <w:b/>
          <w:bCs/>
          <w:color w:val="auto"/>
          <w:sz w:val="36"/>
          <w:szCs w:val="36"/>
          <w:u w:val="single"/>
        </w:rPr>
        <w:t xml:space="preserve">   </w:t>
      </w:r>
      <w:r>
        <w:rPr>
          <w:rFonts w:hint="eastAsia" w:cs="Times New Roman"/>
          <w:b/>
          <w:bCs/>
          <w:color w:val="auto"/>
          <w:sz w:val="36"/>
          <w:szCs w:val="36"/>
          <w:u w:val="single"/>
          <w:lang w:val="en-US" w:eastAsia="zh-CN"/>
        </w:rPr>
        <w:t xml:space="preserve">  </w:t>
      </w:r>
      <w:r>
        <w:rPr>
          <w:rFonts w:cs="Times New Roman"/>
          <w:b/>
          <w:bCs/>
          <w:color w:val="auto"/>
          <w:sz w:val="36"/>
          <w:szCs w:val="36"/>
          <w:u w:val="single"/>
        </w:rPr>
        <w:t xml:space="preserve">  </w:t>
      </w:r>
    </w:p>
    <w:p w14:paraId="24D22FD7">
      <w:pPr>
        <w:spacing w:line="360" w:lineRule="auto"/>
        <w:ind w:firstLine="361" w:firstLineChars="100"/>
        <w:rPr>
          <w:rFonts w:cs="Times New Roman"/>
          <w:b/>
          <w:bCs/>
          <w:color w:val="auto"/>
          <w:sz w:val="36"/>
          <w:szCs w:val="36"/>
        </w:rPr>
      </w:pPr>
      <w:r>
        <w:rPr>
          <w:rFonts w:cs="Times New Roman"/>
          <w:b/>
          <w:bCs/>
          <w:color w:val="auto"/>
          <w:sz w:val="36"/>
          <w:szCs w:val="36"/>
        </w:rPr>
        <w:t>编制日期：</w:t>
      </w:r>
      <w:r>
        <w:rPr>
          <w:rFonts w:cs="Times New Roman"/>
          <w:b/>
          <w:bCs/>
          <w:color w:val="auto"/>
          <w:sz w:val="36"/>
          <w:szCs w:val="36"/>
          <w:u w:val="single"/>
        </w:rPr>
        <w:t xml:space="preserve">                  2024年</w:t>
      </w:r>
      <w:r>
        <w:rPr>
          <w:rFonts w:hint="eastAsia" w:cs="Times New Roman"/>
          <w:b/>
          <w:bCs/>
          <w:color w:val="auto"/>
          <w:sz w:val="36"/>
          <w:szCs w:val="36"/>
          <w:u w:val="single"/>
          <w:lang w:val="en-US" w:eastAsia="zh-CN"/>
        </w:rPr>
        <w:t>11</w:t>
      </w:r>
      <w:r>
        <w:rPr>
          <w:rFonts w:cs="Times New Roman"/>
          <w:b/>
          <w:bCs/>
          <w:color w:val="auto"/>
          <w:sz w:val="36"/>
          <w:szCs w:val="36"/>
          <w:u w:val="single"/>
        </w:rPr>
        <w:t xml:space="preserve">月         </w:t>
      </w:r>
      <w:r>
        <w:rPr>
          <w:rFonts w:hint="eastAsia" w:cs="Times New Roman"/>
          <w:b/>
          <w:bCs/>
          <w:color w:val="auto"/>
          <w:sz w:val="36"/>
          <w:szCs w:val="36"/>
          <w:u w:val="single"/>
          <w:lang w:val="en-US" w:eastAsia="zh-CN"/>
        </w:rPr>
        <w:t xml:space="preserve"> </w:t>
      </w:r>
      <w:r>
        <w:rPr>
          <w:rFonts w:cs="Times New Roman"/>
          <w:b/>
          <w:bCs/>
          <w:color w:val="auto"/>
          <w:sz w:val="36"/>
          <w:szCs w:val="36"/>
          <w:u w:val="single"/>
        </w:rPr>
        <w:t xml:space="preserve">   </w:t>
      </w:r>
    </w:p>
    <w:p w14:paraId="7D08F4F8">
      <w:pPr>
        <w:spacing w:line="360" w:lineRule="auto"/>
        <w:rPr>
          <w:rFonts w:cs="Times New Roman"/>
          <w:b/>
          <w:bCs/>
          <w:color w:val="auto"/>
          <w:sz w:val="36"/>
          <w:szCs w:val="36"/>
        </w:rPr>
      </w:pPr>
    </w:p>
    <w:p w14:paraId="3CFC99C4">
      <w:pPr>
        <w:spacing w:line="360" w:lineRule="auto"/>
        <w:rPr>
          <w:rFonts w:cs="Times New Roman"/>
          <w:b/>
          <w:bCs/>
          <w:color w:val="auto"/>
          <w:sz w:val="36"/>
          <w:szCs w:val="36"/>
        </w:rPr>
      </w:pPr>
    </w:p>
    <w:p w14:paraId="7F1B95A1">
      <w:pPr>
        <w:spacing w:line="360" w:lineRule="auto"/>
        <w:rPr>
          <w:rFonts w:cs="Times New Roman"/>
          <w:b/>
          <w:bCs/>
          <w:color w:val="auto"/>
          <w:sz w:val="36"/>
          <w:szCs w:val="36"/>
        </w:rPr>
      </w:pPr>
    </w:p>
    <w:p w14:paraId="369D4291">
      <w:pPr>
        <w:pStyle w:val="20"/>
        <w:rPr>
          <w:rFonts w:cs="Times New Roman"/>
          <w:b/>
          <w:bCs/>
          <w:color w:val="auto"/>
          <w:sz w:val="36"/>
          <w:szCs w:val="36"/>
        </w:rPr>
      </w:pPr>
    </w:p>
    <w:p w14:paraId="58F74E2A">
      <w:pPr>
        <w:rPr>
          <w:rFonts w:cs="Times New Roman"/>
          <w:b/>
          <w:bCs/>
          <w:color w:val="auto"/>
          <w:sz w:val="36"/>
          <w:szCs w:val="36"/>
        </w:rPr>
      </w:pPr>
    </w:p>
    <w:p w14:paraId="72346717">
      <w:pPr>
        <w:pStyle w:val="20"/>
        <w:rPr>
          <w:color w:val="auto"/>
        </w:rPr>
      </w:pPr>
    </w:p>
    <w:p w14:paraId="473053E5">
      <w:pPr>
        <w:spacing w:line="360" w:lineRule="auto"/>
        <w:jc w:val="center"/>
        <w:outlineLvl w:val="0"/>
        <w:rPr>
          <w:rFonts w:cs="Times New Roman"/>
          <w:b/>
          <w:bCs/>
          <w:color w:val="auto"/>
          <w:sz w:val="36"/>
          <w:szCs w:val="36"/>
        </w:rPr>
      </w:pPr>
      <w:bookmarkStart w:id="3" w:name="_Toc28499"/>
      <w:r>
        <w:rPr>
          <w:rFonts w:cs="Times New Roman"/>
          <w:b/>
          <w:bCs/>
          <w:color w:val="auto"/>
          <w:sz w:val="36"/>
          <w:szCs w:val="36"/>
        </w:rPr>
        <w:t>中华人民共和国生态环境部</w:t>
      </w:r>
      <w:r>
        <w:rPr>
          <w:rFonts w:hint="eastAsia" w:cs="Times New Roman"/>
          <w:b/>
          <w:bCs/>
          <w:color w:val="auto"/>
          <w:sz w:val="36"/>
          <w:szCs w:val="36"/>
          <w:lang w:val="en-US" w:eastAsia="zh-CN"/>
        </w:rPr>
        <w:t xml:space="preserve">  </w:t>
      </w:r>
      <w:r>
        <w:rPr>
          <w:rFonts w:cs="Times New Roman"/>
          <w:b/>
          <w:bCs/>
          <w:color w:val="auto"/>
          <w:sz w:val="36"/>
          <w:szCs w:val="36"/>
        </w:rPr>
        <w:t>制</w:t>
      </w:r>
      <w:bookmarkEnd w:id="3"/>
    </w:p>
    <w:p w14:paraId="3B44A6DF">
      <w:pPr>
        <w:rPr>
          <w:rFonts w:cs="Times New Roman"/>
          <w:b/>
          <w:bCs/>
          <w:color w:val="auto"/>
          <w:sz w:val="28"/>
          <w:szCs w:val="28"/>
        </w:rPr>
      </w:pPr>
      <w:r>
        <w:rPr>
          <w:rFonts w:cs="Times New Roman"/>
          <w:b/>
          <w:bCs/>
          <w:color w:val="auto"/>
          <w:sz w:val="28"/>
          <w:szCs w:val="28"/>
        </w:rPr>
        <w:br w:type="page"/>
      </w:r>
    </w:p>
    <w:sdt>
      <w:sdtPr>
        <w:rPr>
          <w:rFonts w:ascii="宋体" w:hAnsi="宋体"/>
          <w:color w:val="auto"/>
        </w:rPr>
        <w:id w:val="147467173"/>
        <w15:color w:val="DBDBDB"/>
        <w:docPartObj>
          <w:docPartGallery w:val="Table of Contents"/>
          <w:docPartUnique/>
        </w:docPartObj>
      </w:sdtPr>
      <w:sdtEndPr>
        <w:rPr>
          <w:rFonts w:ascii="Times New Roman" w:hAnsi="Times New Roman"/>
          <w:color w:val="auto"/>
        </w:rPr>
      </w:sdtEndPr>
      <w:sdtContent>
        <w:p w14:paraId="5C906735">
          <w:pPr>
            <w:pStyle w:val="109"/>
            <w:tabs>
              <w:tab w:val="right" w:leader="dot" w:pos="9460"/>
            </w:tabs>
            <w:spacing w:line="360" w:lineRule="auto"/>
            <w:ind w:right="1111" w:rightChars="529" w:firstLine="1050" w:firstLineChars="525"/>
            <w:jc w:val="center"/>
            <w:rPr>
              <w:rFonts w:ascii="宋体" w:hAnsi="宋体" w:cs="宋体"/>
              <w:b/>
              <w:bCs/>
              <w:color w:val="auto"/>
              <w:sz w:val="32"/>
              <w:szCs w:val="32"/>
            </w:rPr>
          </w:pPr>
          <w:r>
            <w:rPr>
              <w:rFonts w:hint="eastAsia" w:ascii="宋体" w:hAnsi="宋体" w:cs="宋体"/>
              <w:b/>
              <w:bCs/>
              <w:color w:val="auto"/>
              <w:sz w:val="32"/>
              <w:szCs w:val="32"/>
            </w:rPr>
            <w:t>目  录</w:t>
          </w:r>
        </w:p>
        <w:p w14:paraId="4C83022C">
          <w:pPr>
            <w:pStyle w:val="109"/>
            <w:tabs>
              <w:tab w:val="right" w:leader="dot" w:pos="9460"/>
            </w:tabs>
            <w:spacing w:line="360" w:lineRule="auto"/>
            <w:ind w:right="1111" w:rightChars="529" w:firstLine="1260" w:firstLineChars="525"/>
            <w:rPr>
              <w:rFonts w:ascii="宋体" w:hAnsi="宋体" w:cs="宋体"/>
              <w:color w:val="auto"/>
              <w:sz w:val="24"/>
              <w:szCs w:val="24"/>
            </w:rPr>
          </w:pPr>
        </w:p>
        <w:p w14:paraId="462F80A6">
          <w:pPr>
            <w:pStyle w:val="109"/>
            <w:tabs>
              <w:tab w:val="right" w:leader="dot" w:pos="9460"/>
            </w:tabs>
            <w:spacing w:line="360" w:lineRule="auto"/>
            <w:ind w:left="0" w:leftChars="0" w:right="1111" w:rightChars="529" w:firstLine="1020" w:firstLineChars="425"/>
            <w:rPr>
              <w:rFonts w:ascii="宋体" w:hAnsi="宋体" w:cs="宋体"/>
              <w:color w:val="auto"/>
              <w:sz w:val="24"/>
              <w:szCs w:val="24"/>
            </w:rPr>
          </w:pPr>
          <w:r>
            <w:rPr>
              <w:rFonts w:hint="eastAsia" w:ascii="宋体" w:hAnsi="宋体" w:cs="宋体"/>
              <w:color w:val="auto"/>
              <w:sz w:val="24"/>
              <w:szCs w:val="24"/>
            </w:rPr>
            <w:fldChar w:fldCharType="begin"/>
          </w:r>
          <w:r>
            <w:rPr>
              <w:rFonts w:hint="eastAsia" w:ascii="宋体" w:hAnsi="宋体" w:cs="宋体"/>
              <w:color w:val="auto"/>
              <w:sz w:val="24"/>
              <w:szCs w:val="24"/>
            </w:rPr>
            <w:instrText xml:space="preserve">TOC \o "1-1" \h \u </w:instrText>
          </w:r>
          <w:r>
            <w:rPr>
              <w:rFonts w:hint="eastAsia" w:ascii="宋体" w:hAnsi="宋体" w:cs="宋体"/>
              <w:color w:val="auto"/>
              <w:sz w:val="24"/>
              <w:szCs w:val="24"/>
            </w:rPr>
            <w:fldChar w:fldCharType="separate"/>
          </w:r>
          <w:r>
            <w:rPr>
              <w:color w:val="auto"/>
            </w:rPr>
            <w:fldChar w:fldCharType="begin"/>
          </w:r>
          <w:r>
            <w:rPr>
              <w:color w:val="auto"/>
            </w:rPr>
            <w:instrText xml:space="preserve"> HYPERLINK \l "_Toc5166" </w:instrText>
          </w:r>
          <w:r>
            <w:rPr>
              <w:color w:val="auto"/>
            </w:rPr>
            <w:fldChar w:fldCharType="separate"/>
          </w:r>
          <w:r>
            <w:rPr>
              <w:rFonts w:hint="eastAsia" w:ascii="宋体" w:hAnsi="宋体" w:cs="宋体"/>
              <w:color w:val="auto"/>
              <w:sz w:val="24"/>
              <w:szCs w:val="24"/>
            </w:rPr>
            <w:t>一、建设项目基本情况</w:t>
          </w:r>
          <w:r>
            <w:rPr>
              <w:rFonts w:hint="eastAsia" w:ascii="宋体" w:hAnsi="宋体" w:cs="宋体"/>
              <w:color w:val="auto"/>
              <w:sz w:val="24"/>
              <w:szCs w:val="24"/>
            </w:rPr>
            <w:tab/>
          </w:r>
          <w:r>
            <w:rPr>
              <w:rFonts w:hint="eastAsia" w:ascii="宋体" w:hAnsi="宋体" w:cs="宋体"/>
              <w:color w:val="auto"/>
              <w:sz w:val="24"/>
              <w:szCs w:val="24"/>
            </w:rPr>
            <w:fldChar w:fldCharType="begin"/>
          </w:r>
          <w:r>
            <w:rPr>
              <w:rFonts w:hint="eastAsia" w:ascii="宋体" w:hAnsi="宋体" w:cs="宋体"/>
              <w:color w:val="auto"/>
              <w:sz w:val="24"/>
              <w:szCs w:val="24"/>
            </w:rPr>
            <w:instrText xml:space="preserve"> PAGEREF _Toc5166 \h </w:instrText>
          </w:r>
          <w:r>
            <w:rPr>
              <w:rFonts w:hint="eastAsia" w:ascii="宋体" w:hAnsi="宋体" w:cs="宋体"/>
              <w:color w:val="auto"/>
              <w:sz w:val="24"/>
              <w:szCs w:val="24"/>
            </w:rPr>
            <w:fldChar w:fldCharType="separate"/>
          </w:r>
          <w:r>
            <w:rPr>
              <w:rFonts w:hint="eastAsia" w:ascii="宋体" w:hAnsi="宋体" w:cs="宋体"/>
              <w:color w:val="auto"/>
              <w:sz w:val="24"/>
              <w:szCs w:val="24"/>
            </w:rPr>
            <w:t>- 1 -</w:t>
          </w:r>
          <w:r>
            <w:rPr>
              <w:rFonts w:hint="eastAsia" w:ascii="宋体" w:hAnsi="宋体" w:cs="宋体"/>
              <w:color w:val="auto"/>
              <w:sz w:val="24"/>
              <w:szCs w:val="24"/>
            </w:rPr>
            <w:fldChar w:fldCharType="end"/>
          </w:r>
          <w:r>
            <w:rPr>
              <w:rFonts w:hint="eastAsia" w:ascii="宋体" w:hAnsi="宋体" w:cs="宋体"/>
              <w:color w:val="auto"/>
              <w:sz w:val="24"/>
              <w:szCs w:val="24"/>
            </w:rPr>
            <w:fldChar w:fldCharType="end"/>
          </w:r>
        </w:p>
        <w:p w14:paraId="77EDB5F8">
          <w:pPr>
            <w:pStyle w:val="109"/>
            <w:tabs>
              <w:tab w:val="right" w:leader="dot" w:pos="9460"/>
            </w:tabs>
            <w:spacing w:line="360" w:lineRule="auto"/>
            <w:ind w:right="1111" w:rightChars="529" w:firstLine="1050" w:firstLineChars="525"/>
            <w:rPr>
              <w:rFonts w:ascii="宋体" w:hAnsi="宋体" w:cs="宋体"/>
              <w:color w:val="auto"/>
              <w:sz w:val="24"/>
              <w:szCs w:val="24"/>
            </w:rPr>
          </w:pPr>
          <w:r>
            <w:rPr>
              <w:color w:val="auto"/>
            </w:rPr>
            <w:fldChar w:fldCharType="begin"/>
          </w:r>
          <w:r>
            <w:rPr>
              <w:color w:val="auto"/>
            </w:rPr>
            <w:instrText xml:space="preserve"> HYPERLINK \l "_Toc20161" </w:instrText>
          </w:r>
          <w:r>
            <w:rPr>
              <w:color w:val="auto"/>
            </w:rPr>
            <w:fldChar w:fldCharType="separate"/>
          </w:r>
          <w:r>
            <w:rPr>
              <w:rFonts w:hint="eastAsia" w:ascii="宋体" w:hAnsi="宋体" w:cs="宋体"/>
              <w:color w:val="auto"/>
              <w:sz w:val="24"/>
              <w:szCs w:val="24"/>
            </w:rPr>
            <w:t>二、建设项目工程分析</w:t>
          </w:r>
          <w:r>
            <w:rPr>
              <w:rFonts w:hint="eastAsia" w:ascii="宋体" w:hAnsi="宋体" w:cs="宋体"/>
              <w:color w:val="auto"/>
              <w:sz w:val="24"/>
              <w:szCs w:val="24"/>
            </w:rPr>
            <w:tab/>
          </w:r>
          <w:r>
            <w:rPr>
              <w:rFonts w:hint="eastAsia" w:ascii="宋体" w:hAnsi="宋体" w:cs="宋体"/>
              <w:color w:val="auto"/>
              <w:sz w:val="24"/>
              <w:szCs w:val="24"/>
            </w:rPr>
            <w:fldChar w:fldCharType="begin"/>
          </w:r>
          <w:r>
            <w:rPr>
              <w:rFonts w:hint="eastAsia" w:ascii="宋体" w:hAnsi="宋体" w:cs="宋体"/>
              <w:color w:val="auto"/>
              <w:sz w:val="24"/>
              <w:szCs w:val="24"/>
            </w:rPr>
            <w:instrText xml:space="preserve"> PAGEREF _Toc20161 \h </w:instrText>
          </w:r>
          <w:r>
            <w:rPr>
              <w:rFonts w:hint="eastAsia" w:ascii="宋体" w:hAnsi="宋体" w:cs="宋体"/>
              <w:color w:val="auto"/>
              <w:sz w:val="24"/>
              <w:szCs w:val="24"/>
            </w:rPr>
            <w:fldChar w:fldCharType="separate"/>
          </w:r>
          <w:r>
            <w:rPr>
              <w:rFonts w:hint="eastAsia" w:ascii="宋体" w:hAnsi="宋体" w:cs="宋体"/>
              <w:color w:val="auto"/>
              <w:sz w:val="24"/>
              <w:szCs w:val="24"/>
            </w:rPr>
            <w:t>- 23 -</w:t>
          </w:r>
          <w:r>
            <w:rPr>
              <w:rFonts w:hint="eastAsia" w:ascii="宋体" w:hAnsi="宋体" w:cs="宋体"/>
              <w:color w:val="auto"/>
              <w:sz w:val="24"/>
              <w:szCs w:val="24"/>
            </w:rPr>
            <w:fldChar w:fldCharType="end"/>
          </w:r>
          <w:r>
            <w:rPr>
              <w:rFonts w:hint="eastAsia" w:ascii="宋体" w:hAnsi="宋体" w:cs="宋体"/>
              <w:color w:val="auto"/>
              <w:sz w:val="24"/>
              <w:szCs w:val="24"/>
            </w:rPr>
            <w:fldChar w:fldCharType="end"/>
          </w:r>
        </w:p>
        <w:p w14:paraId="4FFF4F88">
          <w:pPr>
            <w:pStyle w:val="109"/>
            <w:tabs>
              <w:tab w:val="right" w:leader="dot" w:pos="9460"/>
            </w:tabs>
            <w:spacing w:line="360" w:lineRule="auto"/>
            <w:ind w:right="1111" w:rightChars="529" w:firstLine="1050" w:firstLineChars="525"/>
            <w:rPr>
              <w:rFonts w:ascii="宋体" w:hAnsi="宋体" w:cs="宋体"/>
              <w:color w:val="auto"/>
              <w:sz w:val="24"/>
              <w:szCs w:val="24"/>
            </w:rPr>
          </w:pPr>
          <w:r>
            <w:rPr>
              <w:color w:val="auto"/>
            </w:rPr>
            <w:fldChar w:fldCharType="begin"/>
          </w:r>
          <w:r>
            <w:rPr>
              <w:color w:val="auto"/>
            </w:rPr>
            <w:instrText xml:space="preserve"> HYPERLINK \l "_Toc9139" </w:instrText>
          </w:r>
          <w:r>
            <w:rPr>
              <w:color w:val="auto"/>
            </w:rPr>
            <w:fldChar w:fldCharType="separate"/>
          </w:r>
          <w:r>
            <w:rPr>
              <w:rFonts w:hint="eastAsia" w:ascii="宋体" w:hAnsi="宋体" w:cs="宋体"/>
              <w:color w:val="auto"/>
              <w:sz w:val="24"/>
              <w:szCs w:val="24"/>
            </w:rPr>
            <w:t>三、区域环境质量现状、环境保护目标及评价标准</w:t>
          </w:r>
          <w:r>
            <w:rPr>
              <w:rFonts w:hint="eastAsia" w:ascii="宋体" w:hAnsi="宋体" w:cs="宋体"/>
              <w:color w:val="auto"/>
              <w:sz w:val="24"/>
              <w:szCs w:val="24"/>
            </w:rPr>
            <w:tab/>
          </w:r>
          <w:r>
            <w:rPr>
              <w:rFonts w:hint="eastAsia" w:ascii="宋体" w:hAnsi="宋体" w:cs="宋体"/>
              <w:color w:val="auto"/>
              <w:sz w:val="24"/>
              <w:szCs w:val="24"/>
            </w:rPr>
            <w:fldChar w:fldCharType="begin"/>
          </w:r>
          <w:r>
            <w:rPr>
              <w:rFonts w:hint="eastAsia" w:ascii="宋体" w:hAnsi="宋体" w:cs="宋体"/>
              <w:color w:val="auto"/>
              <w:sz w:val="24"/>
              <w:szCs w:val="24"/>
            </w:rPr>
            <w:instrText xml:space="preserve"> PAGEREF _Toc9139 \h </w:instrText>
          </w:r>
          <w:r>
            <w:rPr>
              <w:rFonts w:hint="eastAsia" w:ascii="宋体" w:hAnsi="宋体" w:cs="宋体"/>
              <w:color w:val="auto"/>
              <w:sz w:val="24"/>
              <w:szCs w:val="24"/>
            </w:rPr>
            <w:fldChar w:fldCharType="separate"/>
          </w:r>
          <w:r>
            <w:rPr>
              <w:rFonts w:hint="eastAsia" w:ascii="宋体" w:hAnsi="宋体" w:cs="宋体"/>
              <w:color w:val="auto"/>
              <w:sz w:val="24"/>
              <w:szCs w:val="24"/>
            </w:rPr>
            <w:t>- 42 -</w:t>
          </w:r>
          <w:r>
            <w:rPr>
              <w:rFonts w:hint="eastAsia" w:ascii="宋体" w:hAnsi="宋体" w:cs="宋体"/>
              <w:color w:val="auto"/>
              <w:sz w:val="24"/>
              <w:szCs w:val="24"/>
            </w:rPr>
            <w:fldChar w:fldCharType="end"/>
          </w:r>
          <w:r>
            <w:rPr>
              <w:rFonts w:hint="eastAsia" w:ascii="宋体" w:hAnsi="宋体" w:cs="宋体"/>
              <w:color w:val="auto"/>
              <w:sz w:val="24"/>
              <w:szCs w:val="24"/>
            </w:rPr>
            <w:fldChar w:fldCharType="end"/>
          </w:r>
        </w:p>
        <w:p w14:paraId="0653AE94">
          <w:pPr>
            <w:pStyle w:val="109"/>
            <w:tabs>
              <w:tab w:val="right" w:leader="dot" w:pos="9460"/>
            </w:tabs>
            <w:spacing w:line="360" w:lineRule="auto"/>
            <w:ind w:right="1111" w:rightChars="529" w:firstLine="1050" w:firstLineChars="525"/>
            <w:rPr>
              <w:rFonts w:ascii="宋体" w:hAnsi="宋体" w:cs="宋体"/>
              <w:color w:val="auto"/>
              <w:sz w:val="24"/>
              <w:szCs w:val="24"/>
            </w:rPr>
          </w:pPr>
          <w:r>
            <w:rPr>
              <w:color w:val="auto"/>
            </w:rPr>
            <w:fldChar w:fldCharType="begin"/>
          </w:r>
          <w:r>
            <w:rPr>
              <w:color w:val="auto"/>
            </w:rPr>
            <w:instrText xml:space="preserve"> HYPERLINK \l "_Toc12263" </w:instrText>
          </w:r>
          <w:r>
            <w:rPr>
              <w:color w:val="auto"/>
            </w:rPr>
            <w:fldChar w:fldCharType="separate"/>
          </w:r>
          <w:r>
            <w:rPr>
              <w:rFonts w:hint="eastAsia" w:ascii="宋体" w:hAnsi="宋体" w:cs="宋体"/>
              <w:color w:val="auto"/>
              <w:sz w:val="24"/>
              <w:szCs w:val="24"/>
            </w:rPr>
            <w:t>四、主要环境影响和保护措施</w:t>
          </w:r>
          <w:r>
            <w:rPr>
              <w:rFonts w:hint="eastAsia" w:ascii="宋体" w:hAnsi="宋体" w:cs="宋体"/>
              <w:color w:val="auto"/>
              <w:sz w:val="24"/>
              <w:szCs w:val="24"/>
            </w:rPr>
            <w:tab/>
          </w:r>
          <w:r>
            <w:rPr>
              <w:rFonts w:hint="eastAsia" w:ascii="宋体" w:hAnsi="宋体" w:cs="宋体"/>
              <w:color w:val="auto"/>
              <w:sz w:val="24"/>
              <w:szCs w:val="24"/>
            </w:rPr>
            <w:fldChar w:fldCharType="begin"/>
          </w:r>
          <w:r>
            <w:rPr>
              <w:rFonts w:hint="eastAsia" w:ascii="宋体" w:hAnsi="宋体" w:cs="宋体"/>
              <w:color w:val="auto"/>
              <w:sz w:val="24"/>
              <w:szCs w:val="24"/>
            </w:rPr>
            <w:instrText xml:space="preserve"> PAGEREF _Toc12263 \h </w:instrText>
          </w:r>
          <w:r>
            <w:rPr>
              <w:rFonts w:hint="eastAsia" w:ascii="宋体" w:hAnsi="宋体" w:cs="宋体"/>
              <w:color w:val="auto"/>
              <w:sz w:val="24"/>
              <w:szCs w:val="24"/>
            </w:rPr>
            <w:fldChar w:fldCharType="separate"/>
          </w:r>
          <w:r>
            <w:rPr>
              <w:rFonts w:hint="eastAsia" w:ascii="宋体" w:hAnsi="宋体" w:cs="宋体"/>
              <w:color w:val="auto"/>
              <w:sz w:val="24"/>
              <w:szCs w:val="24"/>
            </w:rPr>
            <w:t>- 47 -</w:t>
          </w:r>
          <w:r>
            <w:rPr>
              <w:rFonts w:hint="eastAsia" w:ascii="宋体" w:hAnsi="宋体" w:cs="宋体"/>
              <w:color w:val="auto"/>
              <w:sz w:val="24"/>
              <w:szCs w:val="24"/>
            </w:rPr>
            <w:fldChar w:fldCharType="end"/>
          </w:r>
          <w:r>
            <w:rPr>
              <w:rFonts w:hint="eastAsia" w:ascii="宋体" w:hAnsi="宋体" w:cs="宋体"/>
              <w:color w:val="auto"/>
              <w:sz w:val="24"/>
              <w:szCs w:val="24"/>
            </w:rPr>
            <w:fldChar w:fldCharType="end"/>
          </w:r>
        </w:p>
        <w:p w14:paraId="6E31B9DF">
          <w:pPr>
            <w:pStyle w:val="109"/>
            <w:tabs>
              <w:tab w:val="right" w:leader="dot" w:pos="9460"/>
            </w:tabs>
            <w:spacing w:line="360" w:lineRule="auto"/>
            <w:ind w:right="1111" w:rightChars="529" w:firstLine="1050" w:firstLineChars="525"/>
            <w:rPr>
              <w:rFonts w:ascii="宋体" w:hAnsi="宋体" w:cs="宋体"/>
              <w:color w:val="auto"/>
              <w:sz w:val="24"/>
              <w:szCs w:val="24"/>
            </w:rPr>
          </w:pPr>
          <w:r>
            <w:rPr>
              <w:color w:val="auto"/>
            </w:rPr>
            <w:fldChar w:fldCharType="begin"/>
          </w:r>
          <w:r>
            <w:rPr>
              <w:color w:val="auto"/>
            </w:rPr>
            <w:instrText xml:space="preserve"> HYPERLINK \l "_Toc18139" </w:instrText>
          </w:r>
          <w:r>
            <w:rPr>
              <w:color w:val="auto"/>
            </w:rPr>
            <w:fldChar w:fldCharType="separate"/>
          </w:r>
          <w:r>
            <w:rPr>
              <w:rFonts w:hint="eastAsia" w:ascii="宋体" w:hAnsi="宋体" w:cs="宋体"/>
              <w:color w:val="auto"/>
              <w:sz w:val="24"/>
              <w:szCs w:val="24"/>
            </w:rPr>
            <w:t>五、环境保护措施监督检查清单</w:t>
          </w:r>
          <w:r>
            <w:rPr>
              <w:rFonts w:hint="eastAsia" w:ascii="宋体" w:hAnsi="宋体" w:cs="宋体"/>
              <w:color w:val="auto"/>
              <w:sz w:val="24"/>
              <w:szCs w:val="24"/>
            </w:rPr>
            <w:tab/>
          </w:r>
          <w:r>
            <w:rPr>
              <w:rFonts w:hint="eastAsia" w:ascii="宋体" w:hAnsi="宋体" w:cs="宋体"/>
              <w:color w:val="auto"/>
              <w:sz w:val="24"/>
              <w:szCs w:val="24"/>
            </w:rPr>
            <w:fldChar w:fldCharType="begin"/>
          </w:r>
          <w:r>
            <w:rPr>
              <w:rFonts w:hint="eastAsia" w:ascii="宋体" w:hAnsi="宋体" w:cs="宋体"/>
              <w:color w:val="auto"/>
              <w:sz w:val="24"/>
              <w:szCs w:val="24"/>
            </w:rPr>
            <w:instrText xml:space="preserve"> PAGEREF _Toc18139 \h </w:instrText>
          </w:r>
          <w:r>
            <w:rPr>
              <w:rFonts w:hint="eastAsia" w:ascii="宋体" w:hAnsi="宋体" w:cs="宋体"/>
              <w:color w:val="auto"/>
              <w:sz w:val="24"/>
              <w:szCs w:val="24"/>
            </w:rPr>
            <w:fldChar w:fldCharType="separate"/>
          </w:r>
          <w:r>
            <w:rPr>
              <w:rFonts w:hint="eastAsia" w:ascii="宋体" w:hAnsi="宋体" w:cs="宋体"/>
              <w:color w:val="auto"/>
              <w:sz w:val="24"/>
              <w:szCs w:val="24"/>
            </w:rPr>
            <w:t>- 74 -</w:t>
          </w:r>
          <w:r>
            <w:rPr>
              <w:rFonts w:hint="eastAsia" w:ascii="宋体" w:hAnsi="宋体" w:cs="宋体"/>
              <w:color w:val="auto"/>
              <w:sz w:val="24"/>
              <w:szCs w:val="24"/>
            </w:rPr>
            <w:fldChar w:fldCharType="end"/>
          </w:r>
          <w:r>
            <w:rPr>
              <w:rFonts w:hint="eastAsia" w:ascii="宋体" w:hAnsi="宋体" w:cs="宋体"/>
              <w:color w:val="auto"/>
              <w:sz w:val="24"/>
              <w:szCs w:val="24"/>
            </w:rPr>
            <w:fldChar w:fldCharType="end"/>
          </w:r>
        </w:p>
        <w:p w14:paraId="55EA7B26">
          <w:pPr>
            <w:pStyle w:val="109"/>
            <w:tabs>
              <w:tab w:val="right" w:leader="dot" w:pos="9460"/>
            </w:tabs>
            <w:spacing w:line="360" w:lineRule="auto"/>
            <w:ind w:right="1111" w:rightChars="529" w:firstLine="1050" w:firstLineChars="525"/>
            <w:rPr>
              <w:rFonts w:ascii="宋体" w:hAnsi="宋体" w:cs="宋体"/>
              <w:color w:val="auto"/>
              <w:sz w:val="24"/>
              <w:szCs w:val="24"/>
            </w:rPr>
          </w:pPr>
          <w:r>
            <w:rPr>
              <w:color w:val="auto"/>
            </w:rPr>
            <w:fldChar w:fldCharType="begin"/>
          </w:r>
          <w:r>
            <w:rPr>
              <w:color w:val="auto"/>
            </w:rPr>
            <w:instrText xml:space="preserve"> HYPERLINK \l "_Toc28378" </w:instrText>
          </w:r>
          <w:r>
            <w:rPr>
              <w:color w:val="auto"/>
            </w:rPr>
            <w:fldChar w:fldCharType="separate"/>
          </w:r>
          <w:r>
            <w:rPr>
              <w:rFonts w:hint="eastAsia" w:ascii="宋体" w:hAnsi="宋体" w:cs="宋体"/>
              <w:color w:val="auto"/>
              <w:sz w:val="24"/>
              <w:szCs w:val="24"/>
            </w:rPr>
            <w:t>六、结论</w:t>
          </w:r>
          <w:r>
            <w:rPr>
              <w:rFonts w:hint="eastAsia" w:ascii="宋体" w:hAnsi="宋体" w:cs="宋体"/>
              <w:color w:val="auto"/>
              <w:sz w:val="24"/>
              <w:szCs w:val="24"/>
            </w:rPr>
            <w:tab/>
          </w:r>
          <w:r>
            <w:rPr>
              <w:rFonts w:hint="eastAsia" w:ascii="宋体" w:hAnsi="宋体" w:cs="宋体"/>
              <w:color w:val="auto"/>
              <w:sz w:val="24"/>
              <w:szCs w:val="24"/>
            </w:rPr>
            <w:fldChar w:fldCharType="begin"/>
          </w:r>
          <w:r>
            <w:rPr>
              <w:rFonts w:hint="eastAsia" w:ascii="宋体" w:hAnsi="宋体" w:cs="宋体"/>
              <w:color w:val="auto"/>
              <w:sz w:val="24"/>
              <w:szCs w:val="24"/>
            </w:rPr>
            <w:instrText xml:space="preserve"> PAGEREF _Toc28378 \h </w:instrText>
          </w:r>
          <w:r>
            <w:rPr>
              <w:rFonts w:hint="eastAsia" w:ascii="宋体" w:hAnsi="宋体" w:cs="宋体"/>
              <w:color w:val="auto"/>
              <w:sz w:val="24"/>
              <w:szCs w:val="24"/>
            </w:rPr>
            <w:fldChar w:fldCharType="separate"/>
          </w:r>
          <w:r>
            <w:rPr>
              <w:rFonts w:hint="eastAsia" w:ascii="宋体" w:hAnsi="宋体" w:cs="宋体"/>
              <w:color w:val="auto"/>
              <w:sz w:val="24"/>
              <w:szCs w:val="24"/>
            </w:rPr>
            <w:t>- 76 -</w:t>
          </w:r>
          <w:r>
            <w:rPr>
              <w:rFonts w:hint="eastAsia" w:ascii="宋体" w:hAnsi="宋体" w:cs="宋体"/>
              <w:color w:val="auto"/>
              <w:sz w:val="24"/>
              <w:szCs w:val="24"/>
            </w:rPr>
            <w:fldChar w:fldCharType="end"/>
          </w:r>
          <w:r>
            <w:rPr>
              <w:rFonts w:hint="eastAsia" w:ascii="宋体" w:hAnsi="宋体" w:cs="宋体"/>
              <w:color w:val="auto"/>
              <w:sz w:val="24"/>
              <w:szCs w:val="24"/>
            </w:rPr>
            <w:fldChar w:fldCharType="end"/>
          </w:r>
        </w:p>
        <w:p w14:paraId="0EAFD620">
          <w:pPr>
            <w:pStyle w:val="109"/>
            <w:tabs>
              <w:tab w:val="right" w:leader="dot" w:pos="9460"/>
            </w:tabs>
            <w:spacing w:line="360" w:lineRule="auto"/>
            <w:ind w:right="1111" w:rightChars="529" w:firstLine="1050" w:firstLineChars="525"/>
            <w:rPr>
              <w:rFonts w:ascii="宋体" w:hAnsi="宋体" w:cs="宋体"/>
              <w:color w:val="auto"/>
              <w:sz w:val="24"/>
              <w:szCs w:val="24"/>
            </w:rPr>
          </w:pPr>
          <w:r>
            <w:rPr>
              <w:color w:val="auto"/>
            </w:rPr>
            <w:fldChar w:fldCharType="begin"/>
          </w:r>
          <w:r>
            <w:rPr>
              <w:color w:val="auto"/>
            </w:rPr>
            <w:instrText xml:space="preserve"> HYPERLINK \l "_Toc14911" </w:instrText>
          </w:r>
          <w:r>
            <w:rPr>
              <w:color w:val="auto"/>
            </w:rPr>
            <w:fldChar w:fldCharType="separate"/>
          </w:r>
          <w:r>
            <w:rPr>
              <w:rFonts w:hint="eastAsia" w:ascii="宋体" w:hAnsi="宋体" w:cs="宋体"/>
              <w:color w:val="auto"/>
              <w:sz w:val="24"/>
              <w:szCs w:val="24"/>
            </w:rPr>
            <w:fldChar w:fldCharType="begin"/>
          </w:r>
          <w:r>
            <w:rPr>
              <w:rFonts w:hint="eastAsia" w:ascii="宋体" w:hAnsi="宋体" w:cs="宋体"/>
              <w:color w:val="auto"/>
              <w:sz w:val="24"/>
              <w:szCs w:val="24"/>
            </w:rPr>
            <w:instrText xml:space="preserve"> PAGEREF _Toc14911 \h </w:instrText>
          </w:r>
          <w:r>
            <w:rPr>
              <w:rFonts w:hint="eastAsia" w:ascii="宋体" w:hAnsi="宋体" w:cs="宋体"/>
              <w:color w:val="auto"/>
              <w:sz w:val="24"/>
              <w:szCs w:val="24"/>
            </w:rPr>
            <w:fldChar w:fldCharType="separate"/>
          </w:r>
          <w:r>
            <w:rPr>
              <w:rFonts w:hint="eastAsia" w:ascii="宋体" w:hAnsi="宋体" w:cs="宋体"/>
              <w:color w:val="auto"/>
              <w:sz w:val="24"/>
              <w:szCs w:val="24"/>
            </w:rPr>
            <w:t>-附表</w:t>
          </w:r>
          <w:r>
            <w:rPr>
              <w:rFonts w:hint="eastAsia" w:ascii="宋体" w:hAnsi="宋体" w:cs="宋体"/>
              <w:color w:val="auto"/>
              <w:sz w:val="24"/>
              <w:szCs w:val="24"/>
            </w:rPr>
            <w:tab/>
          </w:r>
          <w:r>
            <w:rPr>
              <w:rFonts w:hint="eastAsia" w:ascii="宋体" w:hAnsi="宋体" w:cs="宋体"/>
              <w:color w:val="auto"/>
              <w:sz w:val="24"/>
              <w:szCs w:val="24"/>
            </w:rPr>
            <w:t xml:space="preserve"> 77 -</w:t>
          </w:r>
          <w:r>
            <w:rPr>
              <w:rFonts w:hint="eastAsia" w:ascii="宋体" w:hAnsi="宋体" w:cs="宋体"/>
              <w:color w:val="auto"/>
              <w:sz w:val="24"/>
              <w:szCs w:val="24"/>
            </w:rPr>
            <w:fldChar w:fldCharType="end"/>
          </w:r>
          <w:r>
            <w:rPr>
              <w:rFonts w:hint="eastAsia" w:ascii="宋体" w:hAnsi="宋体" w:cs="宋体"/>
              <w:color w:val="auto"/>
              <w:sz w:val="24"/>
              <w:szCs w:val="24"/>
            </w:rPr>
            <w:fldChar w:fldCharType="end"/>
          </w:r>
        </w:p>
        <w:p w14:paraId="5B048B97">
          <w:pPr>
            <w:pStyle w:val="13"/>
            <w:spacing w:after="0" w:line="360" w:lineRule="auto"/>
            <w:ind w:left="0" w:leftChars="0" w:right="1111" w:rightChars="529" w:firstLine="1260" w:firstLineChars="525"/>
            <w:rPr>
              <w:color w:val="auto"/>
            </w:rPr>
          </w:pPr>
          <w:r>
            <w:rPr>
              <w:rFonts w:hint="eastAsia" w:ascii="宋体" w:hAnsi="宋体" w:cs="宋体"/>
              <w:color w:val="auto"/>
              <w:sz w:val="24"/>
              <w:szCs w:val="24"/>
            </w:rPr>
            <w:fldChar w:fldCharType="end"/>
          </w:r>
        </w:p>
      </w:sdtContent>
    </w:sdt>
    <w:p w14:paraId="6893A29C">
      <w:pPr>
        <w:adjustRightInd w:val="0"/>
        <w:snapToGrid w:val="0"/>
        <w:spacing w:line="360" w:lineRule="auto"/>
        <w:ind w:left="1056" w:leftChars="503" w:firstLine="201" w:firstLineChars="84"/>
        <w:contextualSpacing/>
        <w:jc w:val="left"/>
        <w:outlineLvl w:val="0"/>
        <w:rPr>
          <w:rFonts w:cs="Times New Roman"/>
          <w:bCs/>
          <w:color w:val="auto"/>
          <w:sz w:val="24"/>
          <w:szCs w:val="21"/>
        </w:rPr>
      </w:pPr>
      <w:r>
        <w:rPr>
          <w:rFonts w:cs="Times New Roman"/>
          <w:bCs/>
          <w:color w:val="auto"/>
          <w:sz w:val="24"/>
          <w:szCs w:val="21"/>
        </w:rPr>
        <w:br w:type="page"/>
      </w:r>
    </w:p>
    <w:p w14:paraId="4AF65A8B">
      <w:pPr>
        <w:spacing w:line="360" w:lineRule="auto"/>
        <w:rPr>
          <w:rFonts w:cs="Times New Roman"/>
          <w:b/>
          <w:color w:val="auto"/>
          <w:sz w:val="28"/>
          <w:szCs w:val="28"/>
        </w:rPr>
        <w:sectPr>
          <w:footerReference r:id="rId3" w:type="default"/>
          <w:pgSz w:w="11906" w:h="16838"/>
          <w:pgMar w:top="567" w:right="567" w:bottom="567" w:left="567" w:header="851" w:footer="992" w:gutter="0"/>
          <w:pgBorders>
            <w:top w:val="none" w:sz="0" w:space="0"/>
            <w:left w:val="none" w:sz="0" w:space="0"/>
            <w:bottom w:val="none" w:sz="0" w:space="0"/>
            <w:right w:val="none" w:sz="0" w:space="0"/>
          </w:pgBorders>
          <w:pgNumType w:fmt="numberInDash"/>
          <w:cols w:space="0" w:num="1"/>
          <w:docGrid w:type="lines" w:linePitch="312" w:charSpace="0"/>
        </w:sectPr>
      </w:pPr>
    </w:p>
    <w:p w14:paraId="79F6E78B">
      <w:pPr>
        <w:pStyle w:val="58"/>
        <w:jc w:val="center"/>
        <w:rPr>
          <w:rFonts w:ascii="黑体" w:hAnsi="黑体" w:eastAsia="黑体"/>
          <w:color w:val="auto"/>
          <w:szCs w:val="24"/>
        </w:rPr>
      </w:pPr>
      <w:bookmarkStart w:id="4" w:name="_Toc5166"/>
      <w:r>
        <w:rPr>
          <w:rFonts w:hint="eastAsia" w:ascii="黑体" w:hAnsi="黑体" w:eastAsia="黑体"/>
          <w:b w:val="0"/>
          <w:color w:val="auto"/>
          <w:sz w:val="30"/>
          <w:szCs w:val="30"/>
        </w:rPr>
        <w:t>一、建设项目基本情况</w:t>
      </w:r>
      <w:bookmarkEnd w:id="4"/>
    </w:p>
    <w:tbl>
      <w:tblPr>
        <w:tblStyle w:val="24"/>
        <w:tblW w:w="957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43"/>
        <w:gridCol w:w="2424"/>
        <w:gridCol w:w="1680"/>
        <w:gridCol w:w="4123"/>
      </w:tblGrid>
      <w:tr w14:paraId="393F0E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43" w:type="dxa"/>
            <w:vAlign w:val="center"/>
          </w:tcPr>
          <w:p w14:paraId="6E33D074">
            <w:pPr>
              <w:jc w:val="center"/>
              <w:rPr>
                <w:rFonts w:cs="Times New Roman"/>
                <w:b/>
                <w:bCs/>
                <w:color w:val="auto"/>
                <w:sz w:val="24"/>
                <w:szCs w:val="24"/>
              </w:rPr>
            </w:pPr>
            <w:r>
              <w:rPr>
                <w:rFonts w:cs="Times New Roman"/>
                <w:b/>
                <w:bCs/>
                <w:color w:val="auto"/>
                <w:sz w:val="24"/>
                <w:szCs w:val="24"/>
              </w:rPr>
              <w:t>建设项目名称</w:t>
            </w:r>
          </w:p>
        </w:tc>
        <w:tc>
          <w:tcPr>
            <w:tcW w:w="8227" w:type="dxa"/>
            <w:gridSpan w:val="3"/>
            <w:vAlign w:val="center"/>
          </w:tcPr>
          <w:p w14:paraId="5B07CA11">
            <w:pPr>
              <w:jc w:val="center"/>
              <w:rPr>
                <w:rFonts w:hint="eastAsia" w:eastAsia="宋体" w:cs="Times New Roman"/>
                <w:color w:val="auto"/>
                <w:sz w:val="24"/>
                <w:szCs w:val="24"/>
                <w:lang w:eastAsia="zh-CN"/>
              </w:rPr>
            </w:pPr>
            <w:r>
              <w:rPr>
                <w:rFonts w:hint="eastAsia" w:cs="Times New Roman"/>
                <w:color w:val="auto"/>
                <w:sz w:val="24"/>
                <w:szCs w:val="24"/>
                <w:lang w:eastAsia="zh-CN"/>
              </w:rPr>
              <w:t>达州鼎磊装饰用石切割雕刻生产线建设项目</w:t>
            </w:r>
          </w:p>
        </w:tc>
      </w:tr>
      <w:tr w14:paraId="2302FF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43" w:type="dxa"/>
            <w:vAlign w:val="center"/>
          </w:tcPr>
          <w:p w14:paraId="1F6A6BD2">
            <w:pPr>
              <w:jc w:val="center"/>
              <w:rPr>
                <w:rFonts w:cs="Times New Roman"/>
                <w:b/>
                <w:bCs/>
                <w:color w:val="auto"/>
                <w:sz w:val="24"/>
                <w:szCs w:val="24"/>
              </w:rPr>
            </w:pPr>
            <w:r>
              <w:rPr>
                <w:rFonts w:cs="Times New Roman"/>
                <w:b/>
                <w:bCs/>
                <w:color w:val="auto"/>
                <w:sz w:val="24"/>
                <w:szCs w:val="24"/>
              </w:rPr>
              <w:t>项目代码</w:t>
            </w:r>
          </w:p>
        </w:tc>
        <w:tc>
          <w:tcPr>
            <w:tcW w:w="8227" w:type="dxa"/>
            <w:gridSpan w:val="3"/>
            <w:vAlign w:val="center"/>
          </w:tcPr>
          <w:p w14:paraId="4BC1DF39">
            <w:pPr>
              <w:jc w:val="center"/>
              <w:rPr>
                <w:rFonts w:hint="eastAsia" w:eastAsia="宋体" w:cs="Times New Roman"/>
                <w:color w:val="auto"/>
                <w:sz w:val="24"/>
                <w:szCs w:val="24"/>
                <w:lang w:eastAsia="zh-CN"/>
              </w:rPr>
            </w:pPr>
            <w:r>
              <w:rPr>
                <w:rFonts w:hint="eastAsia" w:cs="Times New Roman"/>
                <w:color w:val="auto"/>
                <w:sz w:val="24"/>
                <w:szCs w:val="24"/>
                <w:lang w:eastAsia="zh-CN"/>
              </w:rPr>
              <w:t>2410-511702-04-03-615920</w:t>
            </w:r>
          </w:p>
        </w:tc>
      </w:tr>
      <w:tr w14:paraId="7888C0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43" w:type="dxa"/>
            <w:vAlign w:val="center"/>
          </w:tcPr>
          <w:p w14:paraId="49A537C0">
            <w:pPr>
              <w:jc w:val="center"/>
              <w:rPr>
                <w:rFonts w:cs="Times New Roman"/>
                <w:b/>
                <w:bCs/>
                <w:color w:val="auto"/>
                <w:sz w:val="24"/>
                <w:szCs w:val="24"/>
              </w:rPr>
            </w:pPr>
            <w:r>
              <w:rPr>
                <w:rFonts w:cs="Times New Roman"/>
                <w:b/>
                <w:bCs/>
                <w:color w:val="auto"/>
                <w:sz w:val="24"/>
                <w:szCs w:val="24"/>
              </w:rPr>
              <w:t>建设单位联系人</w:t>
            </w:r>
          </w:p>
        </w:tc>
        <w:tc>
          <w:tcPr>
            <w:tcW w:w="2424" w:type="dxa"/>
            <w:vAlign w:val="center"/>
          </w:tcPr>
          <w:p w14:paraId="4857E14E">
            <w:pPr>
              <w:adjustRightInd w:val="0"/>
              <w:snapToGrid w:val="0"/>
              <w:jc w:val="center"/>
              <w:rPr>
                <w:rFonts w:hint="eastAsia" w:eastAsia="宋体" w:cs="Times New Roman"/>
                <w:color w:val="auto"/>
                <w:sz w:val="24"/>
                <w:lang w:eastAsia="zh-CN"/>
              </w:rPr>
            </w:pPr>
            <w:r>
              <w:rPr>
                <w:rFonts w:hint="eastAsia" w:cs="Times New Roman"/>
                <w:color w:val="auto"/>
                <w:sz w:val="24"/>
                <w:lang w:eastAsia="zh-CN"/>
              </w:rPr>
              <w:t>杨子健</w:t>
            </w:r>
          </w:p>
        </w:tc>
        <w:tc>
          <w:tcPr>
            <w:tcW w:w="1680" w:type="dxa"/>
            <w:vAlign w:val="center"/>
          </w:tcPr>
          <w:p w14:paraId="49D81A63">
            <w:pPr>
              <w:adjustRightInd w:val="0"/>
              <w:snapToGrid w:val="0"/>
              <w:jc w:val="center"/>
              <w:rPr>
                <w:rFonts w:cs="Times New Roman"/>
                <w:color w:val="auto"/>
                <w:sz w:val="24"/>
              </w:rPr>
            </w:pPr>
            <w:r>
              <w:rPr>
                <w:rFonts w:cs="Times New Roman"/>
                <w:b/>
                <w:bCs/>
                <w:color w:val="auto"/>
                <w:sz w:val="24"/>
              </w:rPr>
              <w:t>联系方式</w:t>
            </w:r>
          </w:p>
        </w:tc>
        <w:tc>
          <w:tcPr>
            <w:tcW w:w="4123" w:type="dxa"/>
            <w:vAlign w:val="center"/>
          </w:tcPr>
          <w:p w14:paraId="653157CD">
            <w:pPr>
              <w:adjustRightInd w:val="0"/>
              <w:snapToGrid w:val="0"/>
              <w:jc w:val="center"/>
              <w:rPr>
                <w:rFonts w:hint="default" w:eastAsia="宋体" w:cs="Times New Roman"/>
                <w:color w:val="auto"/>
                <w:sz w:val="24"/>
                <w:lang w:val="en-US" w:eastAsia="zh-CN"/>
              </w:rPr>
            </w:pPr>
            <w:r>
              <w:rPr>
                <w:rFonts w:hint="eastAsia" w:cs="Times New Roman"/>
                <w:color w:val="auto"/>
                <w:sz w:val="24"/>
                <w:lang w:val="en-US" w:eastAsia="zh-CN"/>
              </w:rPr>
              <w:t>15213269839</w:t>
            </w:r>
          </w:p>
        </w:tc>
      </w:tr>
      <w:tr w14:paraId="78424B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43" w:type="dxa"/>
            <w:vAlign w:val="center"/>
          </w:tcPr>
          <w:p w14:paraId="2C83FA56">
            <w:pPr>
              <w:jc w:val="center"/>
              <w:rPr>
                <w:rFonts w:cs="Times New Roman"/>
                <w:b/>
                <w:bCs/>
                <w:color w:val="auto"/>
                <w:sz w:val="24"/>
                <w:szCs w:val="24"/>
              </w:rPr>
            </w:pPr>
            <w:r>
              <w:rPr>
                <w:rFonts w:cs="Times New Roman"/>
                <w:b/>
                <w:bCs/>
                <w:color w:val="auto"/>
                <w:sz w:val="24"/>
                <w:szCs w:val="24"/>
              </w:rPr>
              <w:t>建设地点</w:t>
            </w:r>
          </w:p>
        </w:tc>
        <w:tc>
          <w:tcPr>
            <w:tcW w:w="8227" w:type="dxa"/>
            <w:gridSpan w:val="3"/>
            <w:vAlign w:val="center"/>
          </w:tcPr>
          <w:p w14:paraId="5C11C312">
            <w:pPr>
              <w:jc w:val="center"/>
              <w:rPr>
                <w:rFonts w:hint="eastAsia" w:eastAsia="宋体" w:cs="Times New Roman"/>
                <w:color w:val="auto"/>
                <w:sz w:val="24"/>
                <w:szCs w:val="24"/>
                <w:lang w:eastAsia="zh-CN"/>
              </w:rPr>
            </w:pPr>
            <w:r>
              <w:rPr>
                <w:rFonts w:hint="eastAsia" w:cs="Times New Roman"/>
                <w:color w:val="auto"/>
                <w:sz w:val="24"/>
                <w:szCs w:val="24"/>
                <w:lang w:eastAsia="zh-CN"/>
              </w:rPr>
              <w:t>达州市通川区东岳镇虹桥社区二组</w:t>
            </w:r>
          </w:p>
        </w:tc>
      </w:tr>
      <w:tr w14:paraId="0E020C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43" w:type="dxa"/>
            <w:vAlign w:val="center"/>
          </w:tcPr>
          <w:p w14:paraId="4AB1D8DC">
            <w:pPr>
              <w:jc w:val="center"/>
              <w:rPr>
                <w:rFonts w:cs="Times New Roman"/>
                <w:b/>
                <w:bCs/>
                <w:color w:val="auto"/>
                <w:sz w:val="24"/>
                <w:szCs w:val="24"/>
              </w:rPr>
            </w:pPr>
            <w:r>
              <w:rPr>
                <w:rFonts w:cs="Times New Roman"/>
                <w:b/>
                <w:bCs/>
                <w:color w:val="auto"/>
                <w:sz w:val="24"/>
                <w:szCs w:val="24"/>
              </w:rPr>
              <w:t>地理坐标</w:t>
            </w:r>
          </w:p>
        </w:tc>
        <w:tc>
          <w:tcPr>
            <w:tcW w:w="8227" w:type="dxa"/>
            <w:gridSpan w:val="3"/>
            <w:vAlign w:val="center"/>
          </w:tcPr>
          <w:p w14:paraId="79921864">
            <w:pPr>
              <w:jc w:val="center"/>
              <w:rPr>
                <w:rFonts w:cs="Times New Roman"/>
                <w:color w:val="auto"/>
                <w:sz w:val="24"/>
                <w:szCs w:val="24"/>
              </w:rPr>
            </w:pPr>
            <w:r>
              <w:rPr>
                <w:rFonts w:cs="Times New Roman"/>
                <w:color w:val="auto"/>
                <w:sz w:val="24"/>
                <w:szCs w:val="24"/>
              </w:rPr>
              <w:t>经度107°24′1.519″，纬度31°8′17.970″</w:t>
            </w:r>
          </w:p>
        </w:tc>
      </w:tr>
      <w:tr w14:paraId="053250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43" w:type="dxa"/>
            <w:vAlign w:val="center"/>
          </w:tcPr>
          <w:p w14:paraId="48822FD5">
            <w:pPr>
              <w:jc w:val="center"/>
              <w:rPr>
                <w:rFonts w:cs="Times New Roman"/>
                <w:b/>
                <w:bCs/>
                <w:color w:val="auto"/>
                <w:sz w:val="24"/>
                <w:szCs w:val="24"/>
              </w:rPr>
            </w:pPr>
            <w:r>
              <w:rPr>
                <w:rFonts w:cs="Times New Roman"/>
                <w:b/>
                <w:bCs/>
                <w:color w:val="auto"/>
                <w:sz w:val="24"/>
                <w:szCs w:val="24"/>
              </w:rPr>
              <w:t>国民经济</w:t>
            </w:r>
          </w:p>
          <w:p w14:paraId="42C119F2">
            <w:pPr>
              <w:jc w:val="center"/>
              <w:rPr>
                <w:rFonts w:cs="Times New Roman"/>
                <w:b/>
                <w:bCs/>
                <w:color w:val="auto"/>
                <w:sz w:val="24"/>
                <w:szCs w:val="24"/>
              </w:rPr>
            </w:pPr>
            <w:r>
              <w:rPr>
                <w:rFonts w:cs="Times New Roman"/>
                <w:b/>
                <w:bCs/>
                <w:color w:val="auto"/>
                <w:sz w:val="24"/>
                <w:szCs w:val="24"/>
              </w:rPr>
              <w:t>行业类别</w:t>
            </w:r>
          </w:p>
        </w:tc>
        <w:tc>
          <w:tcPr>
            <w:tcW w:w="2424" w:type="dxa"/>
            <w:vAlign w:val="center"/>
          </w:tcPr>
          <w:p w14:paraId="1E3F7377">
            <w:pPr>
              <w:jc w:val="center"/>
              <w:rPr>
                <w:rFonts w:cs="Times New Roman"/>
                <w:color w:val="auto"/>
                <w:sz w:val="24"/>
                <w:szCs w:val="24"/>
              </w:rPr>
            </w:pPr>
            <w:r>
              <w:rPr>
                <w:rFonts w:cs="Times New Roman"/>
                <w:color w:val="auto"/>
                <w:sz w:val="24"/>
                <w:szCs w:val="24"/>
              </w:rPr>
              <w:t>C3032 建筑用石加工</w:t>
            </w:r>
          </w:p>
        </w:tc>
        <w:tc>
          <w:tcPr>
            <w:tcW w:w="1680" w:type="dxa"/>
            <w:vAlign w:val="center"/>
          </w:tcPr>
          <w:p w14:paraId="676FAFF1">
            <w:pPr>
              <w:jc w:val="center"/>
              <w:rPr>
                <w:rFonts w:cs="Times New Roman"/>
                <w:b/>
                <w:bCs/>
                <w:color w:val="auto"/>
                <w:sz w:val="24"/>
                <w:szCs w:val="24"/>
              </w:rPr>
            </w:pPr>
            <w:r>
              <w:rPr>
                <w:rFonts w:cs="Times New Roman"/>
                <w:b/>
                <w:bCs/>
                <w:color w:val="auto"/>
                <w:sz w:val="24"/>
                <w:szCs w:val="24"/>
              </w:rPr>
              <w:t>建设项目</w:t>
            </w:r>
          </w:p>
          <w:p w14:paraId="4B7D9768">
            <w:pPr>
              <w:jc w:val="center"/>
              <w:rPr>
                <w:rFonts w:cs="Times New Roman"/>
                <w:b/>
                <w:bCs/>
                <w:color w:val="auto"/>
                <w:sz w:val="24"/>
                <w:szCs w:val="24"/>
              </w:rPr>
            </w:pPr>
            <w:r>
              <w:rPr>
                <w:rFonts w:cs="Times New Roman"/>
                <w:b/>
                <w:bCs/>
                <w:color w:val="auto"/>
                <w:sz w:val="24"/>
                <w:szCs w:val="24"/>
              </w:rPr>
              <w:t>行业类别</w:t>
            </w:r>
          </w:p>
        </w:tc>
        <w:tc>
          <w:tcPr>
            <w:tcW w:w="4123" w:type="dxa"/>
            <w:vAlign w:val="center"/>
          </w:tcPr>
          <w:p w14:paraId="6E5945D9">
            <w:pPr>
              <w:jc w:val="center"/>
              <w:rPr>
                <w:rFonts w:cs="Times New Roman"/>
                <w:color w:val="auto"/>
                <w:sz w:val="24"/>
                <w:szCs w:val="24"/>
              </w:rPr>
            </w:pPr>
            <w:r>
              <w:rPr>
                <w:rFonts w:cs="Times New Roman"/>
                <w:color w:val="auto"/>
                <w:sz w:val="24"/>
                <w:szCs w:val="24"/>
              </w:rPr>
              <w:t>二十七、非金属矿物制品业</w:t>
            </w:r>
            <w:r>
              <w:rPr>
                <w:rFonts w:hint="eastAsia" w:cs="Times New Roman"/>
                <w:color w:val="auto"/>
                <w:sz w:val="24"/>
                <w:szCs w:val="24"/>
                <w:lang w:val="en-US" w:eastAsia="zh-CN"/>
              </w:rPr>
              <w:t>-</w:t>
            </w:r>
            <w:r>
              <w:rPr>
                <w:rFonts w:cs="Times New Roman"/>
                <w:color w:val="auto"/>
                <w:sz w:val="24"/>
                <w:szCs w:val="24"/>
              </w:rPr>
              <w:t>56砖瓦、石材等建筑材料制造</w:t>
            </w:r>
            <w:r>
              <w:rPr>
                <w:rFonts w:hint="eastAsia" w:cs="Times New Roman"/>
                <w:color w:val="auto"/>
                <w:sz w:val="24"/>
                <w:szCs w:val="24"/>
                <w:lang w:val="en-US" w:eastAsia="zh-CN"/>
              </w:rPr>
              <w:t>-</w:t>
            </w:r>
            <w:r>
              <w:rPr>
                <w:rFonts w:cs="Times New Roman"/>
                <w:color w:val="auto"/>
                <w:sz w:val="24"/>
                <w:szCs w:val="24"/>
              </w:rPr>
              <w:t>建筑用石加工</w:t>
            </w:r>
          </w:p>
        </w:tc>
      </w:tr>
      <w:tr w14:paraId="339E13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43" w:type="dxa"/>
            <w:vAlign w:val="center"/>
          </w:tcPr>
          <w:p w14:paraId="0EF6B166">
            <w:pPr>
              <w:jc w:val="center"/>
              <w:rPr>
                <w:rFonts w:cs="Times New Roman"/>
                <w:b/>
                <w:bCs/>
                <w:color w:val="auto"/>
                <w:sz w:val="24"/>
                <w:szCs w:val="24"/>
              </w:rPr>
            </w:pPr>
            <w:r>
              <w:rPr>
                <w:rFonts w:cs="Times New Roman"/>
                <w:b/>
                <w:bCs/>
                <w:color w:val="auto"/>
                <w:sz w:val="24"/>
                <w:szCs w:val="24"/>
              </w:rPr>
              <w:t>建设性质</w:t>
            </w:r>
          </w:p>
        </w:tc>
        <w:tc>
          <w:tcPr>
            <w:tcW w:w="2424" w:type="dxa"/>
            <w:vAlign w:val="center"/>
          </w:tcPr>
          <w:p w14:paraId="108D1083">
            <w:pPr>
              <w:rPr>
                <w:rFonts w:cs="Times New Roman"/>
                <w:color w:val="auto"/>
                <w:sz w:val="24"/>
                <w:szCs w:val="24"/>
              </w:rPr>
            </w:pPr>
            <w:r>
              <w:rPr>
                <w:rFonts w:cs="Times New Roman"/>
                <w:color w:val="auto"/>
                <w:sz w:val="24"/>
                <w:szCs w:val="24"/>
              </w:rPr>
              <w:sym w:font="Wingdings 2" w:char="0052"/>
            </w:r>
            <w:r>
              <w:rPr>
                <w:rFonts w:cs="Times New Roman"/>
                <w:color w:val="auto"/>
                <w:sz w:val="24"/>
                <w:szCs w:val="24"/>
              </w:rPr>
              <w:t>新建（迁建）</w:t>
            </w:r>
          </w:p>
          <w:p w14:paraId="2EF553E8">
            <w:pPr>
              <w:rPr>
                <w:rFonts w:cs="Times New Roman"/>
                <w:color w:val="auto"/>
                <w:sz w:val="24"/>
                <w:szCs w:val="24"/>
              </w:rPr>
            </w:pPr>
            <w:r>
              <w:rPr>
                <w:rFonts w:cs="Times New Roman"/>
                <w:color w:val="auto"/>
                <w:sz w:val="24"/>
                <w:szCs w:val="24"/>
              </w:rPr>
              <w:sym w:font="Wingdings 2" w:char="00A3"/>
            </w:r>
            <w:r>
              <w:rPr>
                <w:rFonts w:cs="Times New Roman"/>
                <w:color w:val="auto"/>
                <w:sz w:val="24"/>
                <w:szCs w:val="24"/>
              </w:rPr>
              <w:t>改建</w:t>
            </w:r>
          </w:p>
          <w:p w14:paraId="5AF43BD3">
            <w:pPr>
              <w:rPr>
                <w:rFonts w:cs="Times New Roman"/>
                <w:color w:val="auto"/>
                <w:sz w:val="24"/>
                <w:szCs w:val="24"/>
              </w:rPr>
            </w:pPr>
            <w:r>
              <w:rPr>
                <w:rFonts w:cs="Times New Roman"/>
                <w:color w:val="auto"/>
                <w:sz w:val="24"/>
                <w:szCs w:val="24"/>
              </w:rPr>
              <w:sym w:font="Wingdings 2" w:char="00A3"/>
            </w:r>
            <w:r>
              <w:rPr>
                <w:rFonts w:cs="Times New Roman"/>
                <w:color w:val="auto"/>
                <w:sz w:val="24"/>
                <w:szCs w:val="24"/>
              </w:rPr>
              <w:t>扩建</w:t>
            </w:r>
          </w:p>
          <w:p w14:paraId="7F00C724">
            <w:pPr>
              <w:rPr>
                <w:rFonts w:cs="Times New Roman"/>
                <w:color w:val="auto"/>
                <w:sz w:val="24"/>
                <w:szCs w:val="24"/>
              </w:rPr>
            </w:pPr>
            <w:r>
              <w:rPr>
                <w:rFonts w:cs="Times New Roman"/>
                <w:color w:val="auto"/>
                <w:sz w:val="24"/>
                <w:szCs w:val="24"/>
              </w:rPr>
              <w:sym w:font="Wingdings 2" w:char="00A3"/>
            </w:r>
            <w:r>
              <w:rPr>
                <w:rFonts w:cs="Times New Roman"/>
                <w:color w:val="auto"/>
                <w:sz w:val="24"/>
                <w:szCs w:val="24"/>
              </w:rPr>
              <w:t>技术改造</w:t>
            </w:r>
          </w:p>
        </w:tc>
        <w:tc>
          <w:tcPr>
            <w:tcW w:w="1680" w:type="dxa"/>
            <w:vAlign w:val="center"/>
          </w:tcPr>
          <w:p w14:paraId="495E5E55">
            <w:pPr>
              <w:jc w:val="center"/>
              <w:rPr>
                <w:rFonts w:cs="Times New Roman"/>
                <w:b/>
                <w:bCs/>
                <w:color w:val="auto"/>
                <w:sz w:val="24"/>
                <w:szCs w:val="24"/>
              </w:rPr>
            </w:pPr>
            <w:r>
              <w:rPr>
                <w:rFonts w:cs="Times New Roman"/>
                <w:b/>
                <w:bCs/>
                <w:color w:val="auto"/>
                <w:sz w:val="24"/>
                <w:szCs w:val="24"/>
              </w:rPr>
              <w:t>建设项目</w:t>
            </w:r>
          </w:p>
          <w:p w14:paraId="036DB0C6">
            <w:pPr>
              <w:jc w:val="center"/>
              <w:rPr>
                <w:rFonts w:cs="Times New Roman"/>
                <w:b/>
                <w:bCs/>
                <w:color w:val="auto"/>
                <w:sz w:val="24"/>
                <w:szCs w:val="24"/>
              </w:rPr>
            </w:pPr>
            <w:r>
              <w:rPr>
                <w:rFonts w:cs="Times New Roman"/>
                <w:b/>
                <w:bCs/>
                <w:color w:val="auto"/>
                <w:sz w:val="24"/>
                <w:szCs w:val="24"/>
              </w:rPr>
              <w:t>申报情形</w:t>
            </w:r>
          </w:p>
        </w:tc>
        <w:tc>
          <w:tcPr>
            <w:tcW w:w="4123" w:type="dxa"/>
            <w:vAlign w:val="center"/>
          </w:tcPr>
          <w:p w14:paraId="1E9F68DB">
            <w:pPr>
              <w:rPr>
                <w:rFonts w:cs="Times New Roman"/>
                <w:color w:val="auto"/>
                <w:sz w:val="24"/>
                <w:szCs w:val="24"/>
              </w:rPr>
            </w:pPr>
            <w:r>
              <w:rPr>
                <w:rFonts w:cs="Times New Roman"/>
                <w:color w:val="auto"/>
                <w:sz w:val="24"/>
                <w:szCs w:val="24"/>
              </w:rPr>
              <w:sym w:font="Wingdings 2" w:char="F052"/>
            </w:r>
            <w:r>
              <w:rPr>
                <w:rFonts w:cs="Times New Roman"/>
                <w:color w:val="auto"/>
                <w:sz w:val="24"/>
                <w:szCs w:val="24"/>
              </w:rPr>
              <w:t>首次申报项目</w:t>
            </w:r>
          </w:p>
          <w:p w14:paraId="7F4AA9DC">
            <w:pPr>
              <w:rPr>
                <w:rFonts w:cs="Times New Roman"/>
                <w:color w:val="auto"/>
                <w:sz w:val="24"/>
                <w:szCs w:val="24"/>
              </w:rPr>
            </w:pPr>
            <w:r>
              <w:rPr>
                <w:rFonts w:cs="Times New Roman"/>
                <w:color w:val="auto"/>
                <w:sz w:val="24"/>
                <w:szCs w:val="24"/>
              </w:rPr>
              <w:sym w:font="Wingdings 2" w:char="00A3"/>
            </w:r>
            <w:r>
              <w:rPr>
                <w:rFonts w:cs="Times New Roman"/>
                <w:color w:val="auto"/>
                <w:sz w:val="24"/>
                <w:szCs w:val="24"/>
              </w:rPr>
              <w:t>不予批准后再次申报项目</w:t>
            </w:r>
          </w:p>
          <w:p w14:paraId="05B9917E">
            <w:pPr>
              <w:rPr>
                <w:rFonts w:cs="Times New Roman"/>
                <w:color w:val="auto"/>
                <w:sz w:val="24"/>
                <w:szCs w:val="24"/>
              </w:rPr>
            </w:pPr>
            <w:r>
              <w:rPr>
                <w:rFonts w:cs="Times New Roman"/>
                <w:color w:val="auto"/>
                <w:sz w:val="24"/>
                <w:szCs w:val="24"/>
              </w:rPr>
              <w:sym w:font="Wingdings 2" w:char="00A3"/>
            </w:r>
            <w:r>
              <w:rPr>
                <w:rFonts w:cs="Times New Roman"/>
                <w:color w:val="auto"/>
                <w:sz w:val="24"/>
                <w:szCs w:val="24"/>
              </w:rPr>
              <w:t>超五年重新审核项目</w:t>
            </w:r>
          </w:p>
          <w:p w14:paraId="1DF34E5E">
            <w:pPr>
              <w:rPr>
                <w:rFonts w:cs="Times New Roman"/>
                <w:color w:val="auto"/>
                <w:sz w:val="24"/>
                <w:szCs w:val="24"/>
              </w:rPr>
            </w:pPr>
            <w:r>
              <w:rPr>
                <w:rFonts w:cs="Times New Roman"/>
                <w:color w:val="auto"/>
                <w:sz w:val="24"/>
                <w:szCs w:val="24"/>
              </w:rPr>
              <w:sym w:font="Wingdings 2" w:char="00A3"/>
            </w:r>
            <w:r>
              <w:rPr>
                <w:rFonts w:cs="Times New Roman"/>
                <w:color w:val="auto"/>
                <w:sz w:val="24"/>
                <w:szCs w:val="24"/>
              </w:rPr>
              <w:t>重大变动重新报批项目</w:t>
            </w:r>
          </w:p>
        </w:tc>
      </w:tr>
      <w:tr w14:paraId="59DF60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43" w:type="dxa"/>
            <w:vAlign w:val="center"/>
          </w:tcPr>
          <w:p w14:paraId="5D803808">
            <w:pPr>
              <w:jc w:val="center"/>
              <w:rPr>
                <w:rFonts w:cs="Times New Roman"/>
                <w:b/>
                <w:bCs/>
                <w:color w:val="auto"/>
                <w:sz w:val="24"/>
                <w:szCs w:val="24"/>
              </w:rPr>
            </w:pPr>
            <w:r>
              <w:rPr>
                <w:rFonts w:cs="Times New Roman"/>
                <w:b/>
                <w:bCs/>
                <w:color w:val="auto"/>
                <w:sz w:val="24"/>
                <w:szCs w:val="24"/>
              </w:rPr>
              <w:t>项目审批（核准/</w:t>
            </w:r>
          </w:p>
          <w:p w14:paraId="13CCBD33">
            <w:pPr>
              <w:jc w:val="center"/>
              <w:rPr>
                <w:rFonts w:cs="Times New Roman"/>
                <w:b/>
                <w:bCs/>
                <w:color w:val="auto"/>
                <w:sz w:val="24"/>
                <w:szCs w:val="24"/>
              </w:rPr>
            </w:pPr>
            <w:r>
              <w:rPr>
                <w:rFonts w:cs="Times New Roman"/>
                <w:b/>
                <w:bCs/>
                <w:color w:val="auto"/>
                <w:sz w:val="24"/>
                <w:szCs w:val="24"/>
              </w:rPr>
              <w:t>备案）部门</w:t>
            </w:r>
          </w:p>
        </w:tc>
        <w:tc>
          <w:tcPr>
            <w:tcW w:w="2424" w:type="dxa"/>
            <w:vAlign w:val="center"/>
          </w:tcPr>
          <w:p w14:paraId="71247802">
            <w:pPr>
              <w:jc w:val="center"/>
              <w:rPr>
                <w:rFonts w:hint="eastAsia" w:eastAsia="宋体" w:cs="Times New Roman"/>
                <w:color w:val="auto"/>
                <w:sz w:val="24"/>
                <w:szCs w:val="24"/>
                <w:lang w:eastAsia="zh-CN"/>
              </w:rPr>
            </w:pPr>
            <w:r>
              <w:rPr>
                <w:rFonts w:hint="eastAsia" w:cs="Times New Roman"/>
                <w:color w:val="auto"/>
                <w:sz w:val="24"/>
                <w:lang w:eastAsia="zh-CN"/>
              </w:rPr>
              <w:t>通川区发展和改革局</w:t>
            </w:r>
          </w:p>
        </w:tc>
        <w:tc>
          <w:tcPr>
            <w:tcW w:w="1680" w:type="dxa"/>
            <w:vAlign w:val="center"/>
          </w:tcPr>
          <w:p w14:paraId="600E8C05">
            <w:pPr>
              <w:jc w:val="center"/>
              <w:rPr>
                <w:rFonts w:cs="Times New Roman"/>
                <w:b/>
                <w:bCs/>
                <w:color w:val="auto"/>
                <w:sz w:val="24"/>
                <w:szCs w:val="24"/>
              </w:rPr>
            </w:pPr>
            <w:r>
              <w:rPr>
                <w:rFonts w:cs="Times New Roman"/>
                <w:b/>
                <w:bCs/>
                <w:color w:val="auto"/>
                <w:sz w:val="24"/>
                <w:szCs w:val="24"/>
              </w:rPr>
              <w:t>项目审批（核准/备案）文号</w:t>
            </w:r>
          </w:p>
        </w:tc>
        <w:tc>
          <w:tcPr>
            <w:tcW w:w="4123" w:type="dxa"/>
            <w:vAlign w:val="center"/>
          </w:tcPr>
          <w:p w14:paraId="0FF142B0">
            <w:pPr>
              <w:jc w:val="center"/>
              <w:rPr>
                <w:rFonts w:cs="Times New Roman"/>
                <w:color w:val="auto"/>
                <w:sz w:val="24"/>
                <w:szCs w:val="24"/>
              </w:rPr>
            </w:pPr>
            <w:r>
              <w:rPr>
                <w:rFonts w:cs="Times New Roman"/>
                <w:color w:val="auto"/>
                <w:sz w:val="24"/>
              </w:rPr>
              <w:t>川投资备【</w:t>
            </w:r>
            <w:r>
              <w:rPr>
                <w:rFonts w:hint="eastAsia" w:cs="Times New Roman"/>
                <w:color w:val="auto"/>
                <w:sz w:val="24"/>
                <w:lang w:eastAsia="zh-CN"/>
              </w:rPr>
              <w:t>2410-511702-04-03-615920</w:t>
            </w:r>
            <w:r>
              <w:rPr>
                <w:rFonts w:cs="Times New Roman"/>
                <w:color w:val="auto"/>
                <w:sz w:val="24"/>
              </w:rPr>
              <w:t>】</w:t>
            </w:r>
            <w:r>
              <w:rPr>
                <w:rFonts w:hint="eastAsia" w:cs="Times New Roman"/>
                <w:color w:val="auto"/>
                <w:sz w:val="24"/>
                <w:lang w:eastAsia="zh-CN"/>
              </w:rPr>
              <w:t>FGQB-0721</w:t>
            </w:r>
            <w:r>
              <w:rPr>
                <w:rFonts w:cs="Times New Roman"/>
                <w:color w:val="auto"/>
                <w:sz w:val="24"/>
              </w:rPr>
              <w:t>号</w:t>
            </w:r>
          </w:p>
        </w:tc>
      </w:tr>
      <w:tr w14:paraId="7751A8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43" w:type="dxa"/>
            <w:vAlign w:val="center"/>
          </w:tcPr>
          <w:p w14:paraId="07CAC97B">
            <w:pPr>
              <w:jc w:val="center"/>
              <w:rPr>
                <w:rFonts w:cs="Times New Roman"/>
                <w:b/>
                <w:bCs/>
                <w:color w:val="auto"/>
                <w:sz w:val="24"/>
                <w:szCs w:val="24"/>
              </w:rPr>
            </w:pPr>
            <w:r>
              <w:rPr>
                <w:rFonts w:cs="Times New Roman"/>
                <w:b/>
                <w:bCs/>
                <w:color w:val="auto"/>
                <w:sz w:val="24"/>
                <w:szCs w:val="24"/>
              </w:rPr>
              <w:t>总投资</w:t>
            </w:r>
          </w:p>
          <w:p w14:paraId="08484CE9">
            <w:pPr>
              <w:jc w:val="center"/>
              <w:rPr>
                <w:rFonts w:cs="Times New Roman"/>
                <w:b/>
                <w:bCs/>
                <w:color w:val="auto"/>
                <w:sz w:val="24"/>
                <w:szCs w:val="24"/>
              </w:rPr>
            </w:pPr>
            <w:r>
              <w:rPr>
                <w:rFonts w:cs="Times New Roman"/>
                <w:b/>
                <w:bCs/>
                <w:color w:val="auto"/>
                <w:sz w:val="24"/>
                <w:szCs w:val="24"/>
              </w:rPr>
              <w:t>（万元）</w:t>
            </w:r>
          </w:p>
        </w:tc>
        <w:tc>
          <w:tcPr>
            <w:tcW w:w="2424" w:type="dxa"/>
            <w:vAlign w:val="center"/>
          </w:tcPr>
          <w:p w14:paraId="79C79EBE">
            <w:pPr>
              <w:jc w:val="center"/>
              <w:rPr>
                <w:rFonts w:hint="default" w:eastAsia="宋体" w:cs="Times New Roman"/>
                <w:color w:val="auto"/>
                <w:sz w:val="24"/>
                <w:szCs w:val="24"/>
                <w:lang w:val="en-US" w:eastAsia="zh-CN"/>
              </w:rPr>
            </w:pPr>
            <w:r>
              <w:rPr>
                <w:rFonts w:hint="eastAsia" w:cs="Times New Roman"/>
                <w:color w:val="auto"/>
                <w:sz w:val="24"/>
                <w:szCs w:val="24"/>
                <w:lang w:val="en-US" w:eastAsia="zh-CN"/>
              </w:rPr>
              <w:t>200.00</w:t>
            </w:r>
          </w:p>
        </w:tc>
        <w:tc>
          <w:tcPr>
            <w:tcW w:w="1680" w:type="dxa"/>
            <w:vAlign w:val="center"/>
          </w:tcPr>
          <w:p w14:paraId="0501DF73">
            <w:pPr>
              <w:jc w:val="center"/>
              <w:rPr>
                <w:rFonts w:cs="Times New Roman"/>
                <w:b/>
                <w:bCs/>
                <w:color w:val="auto"/>
                <w:sz w:val="24"/>
                <w:szCs w:val="24"/>
              </w:rPr>
            </w:pPr>
            <w:r>
              <w:rPr>
                <w:rFonts w:cs="Times New Roman"/>
                <w:b/>
                <w:bCs/>
                <w:color w:val="auto"/>
                <w:sz w:val="24"/>
                <w:szCs w:val="24"/>
              </w:rPr>
              <w:t>环保投资</w:t>
            </w:r>
          </w:p>
          <w:p w14:paraId="5F71C0D9">
            <w:pPr>
              <w:jc w:val="center"/>
              <w:rPr>
                <w:rFonts w:cs="Times New Roman"/>
                <w:b/>
                <w:bCs/>
                <w:color w:val="auto"/>
                <w:sz w:val="24"/>
                <w:szCs w:val="24"/>
              </w:rPr>
            </w:pPr>
            <w:r>
              <w:rPr>
                <w:rFonts w:cs="Times New Roman"/>
                <w:b/>
                <w:bCs/>
                <w:color w:val="auto"/>
                <w:sz w:val="24"/>
                <w:szCs w:val="24"/>
              </w:rPr>
              <w:t>（万元）</w:t>
            </w:r>
          </w:p>
        </w:tc>
        <w:tc>
          <w:tcPr>
            <w:tcW w:w="4123" w:type="dxa"/>
            <w:vAlign w:val="center"/>
          </w:tcPr>
          <w:p w14:paraId="7F98C1AE">
            <w:pPr>
              <w:jc w:val="center"/>
              <w:rPr>
                <w:rFonts w:hint="default" w:eastAsia="宋体" w:cs="Times New Roman"/>
                <w:color w:val="auto"/>
                <w:sz w:val="24"/>
                <w:szCs w:val="24"/>
                <w:lang w:val="en-US" w:eastAsia="zh-CN"/>
              </w:rPr>
            </w:pPr>
            <w:r>
              <w:rPr>
                <w:rFonts w:hint="eastAsia" w:cs="Times New Roman"/>
                <w:color w:val="auto"/>
                <w:sz w:val="24"/>
                <w:szCs w:val="24"/>
                <w:lang w:val="en-US" w:eastAsia="zh-CN"/>
              </w:rPr>
              <w:t>42.70</w:t>
            </w:r>
          </w:p>
        </w:tc>
      </w:tr>
      <w:tr w14:paraId="753D0D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43" w:type="dxa"/>
            <w:vAlign w:val="center"/>
          </w:tcPr>
          <w:p w14:paraId="5FB3647B">
            <w:pPr>
              <w:jc w:val="center"/>
              <w:rPr>
                <w:rFonts w:cs="Times New Roman"/>
                <w:b/>
                <w:bCs/>
                <w:color w:val="auto"/>
                <w:sz w:val="24"/>
                <w:szCs w:val="24"/>
              </w:rPr>
            </w:pPr>
            <w:r>
              <w:rPr>
                <w:rFonts w:cs="Times New Roman"/>
                <w:b/>
                <w:bCs/>
                <w:color w:val="auto"/>
                <w:sz w:val="24"/>
                <w:szCs w:val="24"/>
              </w:rPr>
              <w:t>环保投资占比（%）</w:t>
            </w:r>
          </w:p>
        </w:tc>
        <w:tc>
          <w:tcPr>
            <w:tcW w:w="2424" w:type="dxa"/>
            <w:vAlign w:val="center"/>
          </w:tcPr>
          <w:p w14:paraId="4067DFFF">
            <w:pPr>
              <w:jc w:val="center"/>
              <w:rPr>
                <w:rFonts w:hint="default" w:eastAsia="宋体" w:cs="Times New Roman"/>
                <w:color w:val="auto"/>
                <w:sz w:val="24"/>
                <w:szCs w:val="24"/>
                <w:lang w:val="en-US" w:eastAsia="zh-CN"/>
              </w:rPr>
            </w:pPr>
            <w:r>
              <w:rPr>
                <w:rFonts w:hint="eastAsia" w:cs="Times New Roman"/>
                <w:color w:val="auto"/>
                <w:sz w:val="24"/>
                <w:szCs w:val="24"/>
                <w:lang w:val="en-US" w:eastAsia="zh-CN"/>
              </w:rPr>
              <w:t>21.35</w:t>
            </w:r>
          </w:p>
        </w:tc>
        <w:tc>
          <w:tcPr>
            <w:tcW w:w="1680" w:type="dxa"/>
            <w:vAlign w:val="center"/>
          </w:tcPr>
          <w:p w14:paraId="3354477E">
            <w:pPr>
              <w:jc w:val="center"/>
              <w:rPr>
                <w:rFonts w:cs="Times New Roman"/>
                <w:b/>
                <w:bCs/>
                <w:color w:val="auto"/>
                <w:sz w:val="24"/>
                <w:szCs w:val="24"/>
              </w:rPr>
            </w:pPr>
            <w:r>
              <w:rPr>
                <w:rFonts w:cs="Times New Roman"/>
                <w:b/>
                <w:bCs/>
                <w:color w:val="auto"/>
                <w:sz w:val="24"/>
                <w:szCs w:val="24"/>
              </w:rPr>
              <w:t>施工工期</w:t>
            </w:r>
          </w:p>
        </w:tc>
        <w:tc>
          <w:tcPr>
            <w:tcW w:w="4123" w:type="dxa"/>
            <w:vAlign w:val="center"/>
          </w:tcPr>
          <w:p w14:paraId="6B1899FC">
            <w:pPr>
              <w:jc w:val="center"/>
              <w:rPr>
                <w:rFonts w:cs="Times New Roman"/>
                <w:color w:val="auto"/>
                <w:sz w:val="24"/>
                <w:szCs w:val="24"/>
              </w:rPr>
            </w:pPr>
            <w:r>
              <w:rPr>
                <w:rFonts w:cs="Times New Roman"/>
                <w:color w:val="auto"/>
                <w:sz w:val="24"/>
                <w:szCs w:val="24"/>
              </w:rPr>
              <w:t>2个月</w:t>
            </w:r>
          </w:p>
        </w:tc>
      </w:tr>
      <w:tr w14:paraId="657AC6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43" w:type="dxa"/>
            <w:vAlign w:val="center"/>
          </w:tcPr>
          <w:p w14:paraId="513B7E34">
            <w:pPr>
              <w:jc w:val="center"/>
              <w:rPr>
                <w:rFonts w:cs="Times New Roman"/>
                <w:b/>
                <w:bCs/>
                <w:color w:val="auto"/>
                <w:sz w:val="24"/>
                <w:szCs w:val="24"/>
              </w:rPr>
            </w:pPr>
            <w:r>
              <w:rPr>
                <w:rFonts w:cs="Times New Roman"/>
                <w:b/>
                <w:bCs/>
                <w:color w:val="auto"/>
                <w:sz w:val="24"/>
                <w:szCs w:val="24"/>
              </w:rPr>
              <w:t>是否开工建设</w:t>
            </w:r>
          </w:p>
        </w:tc>
        <w:tc>
          <w:tcPr>
            <w:tcW w:w="2424" w:type="dxa"/>
            <w:vAlign w:val="center"/>
          </w:tcPr>
          <w:p w14:paraId="5E24A20C">
            <w:pPr>
              <w:jc w:val="center"/>
              <w:rPr>
                <w:rFonts w:cs="Times New Roman"/>
                <w:color w:val="auto"/>
                <w:sz w:val="24"/>
                <w:szCs w:val="24"/>
              </w:rPr>
            </w:pPr>
            <w:r>
              <w:rPr>
                <w:rFonts w:cs="Times New Roman"/>
                <w:color w:val="auto"/>
                <w:sz w:val="24"/>
                <w:szCs w:val="24"/>
              </w:rPr>
              <w:sym w:font="Wingdings 2" w:char="0052"/>
            </w:r>
            <w:r>
              <w:rPr>
                <w:rFonts w:cs="Times New Roman"/>
                <w:color w:val="auto"/>
                <w:sz w:val="24"/>
                <w:szCs w:val="24"/>
              </w:rPr>
              <w:t>否</w:t>
            </w:r>
          </w:p>
          <w:p w14:paraId="7361892E">
            <w:pPr>
              <w:jc w:val="center"/>
              <w:rPr>
                <w:rFonts w:cs="Times New Roman"/>
                <w:color w:val="auto"/>
                <w:sz w:val="24"/>
                <w:szCs w:val="24"/>
              </w:rPr>
            </w:pPr>
            <w:r>
              <w:rPr>
                <w:rFonts w:cs="Times New Roman"/>
                <w:color w:val="auto"/>
                <w:sz w:val="24"/>
                <w:szCs w:val="24"/>
              </w:rPr>
              <w:sym w:font="Wingdings 2" w:char="00A3"/>
            </w:r>
            <w:r>
              <w:rPr>
                <w:rFonts w:cs="Times New Roman"/>
                <w:color w:val="auto"/>
                <w:sz w:val="24"/>
                <w:szCs w:val="24"/>
              </w:rPr>
              <w:t>是</w:t>
            </w:r>
          </w:p>
        </w:tc>
        <w:tc>
          <w:tcPr>
            <w:tcW w:w="1680" w:type="dxa"/>
            <w:vAlign w:val="center"/>
          </w:tcPr>
          <w:p w14:paraId="25727985">
            <w:pPr>
              <w:jc w:val="center"/>
              <w:rPr>
                <w:rFonts w:cs="Times New Roman"/>
                <w:b/>
                <w:bCs/>
                <w:color w:val="auto"/>
                <w:sz w:val="24"/>
                <w:szCs w:val="24"/>
              </w:rPr>
            </w:pPr>
            <w:r>
              <w:rPr>
                <w:rFonts w:cs="Times New Roman"/>
                <w:b/>
                <w:bCs/>
                <w:color w:val="auto"/>
                <w:sz w:val="24"/>
                <w:szCs w:val="24"/>
              </w:rPr>
              <w:t>用地面积（m</w:t>
            </w:r>
            <w:r>
              <w:rPr>
                <w:rFonts w:cs="Times New Roman"/>
                <w:b/>
                <w:bCs/>
                <w:color w:val="auto"/>
                <w:sz w:val="24"/>
                <w:szCs w:val="24"/>
                <w:vertAlign w:val="superscript"/>
              </w:rPr>
              <w:t>2</w:t>
            </w:r>
            <w:r>
              <w:rPr>
                <w:rFonts w:cs="Times New Roman"/>
                <w:b/>
                <w:bCs/>
                <w:color w:val="auto"/>
                <w:sz w:val="24"/>
                <w:szCs w:val="24"/>
              </w:rPr>
              <w:t>）</w:t>
            </w:r>
          </w:p>
        </w:tc>
        <w:tc>
          <w:tcPr>
            <w:tcW w:w="4123" w:type="dxa"/>
            <w:vAlign w:val="center"/>
          </w:tcPr>
          <w:p w14:paraId="2F732841">
            <w:pPr>
              <w:jc w:val="center"/>
              <w:rPr>
                <w:rFonts w:hint="default" w:eastAsia="宋体" w:cs="Times New Roman"/>
                <w:color w:val="auto"/>
                <w:sz w:val="24"/>
                <w:szCs w:val="24"/>
                <w:lang w:val="en-US" w:eastAsia="zh-CN"/>
              </w:rPr>
            </w:pPr>
            <w:r>
              <w:rPr>
                <w:rFonts w:hint="eastAsia" w:cs="Times New Roman"/>
                <w:color w:val="auto"/>
                <w:sz w:val="24"/>
                <w:szCs w:val="24"/>
                <w:lang w:val="en-US" w:eastAsia="zh-CN"/>
              </w:rPr>
              <w:t>5480.00</w:t>
            </w:r>
          </w:p>
        </w:tc>
      </w:tr>
      <w:tr w14:paraId="28BA89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343" w:type="dxa"/>
            <w:vAlign w:val="center"/>
          </w:tcPr>
          <w:p w14:paraId="08D22185">
            <w:pPr>
              <w:jc w:val="center"/>
              <w:rPr>
                <w:rFonts w:cs="Times New Roman"/>
                <w:b/>
                <w:bCs/>
                <w:color w:val="auto"/>
                <w:sz w:val="24"/>
                <w:szCs w:val="24"/>
              </w:rPr>
            </w:pPr>
            <w:r>
              <w:rPr>
                <w:rFonts w:cs="Times New Roman"/>
                <w:b/>
                <w:bCs/>
                <w:color w:val="auto"/>
                <w:sz w:val="24"/>
                <w:szCs w:val="24"/>
              </w:rPr>
              <w:t>专项评价设置情况</w:t>
            </w:r>
          </w:p>
        </w:tc>
        <w:tc>
          <w:tcPr>
            <w:tcW w:w="8227" w:type="dxa"/>
            <w:gridSpan w:val="3"/>
            <w:vAlign w:val="center"/>
          </w:tcPr>
          <w:p w14:paraId="49FFBD82">
            <w:pPr>
              <w:spacing w:line="360" w:lineRule="auto"/>
              <w:jc w:val="center"/>
              <w:rPr>
                <w:rFonts w:cs="Times New Roman"/>
                <w:b/>
                <w:bCs/>
                <w:color w:val="auto"/>
                <w:sz w:val="24"/>
                <w:szCs w:val="24"/>
              </w:rPr>
            </w:pPr>
            <w:r>
              <w:rPr>
                <w:rFonts w:cs="Times New Roman"/>
                <w:b/>
                <w:bCs/>
                <w:color w:val="auto"/>
                <w:sz w:val="24"/>
                <w:szCs w:val="24"/>
              </w:rPr>
              <w:t>表1-1 本项目专项评价设置情况汇总表</w:t>
            </w:r>
          </w:p>
          <w:tbl>
            <w:tblPr>
              <w:tblStyle w:val="25"/>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
            <w:tblGrid>
              <w:gridCol w:w="990"/>
              <w:gridCol w:w="3131"/>
              <w:gridCol w:w="3160"/>
              <w:gridCol w:w="727"/>
            </w:tblGrid>
            <w:tr w14:paraId="239D8D7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c>
                <w:tcPr>
                  <w:tcW w:w="618" w:type="pct"/>
                  <w:tcBorders>
                    <w:tl2br w:val="nil"/>
                    <w:tr2bl w:val="nil"/>
                  </w:tcBorders>
                  <w:vAlign w:val="center"/>
                </w:tcPr>
                <w:p w14:paraId="6F51EDB6">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cs="Times New Roman"/>
                      <w:b/>
                      <w:bCs/>
                      <w:color w:val="auto"/>
                      <w:szCs w:val="21"/>
                    </w:rPr>
                  </w:pPr>
                  <w:r>
                    <w:rPr>
                      <w:rFonts w:cs="Times New Roman"/>
                      <w:b/>
                      <w:bCs/>
                      <w:color w:val="auto"/>
                      <w:szCs w:val="21"/>
                    </w:rPr>
                    <w:t>专项评价的类别</w:t>
                  </w:r>
                </w:p>
              </w:tc>
              <w:tc>
                <w:tcPr>
                  <w:tcW w:w="1954" w:type="pct"/>
                  <w:tcBorders>
                    <w:tl2br w:val="nil"/>
                    <w:tr2bl w:val="nil"/>
                  </w:tcBorders>
                  <w:vAlign w:val="center"/>
                </w:tcPr>
                <w:p w14:paraId="721EDE6C">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cs="Times New Roman"/>
                      <w:b/>
                      <w:bCs/>
                      <w:color w:val="auto"/>
                      <w:szCs w:val="21"/>
                    </w:rPr>
                  </w:pPr>
                  <w:r>
                    <w:rPr>
                      <w:rFonts w:cs="Times New Roman"/>
                      <w:b/>
                      <w:bCs/>
                      <w:color w:val="auto"/>
                      <w:szCs w:val="21"/>
                    </w:rPr>
                    <w:t>设置原则</w:t>
                  </w:r>
                </w:p>
              </w:tc>
              <w:tc>
                <w:tcPr>
                  <w:tcW w:w="1973" w:type="pct"/>
                  <w:tcBorders>
                    <w:tl2br w:val="nil"/>
                    <w:tr2bl w:val="nil"/>
                  </w:tcBorders>
                  <w:vAlign w:val="center"/>
                </w:tcPr>
                <w:p w14:paraId="7AD0F8BA">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cs="Times New Roman"/>
                      <w:b/>
                      <w:bCs/>
                      <w:color w:val="auto"/>
                      <w:szCs w:val="21"/>
                    </w:rPr>
                  </w:pPr>
                  <w:r>
                    <w:rPr>
                      <w:rFonts w:cs="Times New Roman"/>
                      <w:b/>
                      <w:bCs/>
                      <w:color w:val="auto"/>
                      <w:szCs w:val="21"/>
                    </w:rPr>
                    <w:t>本项目情况</w:t>
                  </w:r>
                </w:p>
              </w:tc>
              <w:tc>
                <w:tcPr>
                  <w:tcW w:w="453" w:type="pct"/>
                  <w:tcBorders>
                    <w:tl2br w:val="nil"/>
                    <w:tr2bl w:val="nil"/>
                  </w:tcBorders>
                  <w:vAlign w:val="center"/>
                </w:tcPr>
                <w:p w14:paraId="40A897C6">
                  <w:pPr>
                    <w:keepNext w:val="0"/>
                    <w:keepLines w:val="0"/>
                    <w:pageBreakBefore w:val="0"/>
                    <w:widowControl w:val="0"/>
                    <w:kinsoku/>
                    <w:wordWrap/>
                    <w:overflowPunct/>
                    <w:topLinePunct w:val="0"/>
                    <w:autoSpaceDE/>
                    <w:autoSpaceDN/>
                    <w:bidi w:val="0"/>
                    <w:adjustRightInd/>
                    <w:snapToGrid/>
                    <w:spacing w:line="240" w:lineRule="exact"/>
                    <w:ind w:left="-120" w:leftChars="-57" w:right="-65" w:rightChars="-31"/>
                    <w:jc w:val="center"/>
                    <w:textAlignment w:val="auto"/>
                    <w:rPr>
                      <w:rFonts w:cs="Times New Roman"/>
                      <w:b/>
                      <w:bCs/>
                      <w:color w:val="auto"/>
                      <w:szCs w:val="21"/>
                    </w:rPr>
                  </w:pPr>
                  <w:r>
                    <w:rPr>
                      <w:rFonts w:cs="Times New Roman"/>
                      <w:b/>
                      <w:bCs/>
                      <w:color w:val="auto"/>
                      <w:szCs w:val="21"/>
                    </w:rPr>
                    <w:t>是否需设置专项评价</w:t>
                  </w:r>
                </w:p>
              </w:tc>
            </w:tr>
            <w:tr w14:paraId="01AABA8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c>
                <w:tcPr>
                  <w:tcW w:w="618" w:type="pct"/>
                  <w:tcBorders>
                    <w:tl2br w:val="nil"/>
                    <w:tr2bl w:val="nil"/>
                  </w:tcBorders>
                  <w:vAlign w:val="center"/>
                </w:tcPr>
                <w:p w14:paraId="2000097E">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cs="Times New Roman"/>
                      <w:color w:val="auto"/>
                      <w:szCs w:val="21"/>
                    </w:rPr>
                  </w:pPr>
                  <w:r>
                    <w:rPr>
                      <w:rFonts w:cs="Times New Roman"/>
                      <w:color w:val="auto"/>
                      <w:szCs w:val="21"/>
                    </w:rPr>
                    <w:t>大气</w:t>
                  </w:r>
                </w:p>
              </w:tc>
              <w:tc>
                <w:tcPr>
                  <w:tcW w:w="1954" w:type="pct"/>
                  <w:tcBorders>
                    <w:tl2br w:val="nil"/>
                    <w:tr2bl w:val="nil"/>
                  </w:tcBorders>
                  <w:vAlign w:val="center"/>
                </w:tcPr>
                <w:p w14:paraId="60A48604">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cs="Times New Roman"/>
                      <w:color w:val="auto"/>
                      <w:szCs w:val="21"/>
                    </w:rPr>
                  </w:pPr>
                  <w:r>
                    <w:rPr>
                      <w:rFonts w:cs="Times New Roman"/>
                      <w:color w:val="auto"/>
                      <w:szCs w:val="21"/>
                    </w:rPr>
                    <w:t>排放废气含有毒有害污染物</w:t>
                  </w:r>
                  <w:r>
                    <w:rPr>
                      <w:rFonts w:cs="Times New Roman"/>
                      <w:color w:val="auto"/>
                      <w:szCs w:val="21"/>
                      <w:vertAlign w:val="superscript"/>
                    </w:rPr>
                    <w:t>1</w:t>
                  </w:r>
                  <w:r>
                    <w:rPr>
                      <w:rFonts w:cs="Times New Roman"/>
                      <w:color w:val="auto"/>
                      <w:szCs w:val="21"/>
                    </w:rPr>
                    <w:t>、二噁英、苯并</w:t>
                  </w:r>
                  <w:r>
                    <w:rPr>
                      <w:rFonts w:cs="Times New Roman"/>
                      <w:color w:val="auto"/>
                      <w:szCs w:val="21"/>
                      <w:vertAlign w:val="superscript"/>
                    </w:rPr>
                    <w:t>[a]</w:t>
                  </w:r>
                  <w:r>
                    <w:rPr>
                      <w:rFonts w:cs="Times New Roman"/>
                      <w:color w:val="auto"/>
                      <w:szCs w:val="21"/>
                    </w:rPr>
                    <w:t>芘、氰化物、氯气且厂界外500米范围内有环境空气保护目标</w:t>
                  </w:r>
                  <w:r>
                    <w:rPr>
                      <w:rFonts w:cs="Times New Roman"/>
                      <w:color w:val="auto"/>
                      <w:szCs w:val="21"/>
                      <w:vertAlign w:val="superscript"/>
                    </w:rPr>
                    <w:t>2</w:t>
                  </w:r>
                  <w:r>
                    <w:rPr>
                      <w:rFonts w:cs="Times New Roman"/>
                      <w:color w:val="auto"/>
                      <w:szCs w:val="21"/>
                    </w:rPr>
                    <w:t>的建设项目</w:t>
                  </w:r>
                </w:p>
              </w:tc>
              <w:tc>
                <w:tcPr>
                  <w:tcW w:w="1973" w:type="pct"/>
                  <w:tcBorders>
                    <w:tl2br w:val="nil"/>
                    <w:tr2bl w:val="nil"/>
                  </w:tcBorders>
                  <w:vAlign w:val="center"/>
                </w:tcPr>
                <w:p w14:paraId="09E2C860">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cs="Times New Roman"/>
                      <w:color w:val="auto"/>
                      <w:szCs w:val="21"/>
                    </w:rPr>
                  </w:pPr>
                  <w:r>
                    <w:rPr>
                      <w:rFonts w:hint="eastAsia" w:cs="Times New Roman"/>
                      <w:color w:val="auto"/>
                      <w:szCs w:val="21"/>
                      <w:lang w:eastAsia="zh-CN"/>
                    </w:rPr>
                    <w:t>本项目运营期废气主要因子为颗粒物，</w:t>
                  </w:r>
                  <w:r>
                    <w:rPr>
                      <w:rFonts w:cs="Times New Roman"/>
                      <w:color w:val="auto"/>
                      <w:szCs w:val="21"/>
                    </w:rPr>
                    <w:t>不涉及有毒有害</w:t>
                  </w:r>
                  <w:r>
                    <w:rPr>
                      <w:rFonts w:hint="eastAsia" w:cs="Times New Roman"/>
                      <w:color w:val="auto"/>
                      <w:szCs w:val="21"/>
                      <w:lang w:eastAsia="zh-CN"/>
                    </w:rPr>
                    <w:t>大气</w:t>
                  </w:r>
                  <w:r>
                    <w:rPr>
                      <w:rFonts w:cs="Times New Roman"/>
                      <w:color w:val="auto"/>
                      <w:szCs w:val="21"/>
                    </w:rPr>
                    <w:t>污染物、二噁英、苯并</w:t>
                  </w:r>
                  <w:r>
                    <w:rPr>
                      <w:rFonts w:cs="Times New Roman"/>
                      <w:color w:val="auto"/>
                      <w:szCs w:val="21"/>
                      <w:vertAlign w:val="superscript"/>
                    </w:rPr>
                    <w:t>[a]</w:t>
                  </w:r>
                  <w:r>
                    <w:rPr>
                      <w:rFonts w:cs="Times New Roman"/>
                      <w:color w:val="auto"/>
                      <w:szCs w:val="21"/>
                    </w:rPr>
                    <w:t>芘、氰化物、氯气。</w:t>
                  </w:r>
                </w:p>
              </w:tc>
              <w:tc>
                <w:tcPr>
                  <w:tcW w:w="453" w:type="pct"/>
                  <w:tcBorders>
                    <w:tl2br w:val="nil"/>
                    <w:tr2bl w:val="nil"/>
                  </w:tcBorders>
                  <w:vAlign w:val="center"/>
                </w:tcPr>
                <w:p w14:paraId="4D68E55F">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cs="Times New Roman"/>
                      <w:color w:val="auto"/>
                      <w:szCs w:val="21"/>
                    </w:rPr>
                  </w:pPr>
                  <w:r>
                    <w:rPr>
                      <w:rFonts w:cs="Times New Roman"/>
                      <w:color w:val="auto"/>
                      <w:szCs w:val="21"/>
                    </w:rPr>
                    <w:t>否</w:t>
                  </w:r>
                </w:p>
              </w:tc>
            </w:tr>
            <w:tr w14:paraId="7397A78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c>
                <w:tcPr>
                  <w:tcW w:w="618" w:type="pct"/>
                  <w:tcBorders>
                    <w:tl2br w:val="nil"/>
                    <w:tr2bl w:val="nil"/>
                  </w:tcBorders>
                  <w:vAlign w:val="center"/>
                </w:tcPr>
                <w:p w14:paraId="6AC2F1B0">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cs="Times New Roman"/>
                      <w:color w:val="auto"/>
                      <w:szCs w:val="21"/>
                    </w:rPr>
                  </w:pPr>
                  <w:r>
                    <w:rPr>
                      <w:rFonts w:cs="Times New Roman"/>
                      <w:color w:val="auto"/>
                      <w:szCs w:val="21"/>
                    </w:rPr>
                    <w:t>地表水</w:t>
                  </w:r>
                </w:p>
              </w:tc>
              <w:tc>
                <w:tcPr>
                  <w:tcW w:w="1954" w:type="pct"/>
                  <w:tcBorders>
                    <w:tl2br w:val="nil"/>
                    <w:tr2bl w:val="nil"/>
                  </w:tcBorders>
                  <w:vAlign w:val="center"/>
                </w:tcPr>
                <w:p w14:paraId="5A4307BB">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cs="Times New Roman"/>
                      <w:color w:val="auto"/>
                      <w:szCs w:val="21"/>
                    </w:rPr>
                  </w:pPr>
                  <w:r>
                    <w:rPr>
                      <w:rFonts w:cs="Times New Roman"/>
                      <w:color w:val="auto"/>
                      <w:szCs w:val="21"/>
                    </w:rPr>
                    <w:t>新增工业废水直排建设项目（槽罐车外送污水处理厂的除外）；新增废水直排的污水集中处理厂</w:t>
                  </w:r>
                </w:p>
              </w:tc>
              <w:tc>
                <w:tcPr>
                  <w:tcW w:w="1973" w:type="pct"/>
                  <w:tcBorders>
                    <w:tl2br w:val="nil"/>
                    <w:tr2bl w:val="nil"/>
                  </w:tcBorders>
                  <w:vAlign w:val="center"/>
                </w:tcPr>
                <w:p w14:paraId="798E92AF">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cs="Times New Roman"/>
                      <w:color w:val="auto"/>
                      <w:szCs w:val="21"/>
                    </w:rPr>
                  </w:pPr>
                  <w:r>
                    <w:rPr>
                      <w:rFonts w:cs="Times New Roman"/>
                      <w:color w:val="auto"/>
                      <w:szCs w:val="21"/>
                    </w:rPr>
                    <w:t>本项目生活污水</w:t>
                  </w:r>
                  <w:r>
                    <w:rPr>
                      <w:rFonts w:hint="eastAsia" w:cs="Times New Roman"/>
                      <w:color w:val="auto"/>
                      <w:szCs w:val="21"/>
                      <w:lang w:eastAsia="zh-CN"/>
                    </w:rPr>
                    <w:t>进入租用厂房（天宇车业）</w:t>
                  </w:r>
                  <w:r>
                    <w:rPr>
                      <w:rFonts w:hint="eastAsia" w:cs="Times New Roman"/>
                      <w:color w:val="auto"/>
                      <w:szCs w:val="21"/>
                      <w:lang w:val="en-US" w:eastAsia="zh-CN"/>
                    </w:rPr>
                    <w:t>1号车间</w:t>
                  </w:r>
                  <w:r>
                    <w:rPr>
                      <w:rFonts w:hint="eastAsia" w:cs="Times New Roman"/>
                      <w:color w:val="auto"/>
                      <w:szCs w:val="21"/>
                      <w:lang w:eastAsia="zh-CN"/>
                    </w:rPr>
                    <w:t>已建的化粪池，定期拉运至东岳场镇污水处理厂处理达标后排放。</w:t>
                  </w:r>
                  <w:r>
                    <w:rPr>
                      <w:rFonts w:cs="Times New Roman"/>
                      <w:color w:val="auto"/>
                      <w:szCs w:val="21"/>
                    </w:rPr>
                    <w:t>生产废水经沉淀处理后循环使用，不外排。</w:t>
                  </w:r>
                </w:p>
              </w:tc>
              <w:tc>
                <w:tcPr>
                  <w:tcW w:w="453" w:type="pct"/>
                  <w:tcBorders>
                    <w:tl2br w:val="nil"/>
                    <w:tr2bl w:val="nil"/>
                  </w:tcBorders>
                  <w:vAlign w:val="center"/>
                </w:tcPr>
                <w:p w14:paraId="28B46A18">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cs="Times New Roman"/>
                      <w:color w:val="auto"/>
                      <w:szCs w:val="21"/>
                    </w:rPr>
                  </w:pPr>
                  <w:r>
                    <w:rPr>
                      <w:rFonts w:cs="Times New Roman"/>
                      <w:color w:val="auto"/>
                      <w:szCs w:val="21"/>
                    </w:rPr>
                    <w:t>否</w:t>
                  </w:r>
                </w:p>
              </w:tc>
            </w:tr>
            <w:tr w14:paraId="2318174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c>
                <w:tcPr>
                  <w:tcW w:w="618" w:type="pct"/>
                  <w:tcBorders>
                    <w:tl2br w:val="nil"/>
                    <w:tr2bl w:val="nil"/>
                  </w:tcBorders>
                  <w:vAlign w:val="center"/>
                </w:tcPr>
                <w:p w14:paraId="49812BC5">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cs="Times New Roman"/>
                      <w:color w:val="auto"/>
                      <w:szCs w:val="21"/>
                    </w:rPr>
                  </w:pPr>
                  <w:r>
                    <w:rPr>
                      <w:rFonts w:cs="Times New Roman"/>
                      <w:color w:val="auto"/>
                      <w:szCs w:val="21"/>
                    </w:rPr>
                    <w:t>环境风险</w:t>
                  </w:r>
                </w:p>
              </w:tc>
              <w:tc>
                <w:tcPr>
                  <w:tcW w:w="1954" w:type="pct"/>
                  <w:tcBorders>
                    <w:tl2br w:val="nil"/>
                    <w:tr2bl w:val="nil"/>
                  </w:tcBorders>
                  <w:vAlign w:val="center"/>
                </w:tcPr>
                <w:p w14:paraId="73D14BFE">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cs="Times New Roman"/>
                      <w:color w:val="auto"/>
                      <w:szCs w:val="21"/>
                    </w:rPr>
                  </w:pPr>
                  <w:r>
                    <w:rPr>
                      <w:rFonts w:cs="Times New Roman"/>
                      <w:color w:val="auto"/>
                      <w:szCs w:val="21"/>
                    </w:rPr>
                    <w:t>有毒有害和易燃易爆危险物质存储量超过临界量</w:t>
                  </w:r>
                  <w:r>
                    <w:rPr>
                      <w:rFonts w:cs="Times New Roman"/>
                      <w:color w:val="auto"/>
                      <w:szCs w:val="21"/>
                      <w:vertAlign w:val="superscript"/>
                    </w:rPr>
                    <w:t>3</w:t>
                  </w:r>
                  <w:r>
                    <w:rPr>
                      <w:rFonts w:cs="Times New Roman"/>
                      <w:color w:val="auto"/>
                      <w:szCs w:val="21"/>
                    </w:rPr>
                    <w:t>的建设项目</w:t>
                  </w:r>
                </w:p>
              </w:tc>
              <w:tc>
                <w:tcPr>
                  <w:tcW w:w="1973" w:type="pct"/>
                  <w:tcBorders>
                    <w:tl2br w:val="nil"/>
                    <w:tr2bl w:val="nil"/>
                  </w:tcBorders>
                  <w:vAlign w:val="center"/>
                </w:tcPr>
                <w:p w14:paraId="4A7CC8D5">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cs="Times New Roman"/>
                      <w:color w:val="auto"/>
                      <w:szCs w:val="21"/>
                    </w:rPr>
                  </w:pPr>
                  <w:r>
                    <w:rPr>
                      <w:rFonts w:cs="Times New Roman"/>
                      <w:color w:val="auto"/>
                      <w:szCs w:val="21"/>
                    </w:rPr>
                    <w:t>本项目</w:t>
                  </w:r>
                  <w:r>
                    <w:rPr>
                      <w:rFonts w:hint="eastAsia" w:cs="Times New Roman"/>
                      <w:color w:val="auto"/>
                      <w:szCs w:val="21"/>
                      <w:lang w:eastAsia="zh-CN"/>
                    </w:rPr>
                    <w:t>不储存有毒有害和易燃易爆危险物质</w:t>
                  </w:r>
                  <w:r>
                    <w:rPr>
                      <w:rFonts w:cs="Times New Roman"/>
                      <w:color w:val="auto"/>
                      <w:szCs w:val="21"/>
                    </w:rPr>
                    <w:t>。</w:t>
                  </w:r>
                </w:p>
              </w:tc>
              <w:tc>
                <w:tcPr>
                  <w:tcW w:w="453" w:type="pct"/>
                  <w:tcBorders>
                    <w:tl2br w:val="nil"/>
                    <w:tr2bl w:val="nil"/>
                  </w:tcBorders>
                  <w:vAlign w:val="center"/>
                </w:tcPr>
                <w:p w14:paraId="287EE6C4">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cs="Times New Roman"/>
                      <w:color w:val="auto"/>
                      <w:szCs w:val="21"/>
                    </w:rPr>
                  </w:pPr>
                  <w:r>
                    <w:rPr>
                      <w:rFonts w:cs="Times New Roman"/>
                      <w:color w:val="auto"/>
                      <w:szCs w:val="21"/>
                    </w:rPr>
                    <w:t>否</w:t>
                  </w:r>
                </w:p>
              </w:tc>
            </w:tr>
            <w:tr w14:paraId="3746B51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c>
                <w:tcPr>
                  <w:tcW w:w="618" w:type="pct"/>
                  <w:tcBorders>
                    <w:tl2br w:val="nil"/>
                    <w:tr2bl w:val="nil"/>
                  </w:tcBorders>
                  <w:vAlign w:val="center"/>
                </w:tcPr>
                <w:p w14:paraId="4A520FE5">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cs="Times New Roman"/>
                      <w:color w:val="auto"/>
                      <w:szCs w:val="21"/>
                    </w:rPr>
                  </w:pPr>
                  <w:r>
                    <w:rPr>
                      <w:rFonts w:cs="Times New Roman"/>
                      <w:color w:val="auto"/>
                      <w:szCs w:val="21"/>
                    </w:rPr>
                    <w:t>生态</w:t>
                  </w:r>
                </w:p>
              </w:tc>
              <w:tc>
                <w:tcPr>
                  <w:tcW w:w="1954" w:type="pct"/>
                  <w:tcBorders>
                    <w:tl2br w:val="nil"/>
                    <w:tr2bl w:val="nil"/>
                  </w:tcBorders>
                  <w:vAlign w:val="center"/>
                </w:tcPr>
                <w:p w14:paraId="51643C3F">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cs="Times New Roman"/>
                      <w:color w:val="auto"/>
                      <w:szCs w:val="21"/>
                    </w:rPr>
                  </w:pPr>
                  <w:r>
                    <w:rPr>
                      <w:rFonts w:cs="Times New Roman"/>
                      <w:color w:val="auto"/>
                      <w:szCs w:val="21"/>
                    </w:rPr>
                    <w:t>取水口下游500米范围内有重要水生生物的自然产卵场、索饵场、越冬场和洄游通道的新增河道取水的污染类建设项目</w:t>
                  </w:r>
                </w:p>
              </w:tc>
              <w:tc>
                <w:tcPr>
                  <w:tcW w:w="1973" w:type="pct"/>
                  <w:tcBorders>
                    <w:tl2br w:val="nil"/>
                    <w:tr2bl w:val="nil"/>
                  </w:tcBorders>
                  <w:vAlign w:val="center"/>
                </w:tcPr>
                <w:p w14:paraId="68B89861">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cs="Times New Roman"/>
                      <w:color w:val="auto"/>
                      <w:szCs w:val="21"/>
                    </w:rPr>
                  </w:pPr>
                  <w:r>
                    <w:rPr>
                      <w:rFonts w:cs="Times New Roman"/>
                      <w:color w:val="auto"/>
                      <w:szCs w:val="21"/>
                    </w:rPr>
                    <w:t>本项目生活用水和生产用水均采用自来水厂供应。</w:t>
                  </w:r>
                </w:p>
              </w:tc>
              <w:tc>
                <w:tcPr>
                  <w:tcW w:w="453" w:type="pct"/>
                  <w:tcBorders>
                    <w:tl2br w:val="nil"/>
                    <w:tr2bl w:val="nil"/>
                  </w:tcBorders>
                  <w:vAlign w:val="center"/>
                </w:tcPr>
                <w:p w14:paraId="7DD6607E">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cs="Times New Roman"/>
                      <w:color w:val="auto"/>
                      <w:szCs w:val="21"/>
                    </w:rPr>
                  </w:pPr>
                  <w:r>
                    <w:rPr>
                      <w:rFonts w:cs="Times New Roman"/>
                      <w:color w:val="auto"/>
                      <w:szCs w:val="21"/>
                    </w:rPr>
                    <w:t>否</w:t>
                  </w:r>
                </w:p>
              </w:tc>
            </w:tr>
            <w:tr w14:paraId="7302D8A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c>
                <w:tcPr>
                  <w:tcW w:w="618" w:type="pct"/>
                  <w:tcBorders>
                    <w:tl2br w:val="nil"/>
                    <w:tr2bl w:val="nil"/>
                  </w:tcBorders>
                  <w:vAlign w:val="center"/>
                </w:tcPr>
                <w:p w14:paraId="47431BEF">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cs="Times New Roman"/>
                      <w:color w:val="auto"/>
                      <w:szCs w:val="21"/>
                    </w:rPr>
                  </w:pPr>
                  <w:r>
                    <w:rPr>
                      <w:rFonts w:cs="Times New Roman"/>
                      <w:color w:val="auto"/>
                      <w:szCs w:val="21"/>
                    </w:rPr>
                    <w:t>海洋</w:t>
                  </w:r>
                </w:p>
              </w:tc>
              <w:tc>
                <w:tcPr>
                  <w:tcW w:w="1954" w:type="pct"/>
                  <w:tcBorders>
                    <w:tl2br w:val="nil"/>
                    <w:tr2bl w:val="nil"/>
                  </w:tcBorders>
                  <w:vAlign w:val="center"/>
                </w:tcPr>
                <w:p w14:paraId="07D027BE">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cs="Times New Roman"/>
                      <w:color w:val="auto"/>
                      <w:szCs w:val="21"/>
                    </w:rPr>
                  </w:pPr>
                  <w:r>
                    <w:rPr>
                      <w:rFonts w:cs="Times New Roman"/>
                      <w:color w:val="auto"/>
                      <w:szCs w:val="21"/>
                    </w:rPr>
                    <w:t>直接向海排放污染物的海洋工程建设项目</w:t>
                  </w:r>
                </w:p>
              </w:tc>
              <w:tc>
                <w:tcPr>
                  <w:tcW w:w="1973" w:type="pct"/>
                  <w:tcBorders>
                    <w:tl2br w:val="nil"/>
                    <w:tr2bl w:val="nil"/>
                  </w:tcBorders>
                  <w:vAlign w:val="center"/>
                </w:tcPr>
                <w:p w14:paraId="4BADA34C">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cs="Times New Roman"/>
                      <w:color w:val="auto"/>
                      <w:szCs w:val="21"/>
                    </w:rPr>
                  </w:pPr>
                  <w:r>
                    <w:rPr>
                      <w:rFonts w:hint="eastAsia" w:cs="Times New Roman"/>
                      <w:color w:val="auto"/>
                      <w:szCs w:val="21"/>
                      <w:lang w:val="en-US" w:eastAsia="zh-CN"/>
                    </w:rPr>
                    <w:t>项目不属于海洋工程建设项目，故无需开展海洋专项评价</w:t>
                  </w:r>
                </w:p>
              </w:tc>
              <w:tc>
                <w:tcPr>
                  <w:tcW w:w="453" w:type="pct"/>
                  <w:tcBorders>
                    <w:tl2br w:val="nil"/>
                    <w:tr2bl w:val="nil"/>
                  </w:tcBorders>
                  <w:vAlign w:val="center"/>
                </w:tcPr>
                <w:p w14:paraId="69683983">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cs="Times New Roman"/>
                      <w:color w:val="auto"/>
                      <w:szCs w:val="21"/>
                    </w:rPr>
                  </w:pPr>
                  <w:r>
                    <w:rPr>
                      <w:rFonts w:cs="Times New Roman"/>
                      <w:color w:val="auto"/>
                      <w:szCs w:val="21"/>
                    </w:rPr>
                    <w:t>否</w:t>
                  </w:r>
                </w:p>
              </w:tc>
            </w:tr>
            <w:tr w14:paraId="21FFE45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c>
                <w:tcPr>
                  <w:tcW w:w="618" w:type="pct"/>
                  <w:tcBorders>
                    <w:tl2br w:val="nil"/>
                    <w:tr2bl w:val="nil"/>
                  </w:tcBorders>
                  <w:shd w:val="clear" w:color="auto" w:fill="auto"/>
                  <w:vAlign w:val="center"/>
                </w:tcPr>
                <w:p w14:paraId="1AF0404F">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cs="Times New Roman"/>
                      <w:color w:val="auto"/>
                      <w:szCs w:val="21"/>
                      <w:lang w:val="en-US" w:eastAsia="en-US"/>
                    </w:rPr>
                  </w:pPr>
                  <w:r>
                    <w:rPr>
                      <w:rFonts w:cs="Times New Roman"/>
                      <w:color w:val="auto"/>
                      <w:szCs w:val="21"/>
                    </w:rPr>
                    <w:t>地下水</w:t>
                  </w:r>
                </w:p>
              </w:tc>
              <w:tc>
                <w:tcPr>
                  <w:tcW w:w="1954" w:type="pct"/>
                  <w:tcBorders>
                    <w:tl2br w:val="nil"/>
                    <w:tr2bl w:val="nil"/>
                  </w:tcBorders>
                  <w:shd w:val="clear" w:color="auto" w:fill="auto"/>
                  <w:vAlign w:val="top"/>
                </w:tcPr>
                <w:p w14:paraId="330335CC">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cs="Times New Roman"/>
                      <w:color w:val="auto"/>
                      <w:szCs w:val="21"/>
                      <w:lang w:val="en-US" w:eastAsia="en-US"/>
                    </w:rPr>
                  </w:pPr>
                  <w:r>
                    <w:rPr>
                      <w:rFonts w:cs="Times New Roman"/>
                      <w:color w:val="auto"/>
                      <w:szCs w:val="21"/>
                    </w:rPr>
                    <w:t>涉及集中式饮用水水源和热水、矿泉水、温泉等特殊地下水资源保护区</w:t>
                  </w:r>
                </w:p>
              </w:tc>
              <w:tc>
                <w:tcPr>
                  <w:tcW w:w="1973" w:type="pct"/>
                  <w:tcBorders>
                    <w:tl2br w:val="nil"/>
                    <w:tr2bl w:val="nil"/>
                  </w:tcBorders>
                  <w:shd w:val="clear" w:color="auto" w:fill="auto"/>
                  <w:vAlign w:val="center"/>
                </w:tcPr>
                <w:p w14:paraId="0B847B29">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cs="Times New Roman"/>
                      <w:color w:val="auto"/>
                      <w:szCs w:val="21"/>
                      <w:lang w:val="en-US" w:eastAsia="en-US"/>
                    </w:rPr>
                  </w:pPr>
                  <w:r>
                    <w:rPr>
                      <w:rFonts w:hint="eastAsia" w:cs="Times New Roman"/>
                      <w:color w:val="auto"/>
                      <w:szCs w:val="21"/>
                      <w:lang w:val="en-US" w:eastAsia="en-US"/>
                    </w:rPr>
                    <w:t>项目不涉及集中式饮用水水源和热水、矿泉水、温泉等特殊地下水资源保护区。</w:t>
                  </w:r>
                </w:p>
              </w:tc>
              <w:tc>
                <w:tcPr>
                  <w:tcW w:w="453" w:type="pct"/>
                  <w:tcBorders>
                    <w:tl2br w:val="nil"/>
                    <w:tr2bl w:val="nil"/>
                  </w:tcBorders>
                  <w:vAlign w:val="center"/>
                </w:tcPr>
                <w:p w14:paraId="1CF4B06C">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cs="Times New Roman"/>
                      <w:color w:val="auto"/>
                      <w:szCs w:val="21"/>
                    </w:rPr>
                  </w:pPr>
                  <w:r>
                    <w:rPr>
                      <w:rFonts w:cs="Times New Roman"/>
                      <w:color w:val="auto"/>
                      <w:szCs w:val="21"/>
                    </w:rPr>
                    <w:t>否</w:t>
                  </w:r>
                </w:p>
              </w:tc>
            </w:tr>
          </w:tbl>
          <w:p w14:paraId="4B0B67B5">
            <w:pPr>
              <w:spacing w:line="360" w:lineRule="auto"/>
              <w:ind w:firstLine="480" w:firstLineChars="200"/>
              <w:rPr>
                <w:rFonts w:cs="Times New Roman"/>
                <w:color w:val="auto"/>
                <w:sz w:val="24"/>
                <w:szCs w:val="24"/>
              </w:rPr>
            </w:pPr>
            <w:r>
              <w:rPr>
                <w:rFonts w:cs="Times New Roman"/>
                <w:color w:val="auto"/>
                <w:sz w:val="24"/>
                <w:szCs w:val="24"/>
              </w:rPr>
              <w:t>故由上表可知，本项目不设置专项评价。</w:t>
            </w:r>
          </w:p>
        </w:tc>
      </w:tr>
      <w:tr w14:paraId="0D4AF7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343" w:type="dxa"/>
            <w:vAlign w:val="center"/>
          </w:tcPr>
          <w:p w14:paraId="6CAD3D36">
            <w:pPr>
              <w:jc w:val="center"/>
              <w:rPr>
                <w:rFonts w:cs="Times New Roman"/>
                <w:b/>
                <w:bCs/>
                <w:color w:val="auto"/>
                <w:sz w:val="24"/>
                <w:szCs w:val="24"/>
              </w:rPr>
            </w:pPr>
            <w:r>
              <w:rPr>
                <w:rFonts w:cs="Times New Roman"/>
                <w:b/>
                <w:bCs/>
                <w:color w:val="auto"/>
                <w:sz w:val="24"/>
                <w:szCs w:val="24"/>
              </w:rPr>
              <w:t>规划情况</w:t>
            </w:r>
          </w:p>
        </w:tc>
        <w:tc>
          <w:tcPr>
            <w:tcW w:w="8227" w:type="dxa"/>
            <w:gridSpan w:val="3"/>
            <w:vAlign w:val="center"/>
          </w:tcPr>
          <w:p w14:paraId="01DC831F">
            <w:pPr>
              <w:spacing w:line="336" w:lineRule="auto"/>
              <w:ind w:firstLine="482" w:firstLineChars="200"/>
              <w:rPr>
                <w:rFonts w:hint="default" w:eastAsia="宋体" w:cs="Times New Roman"/>
                <w:color w:val="auto"/>
                <w:kern w:val="0"/>
                <w:sz w:val="24"/>
                <w:lang w:val="en-US" w:eastAsia="zh-CN"/>
              </w:rPr>
            </w:pPr>
            <w:r>
              <w:rPr>
                <w:rFonts w:hint="default" w:eastAsia="宋体" w:cs="Times New Roman"/>
                <w:b/>
                <w:bCs/>
                <w:color w:val="auto"/>
                <w:kern w:val="0"/>
                <w:sz w:val="24"/>
                <w:lang w:val="en-US" w:eastAsia="zh-CN"/>
              </w:rPr>
              <w:t>规划名称</w:t>
            </w:r>
            <w:r>
              <w:rPr>
                <w:rFonts w:hint="default" w:eastAsia="宋体" w:cs="Times New Roman"/>
                <w:color w:val="auto"/>
                <w:kern w:val="0"/>
                <w:sz w:val="24"/>
                <w:lang w:val="en-US" w:eastAsia="zh-CN"/>
              </w:rPr>
              <w:t>：达州市通川区东岳新型工业集聚区规划</w:t>
            </w:r>
          </w:p>
          <w:p w14:paraId="592A863B">
            <w:pPr>
              <w:spacing w:line="336" w:lineRule="auto"/>
              <w:ind w:firstLine="482" w:firstLineChars="200"/>
              <w:rPr>
                <w:rFonts w:hint="default" w:eastAsia="宋体" w:cs="Times New Roman"/>
                <w:color w:val="auto"/>
                <w:kern w:val="0"/>
                <w:sz w:val="24"/>
                <w:lang w:val="en-US" w:eastAsia="zh-CN"/>
              </w:rPr>
            </w:pPr>
            <w:r>
              <w:rPr>
                <w:rFonts w:hint="default" w:eastAsia="宋体" w:cs="Times New Roman"/>
                <w:b/>
                <w:bCs/>
                <w:color w:val="auto"/>
                <w:kern w:val="0"/>
                <w:sz w:val="24"/>
                <w:lang w:val="en-US" w:eastAsia="zh-CN"/>
              </w:rPr>
              <w:t>规划区范围：</w:t>
            </w:r>
            <w:r>
              <w:rPr>
                <w:rFonts w:hint="default" w:eastAsia="宋体" w:cs="Times New Roman"/>
                <w:color w:val="auto"/>
                <w:kern w:val="0"/>
                <w:sz w:val="24"/>
                <w:lang w:val="en-US" w:eastAsia="zh-CN"/>
              </w:rPr>
              <w:t>东以达州市环城高速为界，北至魏兴接壤处，西至襄渝铁路复线以东，南至双龙镇接壤处，规划面积7.34km</w:t>
            </w:r>
            <w:r>
              <w:rPr>
                <w:rFonts w:hint="default" w:eastAsia="宋体" w:cs="Times New Roman"/>
                <w:color w:val="auto"/>
                <w:kern w:val="0"/>
                <w:sz w:val="24"/>
                <w:vertAlign w:val="superscript"/>
                <w:lang w:val="en-US" w:eastAsia="zh-CN"/>
              </w:rPr>
              <w:t>2</w:t>
            </w:r>
            <w:r>
              <w:rPr>
                <w:rFonts w:hint="default" w:eastAsia="宋体" w:cs="Times New Roman"/>
                <w:color w:val="auto"/>
                <w:kern w:val="0"/>
                <w:sz w:val="24"/>
                <w:lang w:val="en-US" w:eastAsia="zh-CN"/>
              </w:rPr>
              <w:t>。</w:t>
            </w:r>
          </w:p>
          <w:p w14:paraId="1125B651">
            <w:pPr>
              <w:spacing w:line="336" w:lineRule="auto"/>
              <w:ind w:firstLine="482" w:firstLineChars="200"/>
              <w:rPr>
                <w:rFonts w:hint="default" w:eastAsia="宋体" w:cs="Times New Roman"/>
                <w:color w:val="auto"/>
                <w:kern w:val="0"/>
                <w:sz w:val="24"/>
                <w:lang w:val="en-US" w:eastAsia="zh-CN"/>
              </w:rPr>
            </w:pPr>
            <w:r>
              <w:rPr>
                <w:rFonts w:hint="default" w:eastAsia="宋体" w:cs="Times New Roman"/>
                <w:b/>
                <w:bCs/>
                <w:color w:val="auto"/>
                <w:kern w:val="0"/>
                <w:sz w:val="24"/>
                <w:lang w:val="en-US" w:eastAsia="zh-CN"/>
              </w:rPr>
              <w:t>功能定位：</w:t>
            </w:r>
            <w:r>
              <w:rPr>
                <w:rFonts w:hint="default" w:eastAsia="宋体" w:cs="Times New Roman"/>
                <w:color w:val="auto"/>
                <w:kern w:val="0"/>
                <w:sz w:val="24"/>
                <w:lang w:val="en-US" w:eastAsia="zh-CN"/>
              </w:rPr>
              <w:t>达州市通川区东岳新型工业集聚区定位发展成以轻工电子、新材料、节能环保、机械制造产业为主导，同时承接部分传统产业退城进郊的新型工业集聚区。</w:t>
            </w:r>
          </w:p>
        </w:tc>
      </w:tr>
      <w:tr w14:paraId="041DBD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343" w:type="dxa"/>
            <w:vAlign w:val="center"/>
          </w:tcPr>
          <w:p w14:paraId="0F68E455">
            <w:pPr>
              <w:jc w:val="center"/>
              <w:rPr>
                <w:rFonts w:cs="Times New Roman"/>
                <w:b/>
                <w:bCs/>
                <w:color w:val="auto"/>
                <w:sz w:val="24"/>
                <w:szCs w:val="24"/>
              </w:rPr>
            </w:pPr>
            <w:r>
              <w:rPr>
                <w:rFonts w:cs="Times New Roman"/>
                <w:b/>
                <w:bCs/>
                <w:color w:val="auto"/>
                <w:sz w:val="24"/>
                <w:szCs w:val="24"/>
              </w:rPr>
              <w:t>规划环境影响评价情况</w:t>
            </w:r>
          </w:p>
        </w:tc>
        <w:tc>
          <w:tcPr>
            <w:tcW w:w="8227" w:type="dxa"/>
            <w:gridSpan w:val="3"/>
            <w:vAlign w:val="center"/>
          </w:tcPr>
          <w:p w14:paraId="247209AC">
            <w:pPr>
              <w:spacing w:line="336" w:lineRule="auto"/>
              <w:ind w:firstLine="482" w:firstLineChars="200"/>
              <w:rPr>
                <w:rFonts w:cs="Times New Roman"/>
                <w:color w:val="auto"/>
                <w:sz w:val="24"/>
                <w:szCs w:val="24"/>
              </w:rPr>
            </w:pPr>
            <w:r>
              <w:rPr>
                <w:rFonts w:cs="Times New Roman"/>
                <w:b/>
                <w:bCs/>
                <w:color w:val="auto"/>
                <w:sz w:val="24"/>
                <w:szCs w:val="24"/>
              </w:rPr>
              <w:t>规划环评名称：</w:t>
            </w:r>
            <w:r>
              <w:rPr>
                <w:rFonts w:cs="Times New Roman"/>
                <w:color w:val="auto"/>
                <w:sz w:val="24"/>
                <w:szCs w:val="24"/>
              </w:rPr>
              <w:t>达州市通川区东岳新型工业集聚区规划环境影响报告书</w:t>
            </w:r>
          </w:p>
          <w:p w14:paraId="56BE2AAD">
            <w:pPr>
              <w:spacing w:line="336" w:lineRule="auto"/>
              <w:ind w:firstLine="482" w:firstLineChars="200"/>
              <w:rPr>
                <w:rFonts w:cs="Times New Roman"/>
                <w:color w:val="auto"/>
                <w:sz w:val="24"/>
                <w:szCs w:val="24"/>
              </w:rPr>
            </w:pPr>
            <w:r>
              <w:rPr>
                <w:rFonts w:cs="Times New Roman"/>
                <w:b/>
                <w:bCs/>
                <w:color w:val="auto"/>
                <w:sz w:val="24"/>
                <w:szCs w:val="24"/>
              </w:rPr>
              <w:t>召集审查机关：</w:t>
            </w:r>
            <w:r>
              <w:rPr>
                <w:rFonts w:cs="Times New Roman"/>
                <w:color w:val="auto"/>
                <w:sz w:val="24"/>
                <w:szCs w:val="24"/>
              </w:rPr>
              <w:t>达州市通川生态环境局（原达州市通川区环境保护局）</w:t>
            </w:r>
          </w:p>
          <w:p w14:paraId="72E758F9">
            <w:pPr>
              <w:spacing w:line="336" w:lineRule="auto"/>
              <w:ind w:firstLine="482" w:firstLineChars="200"/>
              <w:rPr>
                <w:rFonts w:cs="Times New Roman"/>
                <w:color w:val="auto"/>
                <w:sz w:val="24"/>
                <w:szCs w:val="24"/>
              </w:rPr>
            </w:pPr>
            <w:r>
              <w:rPr>
                <w:rFonts w:cs="Times New Roman"/>
                <w:b/>
                <w:bCs/>
                <w:color w:val="auto"/>
                <w:sz w:val="24"/>
                <w:szCs w:val="24"/>
              </w:rPr>
              <w:t>审查文件名称及文号：</w:t>
            </w:r>
            <w:r>
              <w:rPr>
                <w:rFonts w:cs="Times New Roman"/>
                <w:color w:val="auto"/>
                <w:sz w:val="24"/>
                <w:szCs w:val="24"/>
              </w:rPr>
              <w:t>关于《达州市通川区东岳新型工业集聚区规划环境影响报告书》审查意见的函（通区环函〔2015〕122号）</w:t>
            </w:r>
          </w:p>
        </w:tc>
      </w:tr>
      <w:tr w14:paraId="54F8A2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343" w:type="dxa"/>
            <w:vAlign w:val="center"/>
          </w:tcPr>
          <w:p w14:paraId="58F030A8">
            <w:pPr>
              <w:jc w:val="center"/>
              <w:rPr>
                <w:rFonts w:cs="Times New Roman"/>
                <w:b/>
                <w:bCs/>
                <w:color w:val="auto"/>
                <w:sz w:val="24"/>
                <w:szCs w:val="24"/>
              </w:rPr>
            </w:pPr>
            <w:r>
              <w:rPr>
                <w:rFonts w:cs="Times New Roman"/>
                <w:b/>
                <w:bCs/>
                <w:color w:val="auto"/>
                <w:sz w:val="24"/>
                <w:szCs w:val="24"/>
              </w:rPr>
              <w:t>规划及规划环境影响评价符合性分析</w:t>
            </w:r>
          </w:p>
        </w:tc>
        <w:tc>
          <w:tcPr>
            <w:tcW w:w="8227" w:type="dxa"/>
            <w:gridSpan w:val="3"/>
            <w:vAlign w:val="center"/>
          </w:tcPr>
          <w:p w14:paraId="29C787AD">
            <w:pPr>
              <w:spacing w:line="336" w:lineRule="auto"/>
              <w:ind w:firstLine="482" w:firstLineChars="200"/>
              <w:rPr>
                <w:rFonts w:cs="Times New Roman"/>
                <w:b/>
                <w:bCs/>
                <w:color w:val="auto"/>
                <w:sz w:val="24"/>
                <w:szCs w:val="24"/>
              </w:rPr>
            </w:pPr>
            <w:r>
              <w:rPr>
                <w:rFonts w:cs="Times New Roman"/>
                <w:b/>
                <w:bCs/>
                <w:color w:val="auto"/>
                <w:sz w:val="24"/>
                <w:szCs w:val="24"/>
              </w:rPr>
              <w:t>1、与园区产业定位的符合性</w:t>
            </w:r>
          </w:p>
          <w:p w14:paraId="4478CECF">
            <w:pPr>
              <w:spacing w:line="336" w:lineRule="auto"/>
              <w:ind w:firstLine="480" w:firstLineChars="200"/>
              <w:rPr>
                <w:rFonts w:cs="Times New Roman"/>
                <w:color w:val="auto"/>
                <w:sz w:val="24"/>
                <w:szCs w:val="24"/>
              </w:rPr>
            </w:pPr>
            <w:r>
              <w:rPr>
                <w:rFonts w:cs="Times New Roman"/>
                <w:color w:val="auto"/>
                <w:sz w:val="24"/>
                <w:szCs w:val="24"/>
              </w:rPr>
              <w:t>根据园区规划环评资料，达州市通川区东岳新型工业集聚区定位为以轻工电子、新材料节能环保、机械制造产业为主导，同时承接部分传统产业退城进郊的新型工业集聚区。</w:t>
            </w:r>
          </w:p>
          <w:p w14:paraId="6DD819CC">
            <w:pPr>
              <w:spacing w:line="336" w:lineRule="auto"/>
              <w:ind w:firstLine="480" w:firstLineChars="200"/>
              <w:rPr>
                <w:rFonts w:cs="Times New Roman"/>
                <w:color w:val="auto"/>
                <w:sz w:val="24"/>
                <w:szCs w:val="24"/>
              </w:rPr>
            </w:pPr>
            <w:r>
              <w:rPr>
                <w:rFonts w:cs="Times New Roman"/>
                <w:color w:val="auto"/>
                <w:sz w:val="24"/>
                <w:szCs w:val="24"/>
              </w:rPr>
              <w:t>本项目为建筑用石加工，</w:t>
            </w:r>
            <w:r>
              <w:rPr>
                <w:rFonts w:hint="default" w:cs="Times New Roman"/>
                <w:color w:val="auto"/>
                <w:sz w:val="24"/>
                <w:szCs w:val="24"/>
                <w:lang w:val="en-US" w:eastAsia="zh-CN"/>
              </w:rPr>
              <w:t>不属于园区主导产业</w:t>
            </w:r>
            <w:r>
              <w:rPr>
                <w:rFonts w:hint="eastAsia" w:cs="Times New Roman"/>
                <w:color w:val="auto"/>
                <w:sz w:val="24"/>
                <w:szCs w:val="24"/>
                <w:lang w:val="en-US" w:eastAsia="zh-CN"/>
              </w:rPr>
              <w:t>，</w:t>
            </w:r>
            <w:r>
              <w:rPr>
                <w:rFonts w:hint="default" w:cs="Times New Roman"/>
                <w:color w:val="auto"/>
                <w:sz w:val="24"/>
                <w:szCs w:val="24"/>
                <w:lang w:val="en-US" w:eastAsia="zh-CN"/>
              </w:rPr>
              <w:t>但也不属于禁止</w:t>
            </w:r>
            <w:r>
              <w:rPr>
                <w:rFonts w:hint="eastAsia" w:cs="Times New Roman"/>
                <w:color w:val="auto"/>
                <w:sz w:val="24"/>
                <w:szCs w:val="24"/>
                <w:lang w:val="en-US" w:eastAsia="zh-CN"/>
              </w:rPr>
              <w:t>及限制类产业</w:t>
            </w:r>
            <w:r>
              <w:rPr>
                <w:rFonts w:hint="default" w:cs="Times New Roman"/>
                <w:color w:val="auto"/>
                <w:sz w:val="24"/>
                <w:szCs w:val="24"/>
                <w:lang w:val="en-US" w:eastAsia="zh-CN"/>
              </w:rPr>
              <w:t>，为园区允许引入的产业，与主导产业不冲突</w:t>
            </w:r>
            <w:r>
              <w:rPr>
                <w:rFonts w:hint="eastAsia" w:cs="Times New Roman"/>
                <w:color w:val="auto"/>
                <w:sz w:val="24"/>
                <w:szCs w:val="24"/>
                <w:lang w:val="en-US" w:eastAsia="zh-CN"/>
              </w:rPr>
              <w:t>，故</w:t>
            </w:r>
            <w:r>
              <w:rPr>
                <w:rFonts w:cs="Times New Roman"/>
                <w:color w:val="auto"/>
                <w:sz w:val="24"/>
                <w:szCs w:val="24"/>
              </w:rPr>
              <w:t>与园区产业定位是相符的。</w:t>
            </w:r>
          </w:p>
          <w:p w14:paraId="2AAD7E60">
            <w:pPr>
              <w:spacing w:line="336" w:lineRule="auto"/>
              <w:ind w:firstLine="482" w:firstLineChars="200"/>
              <w:rPr>
                <w:rFonts w:cs="Times New Roman"/>
                <w:color w:val="auto"/>
                <w:sz w:val="24"/>
                <w:szCs w:val="24"/>
              </w:rPr>
            </w:pPr>
            <w:r>
              <w:rPr>
                <w:rFonts w:cs="Times New Roman"/>
                <w:b/>
                <w:bCs/>
                <w:color w:val="auto"/>
                <w:sz w:val="24"/>
                <w:szCs w:val="24"/>
              </w:rPr>
              <w:t>2、与园区环境准入要求的符合性</w:t>
            </w:r>
          </w:p>
          <w:p w14:paraId="54672F02">
            <w:pPr>
              <w:spacing w:line="336" w:lineRule="auto"/>
              <w:ind w:firstLine="480" w:firstLineChars="200"/>
              <w:rPr>
                <w:rFonts w:hint="eastAsia" w:cs="Times New Roman"/>
                <w:color w:val="auto"/>
                <w:sz w:val="24"/>
                <w:szCs w:val="24"/>
                <w:lang w:eastAsia="zh-CN"/>
              </w:rPr>
            </w:pPr>
            <w:r>
              <w:rPr>
                <w:rFonts w:cs="Times New Roman"/>
                <w:color w:val="auto"/>
                <w:sz w:val="24"/>
                <w:szCs w:val="24"/>
              </w:rPr>
              <w:t>根据园区规划环评资料及审查意见，东岳新型工业集聚区鼓励、禁止及限制入驻企业类型见下表</w:t>
            </w:r>
            <w:r>
              <w:rPr>
                <w:rFonts w:hint="eastAsia" w:cs="Times New Roman"/>
                <w:color w:val="auto"/>
                <w:sz w:val="24"/>
                <w:szCs w:val="24"/>
                <w:lang w:eastAsia="zh-CN"/>
              </w:rPr>
              <w:t>。</w:t>
            </w:r>
          </w:p>
          <w:p w14:paraId="6E6ECFAE">
            <w:pPr>
              <w:spacing w:before="123" w:line="222" w:lineRule="auto"/>
              <w:ind w:left="0" w:leftChars="0" w:firstLine="0" w:firstLineChars="0"/>
              <w:jc w:val="center"/>
              <w:rPr>
                <w:rFonts w:hint="eastAsia" w:ascii="宋体" w:hAnsi="宋体" w:eastAsia="宋体" w:cs="宋体"/>
                <w:b/>
                <w:bCs/>
                <w:color w:val="auto"/>
                <w:sz w:val="21"/>
                <w:szCs w:val="21"/>
              </w:rPr>
            </w:pPr>
            <w:r>
              <w:rPr>
                <w:rFonts w:hint="eastAsia" w:ascii="宋体" w:hAnsi="宋体" w:eastAsia="宋体" w:cs="宋体"/>
                <w:b/>
                <w:bCs/>
                <w:color w:val="auto"/>
                <w:spacing w:val="-1"/>
                <w:sz w:val="21"/>
                <w:szCs w:val="21"/>
              </w:rPr>
              <w:t>表1-2  园区功能划分及入园企业要求</w:t>
            </w:r>
          </w:p>
          <w:tbl>
            <w:tblPr>
              <w:tblStyle w:val="25"/>
              <w:tblW w:w="8011" w:type="dxa"/>
              <w:tblInd w:w="5"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29"/>
              <w:gridCol w:w="6882"/>
            </w:tblGrid>
            <w:tr w14:paraId="60F366F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2" w:hRule="atLeast"/>
              </w:trPr>
              <w:tc>
                <w:tcPr>
                  <w:tcW w:w="1129" w:type="dxa"/>
                  <w:tcBorders>
                    <w:tl2br w:val="nil"/>
                    <w:tr2bl w:val="nil"/>
                  </w:tcBorders>
                  <w:vAlign w:val="center"/>
                </w:tcPr>
                <w:p w14:paraId="79C0A282">
                  <w:pPr>
                    <w:pStyle w:val="111"/>
                    <w:keepNext w:val="0"/>
                    <w:keepLines w:val="0"/>
                    <w:pageBreakBefore w:val="0"/>
                    <w:widowControl w:val="0"/>
                    <w:kinsoku/>
                    <w:wordWrap/>
                    <w:overflowPunct/>
                    <w:topLinePunct w:val="0"/>
                    <w:autoSpaceDE/>
                    <w:autoSpaceDN/>
                    <w:bidi w:val="0"/>
                    <w:adjustRightInd/>
                    <w:snapToGrid/>
                    <w:spacing w:line="260" w:lineRule="exact"/>
                    <w:ind w:left="0" w:leftChars="0" w:firstLine="0" w:firstLineChars="0"/>
                    <w:jc w:val="center"/>
                    <w:textAlignment w:val="auto"/>
                    <w:rPr>
                      <w:rFonts w:hint="eastAsia" w:cs="Times New Roman"/>
                      <w:color w:val="auto"/>
                      <w:sz w:val="21"/>
                      <w:szCs w:val="21"/>
                      <w:vertAlign w:val="baseline"/>
                      <w:lang w:eastAsia="zh-CN"/>
                    </w:rPr>
                  </w:pPr>
                  <w:r>
                    <w:rPr>
                      <w:b/>
                      <w:bCs/>
                      <w:color w:val="auto"/>
                      <w:spacing w:val="-6"/>
                      <w:sz w:val="21"/>
                      <w:szCs w:val="21"/>
                    </w:rPr>
                    <w:t>类别</w:t>
                  </w:r>
                </w:p>
              </w:tc>
              <w:tc>
                <w:tcPr>
                  <w:tcW w:w="6882" w:type="dxa"/>
                  <w:tcBorders>
                    <w:tl2br w:val="nil"/>
                    <w:tr2bl w:val="nil"/>
                  </w:tcBorders>
                  <w:vAlign w:val="center"/>
                </w:tcPr>
                <w:p w14:paraId="3CCFAC7B">
                  <w:pPr>
                    <w:pStyle w:val="111"/>
                    <w:keepNext w:val="0"/>
                    <w:keepLines w:val="0"/>
                    <w:pageBreakBefore w:val="0"/>
                    <w:widowControl w:val="0"/>
                    <w:kinsoku/>
                    <w:wordWrap/>
                    <w:overflowPunct/>
                    <w:topLinePunct w:val="0"/>
                    <w:autoSpaceDE/>
                    <w:autoSpaceDN/>
                    <w:bidi w:val="0"/>
                    <w:adjustRightInd/>
                    <w:snapToGrid/>
                    <w:spacing w:line="260" w:lineRule="exact"/>
                    <w:ind w:left="0" w:leftChars="0" w:firstLine="0" w:firstLineChars="0"/>
                    <w:jc w:val="center"/>
                    <w:textAlignment w:val="auto"/>
                    <w:rPr>
                      <w:rFonts w:hint="eastAsia" w:cs="Times New Roman"/>
                      <w:color w:val="auto"/>
                      <w:sz w:val="21"/>
                      <w:szCs w:val="21"/>
                      <w:vertAlign w:val="baseline"/>
                      <w:lang w:eastAsia="zh-CN"/>
                    </w:rPr>
                  </w:pPr>
                  <w:r>
                    <w:rPr>
                      <w:b/>
                      <w:bCs/>
                      <w:color w:val="auto"/>
                      <w:spacing w:val="-3"/>
                      <w:sz w:val="21"/>
                      <w:szCs w:val="21"/>
                    </w:rPr>
                    <w:t>禁止入驻企业类型</w:t>
                  </w:r>
                </w:p>
              </w:tc>
            </w:tr>
            <w:tr w14:paraId="43E1186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29" w:type="dxa"/>
                  <w:tcBorders>
                    <w:tl2br w:val="nil"/>
                    <w:tr2bl w:val="nil"/>
                  </w:tcBorders>
                  <w:vAlign w:val="center"/>
                </w:tcPr>
                <w:p w14:paraId="6CCA21CF">
                  <w:pPr>
                    <w:pStyle w:val="111"/>
                    <w:keepNext w:val="0"/>
                    <w:keepLines w:val="0"/>
                    <w:pageBreakBefore w:val="0"/>
                    <w:widowControl w:val="0"/>
                    <w:kinsoku/>
                    <w:wordWrap/>
                    <w:overflowPunct/>
                    <w:topLinePunct w:val="0"/>
                    <w:autoSpaceDE/>
                    <w:autoSpaceDN/>
                    <w:bidi w:val="0"/>
                    <w:adjustRightInd/>
                    <w:snapToGrid/>
                    <w:spacing w:line="260" w:lineRule="exact"/>
                    <w:ind w:left="0" w:leftChars="0" w:firstLine="0" w:firstLineChars="0"/>
                    <w:jc w:val="center"/>
                    <w:textAlignment w:val="auto"/>
                    <w:rPr>
                      <w:rFonts w:hint="eastAsia" w:ascii="宋体" w:hAnsi="宋体" w:eastAsia="宋体" w:cs="宋体"/>
                      <w:color w:val="auto"/>
                      <w:spacing w:val="8"/>
                      <w:sz w:val="21"/>
                      <w:szCs w:val="21"/>
                      <w:lang w:eastAsia="zh-CN"/>
                    </w:rPr>
                  </w:pPr>
                  <w:r>
                    <w:rPr>
                      <w:rFonts w:ascii="宋体" w:hAnsi="宋体" w:eastAsia="宋体" w:cs="宋体"/>
                      <w:color w:val="auto"/>
                      <w:spacing w:val="8"/>
                      <w:sz w:val="21"/>
                      <w:szCs w:val="21"/>
                    </w:rPr>
                    <w:t>鼓励类企业</w:t>
                  </w:r>
                </w:p>
              </w:tc>
              <w:tc>
                <w:tcPr>
                  <w:tcW w:w="6882" w:type="dxa"/>
                  <w:tcBorders>
                    <w:tl2br w:val="nil"/>
                    <w:tr2bl w:val="nil"/>
                  </w:tcBorders>
                  <w:vAlign w:val="center"/>
                </w:tcPr>
                <w:p w14:paraId="4D56B364">
                  <w:pPr>
                    <w:pStyle w:val="111"/>
                    <w:keepNext w:val="0"/>
                    <w:keepLines w:val="0"/>
                    <w:pageBreakBefore w:val="0"/>
                    <w:widowControl w:val="0"/>
                    <w:kinsoku/>
                    <w:wordWrap/>
                    <w:overflowPunct/>
                    <w:topLinePunct w:val="0"/>
                    <w:autoSpaceDE/>
                    <w:autoSpaceDN/>
                    <w:bidi w:val="0"/>
                    <w:adjustRightInd/>
                    <w:snapToGrid/>
                    <w:spacing w:line="260" w:lineRule="exact"/>
                    <w:ind w:left="0" w:leftChars="0" w:firstLine="0" w:firstLineChars="0"/>
                    <w:jc w:val="left"/>
                    <w:textAlignment w:val="auto"/>
                    <w:rPr>
                      <w:rFonts w:ascii="宋体" w:hAnsi="宋体" w:eastAsia="宋体" w:cs="宋体"/>
                      <w:color w:val="auto"/>
                      <w:spacing w:val="8"/>
                      <w:sz w:val="21"/>
                      <w:szCs w:val="21"/>
                    </w:rPr>
                  </w:pPr>
                  <w:r>
                    <w:rPr>
                      <w:rFonts w:ascii="宋体" w:hAnsi="宋体" w:eastAsia="宋体" w:cs="宋体"/>
                      <w:color w:val="auto"/>
                      <w:spacing w:val="8"/>
                      <w:sz w:val="21"/>
                      <w:szCs w:val="21"/>
                    </w:rPr>
                    <w:t>（1）在用水、节水、排水设计等方面达到国内先进水平；清洁生产标准达到过优于国家先进水平的项目；</w:t>
                  </w:r>
                </w:p>
                <w:p w14:paraId="4A58B1F4">
                  <w:pPr>
                    <w:pStyle w:val="111"/>
                    <w:keepNext w:val="0"/>
                    <w:keepLines w:val="0"/>
                    <w:pageBreakBefore w:val="0"/>
                    <w:widowControl w:val="0"/>
                    <w:kinsoku/>
                    <w:wordWrap/>
                    <w:overflowPunct/>
                    <w:topLinePunct w:val="0"/>
                    <w:autoSpaceDE/>
                    <w:autoSpaceDN/>
                    <w:bidi w:val="0"/>
                    <w:adjustRightInd/>
                    <w:snapToGrid/>
                    <w:spacing w:line="260" w:lineRule="exact"/>
                    <w:ind w:left="0" w:leftChars="0" w:firstLine="0" w:firstLineChars="0"/>
                    <w:jc w:val="left"/>
                    <w:textAlignment w:val="auto"/>
                    <w:rPr>
                      <w:rFonts w:hint="eastAsia" w:ascii="宋体" w:hAnsi="宋体" w:eastAsia="宋体" w:cs="宋体"/>
                      <w:color w:val="auto"/>
                      <w:spacing w:val="8"/>
                      <w:sz w:val="21"/>
                      <w:szCs w:val="21"/>
                      <w:lang w:eastAsia="zh-CN"/>
                    </w:rPr>
                  </w:pPr>
                  <w:r>
                    <w:rPr>
                      <w:rFonts w:ascii="宋体" w:hAnsi="宋体" w:eastAsia="宋体" w:cs="宋体"/>
                      <w:color w:val="auto"/>
                      <w:spacing w:val="8"/>
                      <w:sz w:val="21"/>
                      <w:szCs w:val="21"/>
                    </w:rPr>
                    <w:t>（2）轻工电子、新材料、节能环保、机械制造等产业符合现行国家产业政策行业，符合规划区规划产业，企业效益明显，对区域不造成明显污染，遵循清洁生产及循环经济的项目</w:t>
                  </w:r>
                </w:p>
              </w:tc>
            </w:tr>
            <w:tr w14:paraId="344F5B3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29" w:type="dxa"/>
                  <w:tcBorders>
                    <w:tl2br w:val="nil"/>
                    <w:tr2bl w:val="nil"/>
                  </w:tcBorders>
                  <w:vAlign w:val="center"/>
                </w:tcPr>
                <w:p w14:paraId="58B7F7AF">
                  <w:pPr>
                    <w:pStyle w:val="111"/>
                    <w:keepNext w:val="0"/>
                    <w:keepLines w:val="0"/>
                    <w:pageBreakBefore w:val="0"/>
                    <w:widowControl w:val="0"/>
                    <w:kinsoku/>
                    <w:wordWrap/>
                    <w:overflowPunct/>
                    <w:topLinePunct w:val="0"/>
                    <w:autoSpaceDE/>
                    <w:autoSpaceDN/>
                    <w:bidi w:val="0"/>
                    <w:adjustRightInd/>
                    <w:snapToGrid/>
                    <w:spacing w:line="260" w:lineRule="exact"/>
                    <w:ind w:left="0" w:leftChars="0" w:firstLine="0" w:firstLineChars="0"/>
                    <w:jc w:val="center"/>
                    <w:textAlignment w:val="auto"/>
                    <w:rPr>
                      <w:rFonts w:hint="eastAsia" w:ascii="宋体" w:hAnsi="宋体" w:eastAsia="宋体" w:cs="宋体"/>
                      <w:color w:val="auto"/>
                      <w:spacing w:val="8"/>
                      <w:sz w:val="21"/>
                      <w:szCs w:val="21"/>
                      <w:lang w:eastAsia="zh-CN"/>
                    </w:rPr>
                  </w:pPr>
                  <w:r>
                    <w:rPr>
                      <w:rFonts w:ascii="宋体" w:hAnsi="宋体" w:eastAsia="宋体" w:cs="宋体"/>
                      <w:color w:val="auto"/>
                      <w:spacing w:val="8"/>
                      <w:sz w:val="21"/>
                      <w:szCs w:val="21"/>
                    </w:rPr>
                    <w:t>禁止及限制类企业</w:t>
                  </w:r>
                </w:p>
              </w:tc>
              <w:tc>
                <w:tcPr>
                  <w:tcW w:w="6882" w:type="dxa"/>
                  <w:tcBorders>
                    <w:tl2br w:val="nil"/>
                    <w:tr2bl w:val="nil"/>
                  </w:tcBorders>
                  <w:vAlign w:val="center"/>
                </w:tcPr>
                <w:p w14:paraId="2E6CD783">
                  <w:pPr>
                    <w:pStyle w:val="111"/>
                    <w:keepNext w:val="0"/>
                    <w:keepLines w:val="0"/>
                    <w:pageBreakBefore w:val="0"/>
                    <w:widowControl w:val="0"/>
                    <w:kinsoku/>
                    <w:wordWrap/>
                    <w:overflowPunct/>
                    <w:topLinePunct w:val="0"/>
                    <w:autoSpaceDE/>
                    <w:autoSpaceDN/>
                    <w:bidi w:val="0"/>
                    <w:adjustRightInd/>
                    <w:snapToGrid/>
                    <w:spacing w:line="260" w:lineRule="exact"/>
                    <w:ind w:left="0" w:leftChars="0" w:firstLine="0" w:firstLineChars="0"/>
                    <w:jc w:val="left"/>
                    <w:textAlignment w:val="auto"/>
                    <w:rPr>
                      <w:rFonts w:ascii="宋体" w:hAnsi="宋体" w:eastAsia="宋体" w:cs="宋体"/>
                      <w:color w:val="auto"/>
                      <w:spacing w:val="8"/>
                      <w:sz w:val="21"/>
                      <w:szCs w:val="21"/>
                    </w:rPr>
                  </w:pPr>
                  <w:r>
                    <w:rPr>
                      <w:rFonts w:ascii="宋体" w:hAnsi="宋体" w:eastAsia="宋体" w:cs="宋体"/>
                      <w:color w:val="auto"/>
                      <w:spacing w:val="8"/>
                      <w:sz w:val="21"/>
                      <w:szCs w:val="21"/>
                    </w:rPr>
                    <w:t>（1）不符合国家产业政策、不满足行业准入条件的项目。</w:t>
                  </w:r>
                </w:p>
                <w:p w14:paraId="38AF00D4">
                  <w:pPr>
                    <w:pStyle w:val="111"/>
                    <w:keepNext w:val="0"/>
                    <w:keepLines w:val="0"/>
                    <w:pageBreakBefore w:val="0"/>
                    <w:widowControl w:val="0"/>
                    <w:kinsoku/>
                    <w:wordWrap/>
                    <w:overflowPunct/>
                    <w:topLinePunct w:val="0"/>
                    <w:autoSpaceDE/>
                    <w:autoSpaceDN/>
                    <w:bidi w:val="0"/>
                    <w:adjustRightInd/>
                    <w:snapToGrid/>
                    <w:spacing w:line="260" w:lineRule="exact"/>
                    <w:ind w:left="0" w:leftChars="0" w:firstLine="0" w:firstLineChars="0"/>
                    <w:jc w:val="left"/>
                    <w:textAlignment w:val="auto"/>
                    <w:rPr>
                      <w:rFonts w:ascii="宋体" w:hAnsi="宋体" w:eastAsia="宋体" w:cs="宋体"/>
                      <w:color w:val="auto"/>
                      <w:spacing w:val="8"/>
                      <w:sz w:val="21"/>
                      <w:szCs w:val="21"/>
                    </w:rPr>
                  </w:pPr>
                  <w:r>
                    <w:rPr>
                      <w:rFonts w:ascii="宋体" w:hAnsi="宋体" w:eastAsia="宋体" w:cs="宋体"/>
                      <w:color w:val="auto"/>
                      <w:spacing w:val="8"/>
                      <w:sz w:val="21"/>
                      <w:szCs w:val="21"/>
                    </w:rPr>
                    <w:t>（2）禁止引进对水环境影响严重的工业企业，如：屠宰、电镀、制革、洗选、印染、含发酵工艺的生物制药等对水环境污染重的企业；禁止引进对大气环境影响严重的工业企业：电石、冶炼、焦化、煤化工、黄磷等对大气环境污染重的企业；以及其他重污染工业企业。</w:t>
                  </w:r>
                </w:p>
                <w:p w14:paraId="360F29B6">
                  <w:pPr>
                    <w:pStyle w:val="111"/>
                    <w:keepNext w:val="0"/>
                    <w:keepLines w:val="0"/>
                    <w:pageBreakBefore w:val="0"/>
                    <w:widowControl w:val="0"/>
                    <w:kinsoku/>
                    <w:wordWrap/>
                    <w:overflowPunct/>
                    <w:topLinePunct w:val="0"/>
                    <w:autoSpaceDE/>
                    <w:autoSpaceDN/>
                    <w:bidi w:val="0"/>
                    <w:adjustRightInd/>
                    <w:snapToGrid/>
                    <w:spacing w:line="260" w:lineRule="exact"/>
                    <w:ind w:left="0" w:leftChars="0" w:firstLine="0" w:firstLineChars="0"/>
                    <w:jc w:val="left"/>
                    <w:textAlignment w:val="auto"/>
                    <w:rPr>
                      <w:rFonts w:ascii="宋体" w:hAnsi="宋体" w:eastAsia="宋体" w:cs="宋体"/>
                      <w:color w:val="auto"/>
                      <w:spacing w:val="8"/>
                      <w:sz w:val="21"/>
                      <w:szCs w:val="21"/>
                    </w:rPr>
                  </w:pPr>
                  <w:r>
                    <w:rPr>
                      <w:rFonts w:ascii="宋体" w:hAnsi="宋体" w:eastAsia="宋体" w:cs="宋体"/>
                      <w:color w:val="auto"/>
                      <w:spacing w:val="8"/>
                      <w:sz w:val="21"/>
                      <w:szCs w:val="21"/>
                    </w:rPr>
                    <w:t>（3）禁止引进技术落后，项目清洁生产水平不能达到行业清洁生产标准二级标准要求或低于全国同类企业平均污渍生产水平的项目。</w:t>
                  </w:r>
                </w:p>
                <w:p w14:paraId="4BC0AF22">
                  <w:pPr>
                    <w:pStyle w:val="111"/>
                    <w:keepNext w:val="0"/>
                    <w:keepLines w:val="0"/>
                    <w:pageBreakBefore w:val="0"/>
                    <w:widowControl w:val="0"/>
                    <w:kinsoku/>
                    <w:wordWrap/>
                    <w:overflowPunct/>
                    <w:topLinePunct w:val="0"/>
                    <w:autoSpaceDE/>
                    <w:autoSpaceDN/>
                    <w:bidi w:val="0"/>
                    <w:adjustRightInd/>
                    <w:snapToGrid/>
                    <w:spacing w:line="260" w:lineRule="exact"/>
                    <w:ind w:left="0" w:leftChars="0" w:firstLine="0" w:firstLineChars="0"/>
                    <w:jc w:val="left"/>
                    <w:textAlignment w:val="auto"/>
                    <w:rPr>
                      <w:rFonts w:hint="eastAsia" w:ascii="宋体" w:hAnsi="宋体" w:eastAsia="宋体" w:cs="宋体"/>
                      <w:color w:val="auto"/>
                      <w:spacing w:val="8"/>
                      <w:sz w:val="21"/>
                      <w:szCs w:val="21"/>
                      <w:lang w:eastAsia="zh-CN"/>
                    </w:rPr>
                  </w:pPr>
                  <w:r>
                    <w:rPr>
                      <w:rFonts w:ascii="宋体" w:hAnsi="宋体" w:eastAsia="宋体" w:cs="宋体"/>
                      <w:color w:val="auto"/>
                      <w:spacing w:val="8"/>
                      <w:sz w:val="21"/>
                      <w:szCs w:val="21"/>
                    </w:rPr>
                    <w:t>（4）禁止引进与园区主导产业不相容的项目。</w:t>
                  </w:r>
                </w:p>
              </w:tc>
            </w:tr>
            <w:tr w14:paraId="5059D04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29" w:type="dxa"/>
                  <w:tcBorders>
                    <w:tl2br w:val="nil"/>
                    <w:tr2bl w:val="nil"/>
                  </w:tcBorders>
                  <w:vAlign w:val="center"/>
                </w:tcPr>
                <w:p w14:paraId="6B6D8094">
                  <w:pPr>
                    <w:pStyle w:val="111"/>
                    <w:keepNext w:val="0"/>
                    <w:keepLines w:val="0"/>
                    <w:pageBreakBefore w:val="0"/>
                    <w:widowControl w:val="0"/>
                    <w:kinsoku/>
                    <w:wordWrap/>
                    <w:overflowPunct/>
                    <w:topLinePunct w:val="0"/>
                    <w:autoSpaceDE/>
                    <w:autoSpaceDN/>
                    <w:bidi w:val="0"/>
                    <w:adjustRightInd/>
                    <w:snapToGrid/>
                    <w:spacing w:line="260" w:lineRule="exact"/>
                    <w:ind w:left="0" w:leftChars="0" w:firstLine="0" w:firstLineChars="0"/>
                    <w:jc w:val="center"/>
                    <w:textAlignment w:val="auto"/>
                    <w:rPr>
                      <w:rFonts w:hint="eastAsia" w:ascii="宋体" w:hAnsi="宋体" w:eastAsia="宋体" w:cs="宋体"/>
                      <w:color w:val="auto"/>
                      <w:spacing w:val="8"/>
                      <w:sz w:val="21"/>
                      <w:szCs w:val="21"/>
                      <w:lang w:eastAsia="zh-CN"/>
                    </w:rPr>
                  </w:pPr>
                  <w:r>
                    <w:rPr>
                      <w:rFonts w:ascii="宋体" w:hAnsi="宋体" w:eastAsia="宋体" w:cs="宋体"/>
                      <w:color w:val="auto"/>
                      <w:spacing w:val="8"/>
                      <w:sz w:val="21"/>
                      <w:szCs w:val="21"/>
                    </w:rPr>
                    <w:t>允许类企业</w:t>
                  </w:r>
                </w:p>
              </w:tc>
              <w:tc>
                <w:tcPr>
                  <w:tcW w:w="6882" w:type="dxa"/>
                  <w:tcBorders>
                    <w:tl2br w:val="nil"/>
                    <w:tr2bl w:val="nil"/>
                  </w:tcBorders>
                  <w:vAlign w:val="center"/>
                </w:tcPr>
                <w:p w14:paraId="13475F0D">
                  <w:pPr>
                    <w:pStyle w:val="111"/>
                    <w:keepNext w:val="0"/>
                    <w:keepLines w:val="0"/>
                    <w:pageBreakBefore w:val="0"/>
                    <w:widowControl w:val="0"/>
                    <w:kinsoku/>
                    <w:wordWrap/>
                    <w:overflowPunct/>
                    <w:topLinePunct w:val="0"/>
                    <w:autoSpaceDE/>
                    <w:autoSpaceDN/>
                    <w:bidi w:val="0"/>
                    <w:adjustRightInd/>
                    <w:snapToGrid/>
                    <w:spacing w:line="260" w:lineRule="exact"/>
                    <w:ind w:left="0" w:leftChars="0" w:firstLine="0" w:firstLineChars="0"/>
                    <w:jc w:val="left"/>
                    <w:textAlignment w:val="auto"/>
                    <w:rPr>
                      <w:rFonts w:hint="eastAsia" w:ascii="宋体" w:hAnsi="宋体" w:eastAsia="宋体" w:cs="宋体"/>
                      <w:color w:val="auto"/>
                      <w:spacing w:val="8"/>
                      <w:sz w:val="21"/>
                      <w:szCs w:val="21"/>
                      <w:lang w:eastAsia="zh-CN"/>
                    </w:rPr>
                  </w:pPr>
                  <w:r>
                    <w:rPr>
                      <w:rFonts w:ascii="宋体" w:hAnsi="宋体" w:eastAsia="宋体" w:cs="宋体"/>
                      <w:color w:val="auto"/>
                      <w:spacing w:val="8"/>
                      <w:sz w:val="21"/>
                      <w:szCs w:val="21"/>
                    </w:rPr>
                    <w:t>不排斥与区域或各产业片区主业不相禁忌和不形成交叉影响的企业入驻。</w:t>
                  </w:r>
                </w:p>
              </w:tc>
            </w:tr>
            <w:tr w14:paraId="376BEF1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29" w:type="dxa"/>
                  <w:tcBorders>
                    <w:tl2br w:val="nil"/>
                    <w:tr2bl w:val="nil"/>
                  </w:tcBorders>
                  <w:vAlign w:val="center"/>
                </w:tcPr>
                <w:p w14:paraId="71334396">
                  <w:pPr>
                    <w:pStyle w:val="111"/>
                    <w:keepNext w:val="0"/>
                    <w:keepLines w:val="0"/>
                    <w:pageBreakBefore w:val="0"/>
                    <w:widowControl w:val="0"/>
                    <w:kinsoku/>
                    <w:wordWrap/>
                    <w:overflowPunct/>
                    <w:topLinePunct w:val="0"/>
                    <w:autoSpaceDE/>
                    <w:autoSpaceDN/>
                    <w:bidi w:val="0"/>
                    <w:adjustRightInd/>
                    <w:snapToGrid/>
                    <w:spacing w:line="260" w:lineRule="exact"/>
                    <w:ind w:left="0" w:leftChars="0" w:firstLine="0" w:firstLineChars="0"/>
                    <w:jc w:val="center"/>
                    <w:textAlignment w:val="auto"/>
                    <w:rPr>
                      <w:rFonts w:hint="eastAsia" w:ascii="宋体" w:hAnsi="宋体" w:eastAsia="宋体" w:cs="宋体"/>
                      <w:color w:val="auto"/>
                      <w:spacing w:val="8"/>
                      <w:sz w:val="21"/>
                      <w:szCs w:val="21"/>
                      <w:lang w:eastAsia="zh-CN"/>
                    </w:rPr>
                  </w:pPr>
                  <w:r>
                    <w:rPr>
                      <w:rFonts w:ascii="宋体" w:hAnsi="宋体" w:eastAsia="宋体" w:cs="宋体"/>
                      <w:color w:val="auto"/>
                      <w:spacing w:val="8"/>
                      <w:sz w:val="21"/>
                      <w:szCs w:val="21"/>
                    </w:rPr>
                    <w:t>清洁生产门槛</w:t>
                  </w:r>
                </w:p>
              </w:tc>
              <w:tc>
                <w:tcPr>
                  <w:tcW w:w="6882" w:type="dxa"/>
                  <w:tcBorders>
                    <w:tl2br w:val="nil"/>
                    <w:tr2bl w:val="nil"/>
                  </w:tcBorders>
                  <w:vAlign w:val="center"/>
                </w:tcPr>
                <w:p w14:paraId="35A39F9D">
                  <w:pPr>
                    <w:pStyle w:val="111"/>
                    <w:keepNext w:val="0"/>
                    <w:keepLines w:val="0"/>
                    <w:pageBreakBefore w:val="0"/>
                    <w:widowControl w:val="0"/>
                    <w:kinsoku/>
                    <w:wordWrap/>
                    <w:overflowPunct/>
                    <w:topLinePunct w:val="0"/>
                    <w:autoSpaceDE/>
                    <w:autoSpaceDN/>
                    <w:bidi w:val="0"/>
                    <w:adjustRightInd/>
                    <w:snapToGrid/>
                    <w:spacing w:line="260" w:lineRule="exact"/>
                    <w:ind w:left="0" w:leftChars="0" w:firstLine="0" w:firstLineChars="0"/>
                    <w:jc w:val="left"/>
                    <w:textAlignment w:val="auto"/>
                    <w:rPr>
                      <w:rFonts w:hint="eastAsia" w:ascii="宋体" w:hAnsi="宋体" w:eastAsia="宋体" w:cs="宋体"/>
                      <w:color w:val="auto"/>
                      <w:spacing w:val="8"/>
                      <w:sz w:val="21"/>
                      <w:szCs w:val="21"/>
                      <w:lang w:eastAsia="zh-CN"/>
                    </w:rPr>
                  </w:pPr>
                  <w:r>
                    <w:rPr>
                      <w:rFonts w:ascii="宋体" w:hAnsi="宋体" w:eastAsia="宋体" w:cs="宋体"/>
                      <w:color w:val="auto"/>
                      <w:spacing w:val="8"/>
                      <w:sz w:val="21"/>
                      <w:szCs w:val="21"/>
                    </w:rPr>
                    <w:t>入园企业必须采用国际、国内先进水平的生产工艺、设备及污染治理技术，物耗、能耗、水耗等至少应达到相应行业的清洁生产水平二级或国内先进水平。</w:t>
                  </w:r>
                </w:p>
              </w:tc>
            </w:tr>
          </w:tbl>
          <w:p w14:paraId="638F119B">
            <w:pPr>
              <w:spacing w:line="336" w:lineRule="auto"/>
              <w:ind w:firstLine="480" w:firstLineChars="200"/>
              <w:rPr>
                <w:rFonts w:hint="eastAsia" w:ascii="Times New Roman" w:hAnsi="Times New Roman" w:eastAsia="宋体" w:cs="Times New Roman"/>
                <w:color w:val="auto"/>
                <w:sz w:val="24"/>
                <w:szCs w:val="24"/>
                <w:lang w:eastAsia="zh-CN"/>
              </w:rPr>
            </w:pPr>
            <w:r>
              <w:rPr>
                <w:rFonts w:ascii="Times New Roman" w:hAnsi="Times New Roman" w:eastAsia="宋体" w:cs="Times New Roman"/>
                <w:color w:val="auto"/>
                <w:sz w:val="24"/>
                <w:szCs w:val="24"/>
              </w:rPr>
              <w:t>本项目为建筑用石加工，属于园区规划的允许类企业，与规划园区的环境准入要求是相符的</w:t>
            </w:r>
            <w:r>
              <w:rPr>
                <w:rFonts w:hint="eastAsia" w:ascii="Times New Roman" w:hAnsi="Times New Roman" w:eastAsia="宋体" w:cs="Times New Roman"/>
                <w:color w:val="auto"/>
                <w:sz w:val="24"/>
                <w:szCs w:val="24"/>
                <w:lang w:eastAsia="zh-CN"/>
              </w:rPr>
              <w:t>。</w:t>
            </w:r>
          </w:p>
          <w:p w14:paraId="58EB9977">
            <w:pPr>
              <w:spacing w:line="336" w:lineRule="auto"/>
              <w:ind w:firstLine="482" w:firstLineChars="200"/>
              <w:rPr>
                <w:rFonts w:ascii="Times New Roman" w:hAnsi="Times New Roman" w:eastAsia="宋体" w:cs="Times New Roman"/>
                <w:b/>
                <w:bCs/>
                <w:color w:val="auto"/>
                <w:sz w:val="24"/>
                <w:szCs w:val="24"/>
              </w:rPr>
            </w:pPr>
            <w:r>
              <w:rPr>
                <w:rFonts w:ascii="Times New Roman" w:hAnsi="Times New Roman" w:eastAsia="宋体" w:cs="Times New Roman"/>
                <w:b/>
                <w:bCs/>
                <w:color w:val="auto"/>
                <w:sz w:val="24"/>
                <w:szCs w:val="24"/>
              </w:rPr>
              <w:t>3、与园区功能分区的符合性分析</w:t>
            </w:r>
          </w:p>
          <w:p w14:paraId="2B5C1632">
            <w:pPr>
              <w:spacing w:line="336" w:lineRule="auto"/>
              <w:ind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根据园区规划环评资料，东岳新型工业集聚区的功能分区布局：规划形成</w:t>
            </w:r>
            <w:r>
              <w:rPr>
                <w:rFonts w:hint="eastAsia" w:cs="Times New Roman"/>
                <w:color w:val="auto"/>
                <w:sz w:val="24"/>
                <w:szCs w:val="24"/>
                <w:lang w:eastAsia="zh-CN"/>
              </w:rPr>
              <w:t>“</w:t>
            </w:r>
            <w:r>
              <w:rPr>
                <w:rFonts w:ascii="Times New Roman" w:hAnsi="Times New Roman" w:eastAsia="宋体" w:cs="Times New Roman"/>
                <w:color w:val="auto"/>
                <w:sz w:val="24"/>
                <w:szCs w:val="24"/>
              </w:rPr>
              <w:t>一轴、一心、两片区</w:t>
            </w:r>
            <w:r>
              <w:rPr>
                <w:rFonts w:hint="eastAsia" w:cs="Times New Roman"/>
                <w:color w:val="auto"/>
                <w:sz w:val="24"/>
                <w:szCs w:val="24"/>
                <w:lang w:eastAsia="zh-CN"/>
              </w:rPr>
              <w:t>”</w:t>
            </w:r>
            <w:r>
              <w:rPr>
                <w:rFonts w:ascii="Times New Roman" w:hAnsi="Times New Roman" w:eastAsia="宋体" w:cs="Times New Roman"/>
                <w:color w:val="auto"/>
                <w:sz w:val="24"/>
                <w:szCs w:val="24"/>
              </w:rPr>
              <w:t>的总体布局结构。一轴：沿210国道的城镇产业发展轴；一心：东岳场镇生活服务中心；两片区：北部综合工业区、南部新型工业区。北部加工贸易区：主要包括机械制造产业区和轻工电子产业区；南部新型工业集中区：主要包括新材料产业区和节能环保产业区。</w:t>
            </w:r>
          </w:p>
          <w:p w14:paraId="35484A46">
            <w:pPr>
              <w:spacing w:line="336" w:lineRule="auto"/>
              <w:ind w:firstLine="480" w:firstLineChars="200"/>
              <w:rPr>
                <w:rFonts w:hint="eastAsia" w:cs="Times New Roman"/>
                <w:color w:val="auto"/>
                <w:sz w:val="24"/>
                <w:szCs w:val="24"/>
                <w:lang w:eastAsia="zh-CN"/>
              </w:rPr>
            </w:pPr>
            <w:r>
              <w:rPr>
                <w:rFonts w:ascii="Times New Roman" w:hAnsi="Times New Roman" w:eastAsia="宋体" w:cs="Times New Roman"/>
                <w:color w:val="auto"/>
                <w:sz w:val="24"/>
                <w:szCs w:val="24"/>
              </w:rPr>
              <w:t>本项目位于南部新型工业集中区，为园区规划的允许类企业，与规划园区的环境准入要求是相符的。</w:t>
            </w:r>
          </w:p>
        </w:tc>
      </w:tr>
      <w:tr w14:paraId="153F36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343" w:type="dxa"/>
            <w:vAlign w:val="center"/>
          </w:tcPr>
          <w:p w14:paraId="1902E59A">
            <w:pPr>
              <w:jc w:val="center"/>
              <w:rPr>
                <w:rFonts w:cs="Times New Roman"/>
                <w:b/>
                <w:bCs/>
                <w:color w:val="auto"/>
                <w:sz w:val="24"/>
                <w:szCs w:val="24"/>
              </w:rPr>
            </w:pPr>
            <w:r>
              <w:rPr>
                <w:rFonts w:cs="Times New Roman"/>
                <w:b/>
                <w:bCs/>
                <w:color w:val="auto"/>
                <w:sz w:val="24"/>
                <w:szCs w:val="24"/>
              </w:rPr>
              <w:t>其他符合性分析</w:t>
            </w:r>
          </w:p>
        </w:tc>
        <w:tc>
          <w:tcPr>
            <w:tcW w:w="8227" w:type="dxa"/>
            <w:gridSpan w:val="3"/>
            <w:vAlign w:val="center"/>
          </w:tcPr>
          <w:p w14:paraId="6D309AA5">
            <w:pPr>
              <w:keepNext w:val="0"/>
              <w:keepLines w:val="0"/>
              <w:pageBreakBefore w:val="0"/>
              <w:widowControl w:val="0"/>
              <w:kinsoku/>
              <w:wordWrap/>
              <w:overflowPunct/>
              <w:topLinePunct w:val="0"/>
              <w:autoSpaceDE/>
              <w:autoSpaceDN/>
              <w:bidi w:val="0"/>
              <w:adjustRightInd/>
              <w:snapToGrid/>
              <w:spacing w:line="312" w:lineRule="auto"/>
              <w:ind w:firstLine="482" w:firstLineChars="200"/>
              <w:textAlignment w:val="auto"/>
              <w:rPr>
                <w:rFonts w:hint="eastAsia" w:eastAsia="宋体" w:cs="Times New Roman"/>
                <w:b/>
                <w:bCs/>
                <w:color w:val="auto"/>
                <w:sz w:val="24"/>
                <w:szCs w:val="24"/>
                <w:lang w:eastAsia="zh-CN"/>
              </w:rPr>
            </w:pPr>
            <w:r>
              <w:rPr>
                <w:rFonts w:cs="Times New Roman"/>
                <w:b/>
                <w:bCs/>
                <w:color w:val="auto"/>
                <w:sz w:val="24"/>
                <w:szCs w:val="24"/>
              </w:rPr>
              <w:t>1、产业政策的符合性分析</w:t>
            </w:r>
          </w:p>
          <w:p w14:paraId="100AC8C4">
            <w:pPr>
              <w:keepNext w:val="0"/>
              <w:keepLines w:val="0"/>
              <w:pageBreakBefore w:val="0"/>
              <w:widowControl w:val="0"/>
              <w:kinsoku/>
              <w:wordWrap/>
              <w:overflowPunct/>
              <w:topLinePunct w:val="0"/>
              <w:autoSpaceDE/>
              <w:autoSpaceDN/>
              <w:bidi w:val="0"/>
              <w:adjustRightInd/>
              <w:snapToGrid/>
              <w:spacing w:line="312" w:lineRule="auto"/>
              <w:ind w:firstLine="480" w:firstLineChars="200"/>
              <w:textAlignment w:val="auto"/>
              <w:rPr>
                <w:rFonts w:cs="Times New Roman"/>
                <w:color w:val="auto"/>
                <w:sz w:val="24"/>
                <w:szCs w:val="24"/>
              </w:rPr>
            </w:pPr>
            <w:r>
              <w:rPr>
                <w:rFonts w:cs="Times New Roman"/>
                <w:color w:val="auto"/>
                <w:sz w:val="24"/>
                <w:szCs w:val="24"/>
              </w:rPr>
              <w:t>本项目属于非金属矿物制品业中C3032建筑用石加工，利用</w:t>
            </w:r>
            <w:r>
              <w:rPr>
                <w:rFonts w:hint="eastAsia"/>
                <w:color w:val="auto"/>
                <w:sz w:val="24"/>
                <w:szCs w:val="24"/>
              </w:rPr>
              <w:t>青石毛料为原料进行切割、</w:t>
            </w:r>
            <w:r>
              <w:rPr>
                <w:rFonts w:hint="eastAsia"/>
                <w:color w:val="auto"/>
                <w:sz w:val="24"/>
                <w:szCs w:val="24"/>
                <w:lang w:eastAsia="zh-CN"/>
              </w:rPr>
              <w:t>抛磨</w:t>
            </w:r>
            <w:r>
              <w:rPr>
                <w:rFonts w:hint="eastAsia"/>
                <w:color w:val="auto"/>
                <w:sz w:val="24"/>
                <w:szCs w:val="24"/>
              </w:rPr>
              <w:t>、雕刻</w:t>
            </w:r>
            <w:r>
              <w:rPr>
                <w:rFonts w:cs="Times New Roman"/>
                <w:color w:val="auto"/>
                <w:sz w:val="24"/>
                <w:szCs w:val="24"/>
              </w:rPr>
              <w:t>加工。根据《产业结构调整指导目录（2024年本）》相关规定，项目不属于</w:t>
            </w:r>
            <w:r>
              <w:rPr>
                <w:rFonts w:hint="eastAsia" w:cs="Times New Roman"/>
                <w:color w:val="auto"/>
                <w:sz w:val="24"/>
                <w:szCs w:val="24"/>
                <w:lang w:eastAsia="zh-CN"/>
              </w:rPr>
              <w:t>“</w:t>
            </w:r>
            <w:r>
              <w:rPr>
                <w:rFonts w:cs="Times New Roman"/>
                <w:color w:val="auto"/>
                <w:sz w:val="24"/>
                <w:szCs w:val="24"/>
              </w:rPr>
              <w:t>鼓励类、限制类和淘汰类</w:t>
            </w:r>
            <w:r>
              <w:rPr>
                <w:rFonts w:hint="eastAsia" w:cs="Times New Roman"/>
                <w:color w:val="auto"/>
                <w:sz w:val="24"/>
                <w:szCs w:val="24"/>
                <w:lang w:eastAsia="zh-CN"/>
              </w:rPr>
              <w:t>”</w:t>
            </w:r>
            <w:r>
              <w:rPr>
                <w:rFonts w:cs="Times New Roman"/>
                <w:color w:val="auto"/>
                <w:sz w:val="24"/>
                <w:szCs w:val="24"/>
              </w:rPr>
              <w:t>项目，根据国务院《促进产业结构调整暂行规定》（国发〔2005〕40号），第十三条：</w:t>
            </w:r>
            <w:r>
              <w:rPr>
                <w:rFonts w:hint="eastAsia" w:cs="Times New Roman"/>
                <w:color w:val="auto"/>
                <w:sz w:val="24"/>
                <w:szCs w:val="24"/>
                <w:lang w:eastAsia="zh-CN"/>
              </w:rPr>
              <w:t>“</w:t>
            </w:r>
            <w:r>
              <w:rPr>
                <w:rFonts w:cs="Times New Roman"/>
                <w:color w:val="auto"/>
                <w:sz w:val="24"/>
                <w:szCs w:val="24"/>
              </w:rPr>
              <w:t>不属于鼓励类、限制类和淘汰类，且符合国家有关法律、法规和政策规定，视为允许类</w:t>
            </w:r>
            <w:r>
              <w:rPr>
                <w:rFonts w:hint="eastAsia" w:cs="Times New Roman"/>
                <w:color w:val="auto"/>
                <w:sz w:val="24"/>
                <w:szCs w:val="24"/>
                <w:lang w:eastAsia="zh-CN"/>
              </w:rPr>
              <w:t>”</w:t>
            </w:r>
            <w:r>
              <w:rPr>
                <w:rFonts w:cs="Times New Roman"/>
                <w:color w:val="auto"/>
                <w:sz w:val="24"/>
                <w:szCs w:val="24"/>
              </w:rPr>
              <w:t>，故项目为允许类。</w:t>
            </w:r>
          </w:p>
          <w:p w14:paraId="6A174415">
            <w:pPr>
              <w:keepNext w:val="0"/>
              <w:keepLines w:val="0"/>
              <w:pageBreakBefore w:val="0"/>
              <w:widowControl w:val="0"/>
              <w:kinsoku/>
              <w:wordWrap/>
              <w:overflowPunct/>
              <w:topLinePunct w:val="0"/>
              <w:autoSpaceDE/>
              <w:autoSpaceDN/>
              <w:bidi w:val="0"/>
              <w:adjustRightInd/>
              <w:snapToGrid/>
              <w:spacing w:line="312" w:lineRule="auto"/>
              <w:ind w:firstLine="480" w:firstLineChars="200"/>
              <w:textAlignment w:val="auto"/>
              <w:rPr>
                <w:rFonts w:cs="Times New Roman"/>
                <w:color w:val="auto"/>
                <w:sz w:val="24"/>
                <w:szCs w:val="24"/>
              </w:rPr>
            </w:pPr>
            <w:r>
              <w:rPr>
                <w:rFonts w:cs="Times New Roman"/>
                <w:color w:val="auto"/>
                <w:sz w:val="24"/>
              </w:rPr>
              <w:t>项目已在</w:t>
            </w:r>
            <w:r>
              <w:rPr>
                <w:rFonts w:hint="eastAsia" w:cs="Times New Roman"/>
                <w:color w:val="auto"/>
                <w:sz w:val="24"/>
                <w:lang w:eastAsia="zh-CN"/>
              </w:rPr>
              <w:t>通川区发展和改革局</w:t>
            </w:r>
            <w:r>
              <w:rPr>
                <w:rFonts w:cs="Times New Roman"/>
                <w:color w:val="auto"/>
                <w:sz w:val="24"/>
              </w:rPr>
              <w:t>予以备案，备案号：川投资备【</w:t>
            </w:r>
            <w:r>
              <w:rPr>
                <w:rFonts w:hint="eastAsia" w:cs="Times New Roman"/>
                <w:color w:val="auto"/>
                <w:sz w:val="24"/>
                <w:lang w:eastAsia="zh-CN"/>
              </w:rPr>
              <w:t>2410-511702-04-03-615920</w:t>
            </w:r>
            <w:r>
              <w:rPr>
                <w:rFonts w:cs="Times New Roman"/>
                <w:color w:val="auto"/>
                <w:sz w:val="24"/>
              </w:rPr>
              <w:t>】</w:t>
            </w:r>
            <w:r>
              <w:rPr>
                <w:rFonts w:hint="eastAsia" w:cs="Times New Roman"/>
                <w:color w:val="auto"/>
                <w:sz w:val="24"/>
                <w:lang w:eastAsia="zh-CN"/>
              </w:rPr>
              <w:t>FGQB-0721</w:t>
            </w:r>
            <w:r>
              <w:rPr>
                <w:rFonts w:cs="Times New Roman"/>
                <w:color w:val="auto"/>
                <w:sz w:val="24"/>
              </w:rPr>
              <w:t>号，</w:t>
            </w:r>
            <w:r>
              <w:rPr>
                <w:rFonts w:cs="Times New Roman"/>
                <w:color w:val="auto"/>
                <w:sz w:val="24"/>
                <w:szCs w:val="24"/>
              </w:rPr>
              <w:t>同意了本项目的建设。</w:t>
            </w:r>
          </w:p>
          <w:p w14:paraId="347000BC">
            <w:pPr>
              <w:keepNext w:val="0"/>
              <w:keepLines w:val="0"/>
              <w:pageBreakBefore w:val="0"/>
              <w:widowControl w:val="0"/>
              <w:kinsoku/>
              <w:wordWrap/>
              <w:overflowPunct/>
              <w:topLinePunct w:val="0"/>
              <w:autoSpaceDE/>
              <w:autoSpaceDN/>
              <w:bidi w:val="0"/>
              <w:adjustRightInd/>
              <w:snapToGrid/>
              <w:spacing w:line="312" w:lineRule="auto"/>
              <w:ind w:firstLine="480" w:firstLineChars="200"/>
              <w:textAlignment w:val="auto"/>
              <w:rPr>
                <w:rFonts w:cs="Times New Roman"/>
                <w:color w:val="auto"/>
                <w:sz w:val="24"/>
                <w:szCs w:val="24"/>
              </w:rPr>
            </w:pPr>
            <w:r>
              <w:rPr>
                <w:rFonts w:cs="Times New Roman"/>
                <w:color w:val="auto"/>
                <w:sz w:val="24"/>
                <w:szCs w:val="24"/>
              </w:rPr>
              <w:t>因此，项目符合国家现行产业政策。</w:t>
            </w:r>
          </w:p>
          <w:p w14:paraId="4D14A80E">
            <w:pPr>
              <w:keepNext w:val="0"/>
              <w:keepLines w:val="0"/>
              <w:pageBreakBefore w:val="0"/>
              <w:widowControl w:val="0"/>
              <w:kinsoku/>
              <w:wordWrap/>
              <w:overflowPunct/>
              <w:topLinePunct w:val="0"/>
              <w:autoSpaceDE/>
              <w:autoSpaceDN/>
              <w:bidi w:val="0"/>
              <w:adjustRightInd/>
              <w:snapToGrid/>
              <w:spacing w:line="312" w:lineRule="auto"/>
              <w:ind w:firstLine="482" w:firstLineChars="200"/>
              <w:textAlignment w:val="auto"/>
              <w:rPr>
                <w:rFonts w:hint="eastAsia" w:eastAsia="宋体" w:cs="Times New Roman"/>
                <w:b/>
                <w:bCs/>
                <w:color w:val="auto"/>
                <w:sz w:val="24"/>
                <w:szCs w:val="24"/>
                <w:lang w:eastAsia="zh-CN"/>
              </w:rPr>
            </w:pPr>
            <w:r>
              <w:rPr>
                <w:rFonts w:cs="Times New Roman"/>
                <w:b/>
                <w:bCs/>
                <w:color w:val="auto"/>
                <w:sz w:val="24"/>
                <w:szCs w:val="24"/>
              </w:rPr>
              <w:t>2、用地规划符合性分析</w:t>
            </w:r>
          </w:p>
          <w:p w14:paraId="2742C795">
            <w:pPr>
              <w:keepNext w:val="0"/>
              <w:keepLines w:val="0"/>
              <w:pageBreakBefore w:val="0"/>
              <w:widowControl w:val="0"/>
              <w:kinsoku/>
              <w:wordWrap/>
              <w:overflowPunct/>
              <w:topLinePunct w:val="0"/>
              <w:autoSpaceDE/>
              <w:autoSpaceDN/>
              <w:bidi w:val="0"/>
              <w:adjustRightInd/>
              <w:snapToGrid/>
              <w:spacing w:line="312" w:lineRule="auto"/>
              <w:ind w:firstLine="480" w:firstLineChars="200"/>
              <w:textAlignment w:val="auto"/>
              <w:rPr>
                <w:rFonts w:cs="Times New Roman"/>
                <w:color w:val="auto"/>
                <w:sz w:val="24"/>
                <w:szCs w:val="24"/>
              </w:rPr>
            </w:pPr>
            <w:r>
              <w:rPr>
                <w:rFonts w:cs="Times New Roman"/>
                <w:color w:val="auto"/>
                <w:sz w:val="24"/>
                <w:szCs w:val="24"/>
              </w:rPr>
              <w:t>本项目选址于</w:t>
            </w:r>
            <w:r>
              <w:rPr>
                <w:rFonts w:hint="eastAsia" w:cs="Times New Roman"/>
                <w:color w:val="auto"/>
                <w:sz w:val="24"/>
                <w:szCs w:val="24"/>
                <w:lang w:eastAsia="zh-CN"/>
              </w:rPr>
              <w:t>达州市通川区东岳镇虹桥社区二组</w:t>
            </w:r>
            <w:r>
              <w:rPr>
                <w:rFonts w:cs="Times New Roman"/>
                <w:color w:val="auto"/>
                <w:sz w:val="24"/>
                <w:szCs w:val="24"/>
              </w:rPr>
              <w:t>，</w:t>
            </w:r>
            <w:r>
              <w:rPr>
                <w:rFonts w:hint="eastAsia" w:cs="Times New Roman"/>
                <w:color w:val="auto"/>
                <w:sz w:val="24"/>
                <w:szCs w:val="24"/>
                <w:lang w:eastAsia="zh-CN"/>
              </w:rPr>
              <w:t>系</w:t>
            </w:r>
            <w:r>
              <w:rPr>
                <w:rFonts w:cs="Times New Roman"/>
                <w:color w:val="auto"/>
                <w:sz w:val="24"/>
                <w:szCs w:val="24"/>
              </w:rPr>
              <w:t>租用达州市天宇车业有限公司商用半挂车生产及配套建设项目（以下简称</w:t>
            </w:r>
            <w:r>
              <w:rPr>
                <w:rFonts w:hint="eastAsia" w:cs="Times New Roman"/>
                <w:color w:val="auto"/>
                <w:sz w:val="24"/>
                <w:szCs w:val="24"/>
                <w:lang w:eastAsia="zh-CN"/>
              </w:rPr>
              <w:t>“</w:t>
            </w:r>
            <w:r>
              <w:rPr>
                <w:rFonts w:cs="Times New Roman"/>
                <w:color w:val="auto"/>
                <w:sz w:val="24"/>
                <w:szCs w:val="24"/>
              </w:rPr>
              <w:t>半挂车项目</w:t>
            </w:r>
            <w:r>
              <w:rPr>
                <w:rFonts w:hint="eastAsia" w:cs="Times New Roman"/>
                <w:color w:val="auto"/>
                <w:sz w:val="24"/>
                <w:szCs w:val="24"/>
                <w:lang w:eastAsia="zh-CN"/>
              </w:rPr>
              <w:t>”</w:t>
            </w:r>
            <w:r>
              <w:rPr>
                <w:rFonts w:cs="Times New Roman"/>
                <w:color w:val="auto"/>
                <w:sz w:val="24"/>
                <w:szCs w:val="24"/>
              </w:rPr>
              <w:t>）的闲置</w:t>
            </w:r>
            <w:r>
              <w:rPr>
                <w:rFonts w:hint="eastAsia" w:cs="Times New Roman"/>
                <w:color w:val="auto"/>
                <w:sz w:val="24"/>
                <w:szCs w:val="24"/>
                <w:lang w:val="en-US" w:eastAsia="zh-CN"/>
              </w:rPr>
              <w:t>1号</w:t>
            </w:r>
            <w:r>
              <w:rPr>
                <w:rFonts w:hint="eastAsia" w:cs="Times New Roman"/>
                <w:color w:val="auto"/>
                <w:sz w:val="24"/>
                <w:szCs w:val="24"/>
                <w:lang w:eastAsia="zh-CN"/>
              </w:rPr>
              <w:t>车间及车间外空地</w:t>
            </w:r>
            <w:r>
              <w:rPr>
                <w:rFonts w:cs="Times New Roman"/>
                <w:color w:val="auto"/>
                <w:sz w:val="24"/>
                <w:szCs w:val="24"/>
              </w:rPr>
              <w:t>。达州市天宇车业有限公司已取得由达州市国土资源局通川分局出具的《关于商用半挂车生产及配套项目建设用地的预审意见》（达市通国土资函〔2018〕149号），同意该项目用地。目前，达州市天宇车业有限公司正在办理用地手续。</w:t>
            </w:r>
          </w:p>
          <w:p w14:paraId="5B466DDF">
            <w:pPr>
              <w:keepNext w:val="0"/>
              <w:keepLines w:val="0"/>
              <w:pageBreakBefore w:val="0"/>
              <w:widowControl w:val="0"/>
              <w:kinsoku/>
              <w:wordWrap/>
              <w:overflowPunct/>
              <w:topLinePunct w:val="0"/>
              <w:autoSpaceDE/>
              <w:autoSpaceDN/>
              <w:bidi w:val="0"/>
              <w:adjustRightInd/>
              <w:snapToGrid/>
              <w:spacing w:line="312" w:lineRule="auto"/>
              <w:ind w:firstLine="480" w:firstLineChars="200"/>
              <w:textAlignment w:val="auto"/>
              <w:rPr>
                <w:rFonts w:cs="Times New Roman"/>
                <w:color w:val="auto"/>
                <w:sz w:val="24"/>
                <w:szCs w:val="24"/>
              </w:rPr>
            </w:pPr>
            <w:r>
              <w:rPr>
                <w:rFonts w:cs="Times New Roman"/>
                <w:color w:val="auto"/>
                <w:sz w:val="24"/>
                <w:szCs w:val="24"/>
              </w:rPr>
              <w:t>本项目位于通川区东岳新型工业集聚区，根据通川区东岳新型工业集聚区土地利用规划，本项目占用地范围属于规划的二类工业用地。本项目为</w:t>
            </w:r>
            <w:r>
              <w:rPr>
                <w:rFonts w:ascii="Times New Roman" w:hAnsi="Times New Roman" w:eastAsia="宋体" w:cs="Times New Roman"/>
                <w:color w:val="auto"/>
                <w:sz w:val="24"/>
                <w:szCs w:val="24"/>
              </w:rPr>
              <w:t>建筑用石加工</w:t>
            </w:r>
            <w:r>
              <w:rPr>
                <w:rFonts w:cs="Times New Roman"/>
                <w:color w:val="auto"/>
                <w:sz w:val="24"/>
                <w:szCs w:val="24"/>
              </w:rPr>
              <w:t>项目，属于工业项目。</w:t>
            </w:r>
          </w:p>
          <w:p w14:paraId="314401F6">
            <w:pPr>
              <w:keepNext w:val="0"/>
              <w:keepLines w:val="0"/>
              <w:pageBreakBefore w:val="0"/>
              <w:widowControl w:val="0"/>
              <w:kinsoku/>
              <w:wordWrap/>
              <w:overflowPunct/>
              <w:topLinePunct w:val="0"/>
              <w:autoSpaceDE/>
              <w:autoSpaceDN/>
              <w:bidi w:val="0"/>
              <w:adjustRightInd/>
              <w:snapToGrid/>
              <w:spacing w:line="312" w:lineRule="auto"/>
              <w:ind w:firstLine="480" w:firstLineChars="200"/>
              <w:textAlignment w:val="auto"/>
              <w:rPr>
                <w:rFonts w:cs="Times New Roman"/>
                <w:color w:val="auto"/>
                <w:sz w:val="24"/>
                <w:szCs w:val="24"/>
              </w:rPr>
            </w:pPr>
            <w:r>
              <w:rPr>
                <w:rFonts w:cs="Times New Roman"/>
                <w:color w:val="auto"/>
                <w:sz w:val="24"/>
                <w:szCs w:val="24"/>
              </w:rPr>
              <w:t>因此，项目建设符合当地用地规划，符合国家相关要求。</w:t>
            </w:r>
          </w:p>
          <w:p w14:paraId="6EB0A330">
            <w:pPr>
              <w:keepNext w:val="0"/>
              <w:keepLines w:val="0"/>
              <w:pageBreakBefore w:val="0"/>
              <w:widowControl w:val="0"/>
              <w:kinsoku/>
              <w:wordWrap/>
              <w:overflowPunct/>
              <w:topLinePunct w:val="0"/>
              <w:autoSpaceDE/>
              <w:autoSpaceDN/>
              <w:bidi w:val="0"/>
              <w:adjustRightInd/>
              <w:snapToGrid/>
              <w:spacing w:line="312" w:lineRule="auto"/>
              <w:ind w:firstLine="482" w:firstLineChars="200"/>
              <w:textAlignment w:val="auto"/>
              <w:rPr>
                <w:rFonts w:cs="Times New Roman"/>
                <w:b/>
                <w:color w:val="auto"/>
                <w:sz w:val="24"/>
                <w:szCs w:val="24"/>
              </w:rPr>
            </w:pPr>
            <w:r>
              <w:rPr>
                <w:rFonts w:cs="Times New Roman"/>
                <w:b/>
                <w:color w:val="auto"/>
                <w:sz w:val="24"/>
                <w:szCs w:val="24"/>
              </w:rPr>
              <w:t>3、与《四川省嘉陵江流域生态环境保护条例》的符合性分析</w:t>
            </w:r>
          </w:p>
          <w:p w14:paraId="502F50DB">
            <w:pPr>
              <w:keepNext w:val="0"/>
              <w:keepLines w:val="0"/>
              <w:pageBreakBefore w:val="0"/>
              <w:widowControl w:val="0"/>
              <w:kinsoku/>
              <w:wordWrap/>
              <w:overflowPunct/>
              <w:topLinePunct w:val="0"/>
              <w:autoSpaceDE/>
              <w:autoSpaceDN/>
              <w:bidi w:val="0"/>
              <w:adjustRightInd/>
              <w:snapToGrid/>
              <w:spacing w:line="312" w:lineRule="auto"/>
              <w:ind w:firstLine="480" w:firstLineChars="200"/>
              <w:textAlignment w:val="auto"/>
              <w:rPr>
                <w:rFonts w:cs="Times New Roman"/>
                <w:bCs/>
                <w:color w:val="auto"/>
                <w:sz w:val="24"/>
                <w:szCs w:val="24"/>
              </w:rPr>
            </w:pPr>
            <w:r>
              <w:rPr>
                <w:rFonts w:cs="Times New Roman"/>
                <w:bCs/>
                <w:color w:val="auto"/>
                <w:sz w:val="24"/>
                <w:szCs w:val="24"/>
              </w:rPr>
              <w:t>2021年11月25日四川省第十三届</w:t>
            </w:r>
            <w:r>
              <w:rPr>
                <w:rFonts w:hint="eastAsia" w:cs="Times New Roman"/>
                <w:bCs/>
                <w:color w:val="auto"/>
                <w:sz w:val="24"/>
                <w:szCs w:val="24"/>
                <w:lang w:val="en-US" w:eastAsia="zh-CN"/>
              </w:rPr>
              <w:t>全国</w:t>
            </w:r>
            <w:r>
              <w:rPr>
                <w:rFonts w:cs="Times New Roman"/>
                <w:bCs/>
                <w:color w:val="auto"/>
                <w:sz w:val="24"/>
                <w:szCs w:val="24"/>
              </w:rPr>
              <w:t>人民代表大会常务委员会第三十一次会议通过了《四川省嘉陵江流域生态环境保护</w:t>
            </w:r>
            <w:bookmarkStart w:id="11" w:name="_GoBack"/>
            <w:bookmarkEnd w:id="11"/>
            <w:r>
              <w:rPr>
                <w:rFonts w:cs="Times New Roman"/>
                <w:bCs/>
                <w:color w:val="auto"/>
                <w:sz w:val="24"/>
                <w:szCs w:val="24"/>
              </w:rPr>
              <w:t>条例》，本项目与其符合性分析见下表：</w:t>
            </w:r>
          </w:p>
          <w:p w14:paraId="73EA8EDA">
            <w:pPr>
              <w:spacing w:line="360" w:lineRule="auto"/>
              <w:jc w:val="center"/>
              <w:rPr>
                <w:rFonts w:cs="Times New Roman"/>
                <w:b/>
                <w:bCs/>
                <w:color w:val="auto"/>
                <w:sz w:val="24"/>
                <w:szCs w:val="24"/>
              </w:rPr>
            </w:pPr>
            <w:r>
              <w:rPr>
                <w:rFonts w:cs="Times New Roman"/>
                <w:b/>
                <w:bCs/>
                <w:color w:val="auto"/>
                <w:sz w:val="24"/>
                <w:szCs w:val="24"/>
              </w:rPr>
              <w:t>表1-</w:t>
            </w:r>
            <w:r>
              <w:rPr>
                <w:rFonts w:hint="eastAsia" w:cs="Times New Roman"/>
                <w:b/>
                <w:bCs/>
                <w:color w:val="auto"/>
                <w:sz w:val="24"/>
                <w:szCs w:val="24"/>
                <w:lang w:val="en-US" w:eastAsia="zh-CN"/>
              </w:rPr>
              <w:t>3</w:t>
            </w:r>
            <w:r>
              <w:rPr>
                <w:rFonts w:cs="Times New Roman"/>
                <w:b/>
                <w:bCs/>
                <w:color w:val="auto"/>
                <w:sz w:val="24"/>
                <w:szCs w:val="24"/>
              </w:rPr>
              <w:t xml:space="preserve"> 与《四川省嘉陵江流域生态环境保护条例》的符合性分析</w:t>
            </w:r>
          </w:p>
          <w:tbl>
            <w:tblPr>
              <w:tblStyle w:val="24"/>
              <w:tblW w:w="8098"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79"/>
              <w:gridCol w:w="4294"/>
              <w:gridCol w:w="2255"/>
              <w:gridCol w:w="670"/>
            </w:tblGrid>
            <w:tr w14:paraId="6FE1162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7" w:hRule="atLeast"/>
              </w:trPr>
              <w:tc>
                <w:tcPr>
                  <w:tcW w:w="542" w:type="pct"/>
                  <w:vAlign w:val="center"/>
                </w:tcPr>
                <w:p w14:paraId="1F172D93">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cs="Times New Roman"/>
                      <w:b/>
                      <w:color w:val="auto"/>
                      <w:sz w:val="21"/>
                      <w:szCs w:val="21"/>
                    </w:rPr>
                  </w:pPr>
                  <w:r>
                    <w:rPr>
                      <w:rFonts w:cs="Times New Roman"/>
                      <w:b/>
                      <w:color w:val="auto"/>
                      <w:sz w:val="21"/>
                      <w:szCs w:val="21"/>
                    </w:rPr>
                    <w:t>名称</w:t>
                  </w:r>
                </w:p>
              </w:tc>
              <w:tc>
                <w:tcPr>
                  <w:tcW w:w="2651" w:type="pct"/>
                  <w:vAlign w:val="center"/>
                </w:tcPr>
                <w:p w14:paraId="56CC8A8F">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cs="Times New Roman"/>
                      <w:b/>
                      <w:color w:val="auto"/>
                      <w:sz w:val="21"/>
                      <w:szCs w:val="21"/>
                    </w:rPr>
                  </w:pPr>
                  <w:r>
                    <w:rPr>
                      <w:rFonts w:cs="Times New Roman"/>
                      <w:b/>
                      <w:color w:val="auto"/>
                      <w:sz w:val="21"/>
                      <w:szCs w:val="21"/>
                    </w:rPr>
                    <w:t>法律条文</w:t>
                  </w:r>
                  <w:r>
                    <w:rPr>
                      <w:rFonts w:hint="eastAsia" w:cs="Times New Roman"/>
                      <w:b/>
                      <w:bCs/>
                      <w:color w:val="auto"/>
                      <w:sz w:val="21"/>
                      <w:szCs w:val="21"/>
                      <w:lang w:eastAsia="zh-CN"/>
                    </w:rPr>
                    <w:t>（节选）</w:t>
                  </w:r>
                </w:p>
              </w:tc>
              <w:tc>
                <w:tcPr>
                  <w:tcW w:w="1392" w:type="pct"/>
                  <w:vAlign w:val="center"/>
                </w:tcPr>
                <w:p w14:paraId="09A512F7">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cs="Times New Roman"/>
                      <w:b/>
                      <w:color w:val="auto"/>
                      <w:sz w:val="21"/>
                      <w:szCs w:val="21"/>
                    </w:rPr>
                  </w:pPr>
                  <w:r>
                    <w:rPr>
                      <w:rFonts w:cs="Times New Roman"/>
                      <w:b/>
                      <w:color w:val="auto"/>
                      <w:sz w:val="21"/>
                      <w:szCs w:val="21"/>
                    </w:rPr>
                    <w:t>本项目情况</w:t>
                  </w:r>
                </w:p>
              </w:tc>
              <w:tc>
                <w:tcPr>
                  <w:tcW w:w="413" w:type="pct"/>
                  <w:vAlign w:val="center"/>
                </w:tcPr>
                <w:p w14:paraId="58EB694F">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cs="Times New Roman"/>
                      <w:b/>
                      <w:color w:val="auto"/>
                      <w:sz w:val="21"/>
                      <w:szCs w:val="21"/>
                    </w:rPr>
                  </w:pPr>
                  <w:r>
                    <w:rPr>
                      <w:rFonts w:cs="Times New Roman"/>
                      <w:b/>
                      <w:color w:val="auto"/>
                      <w:sz w:val="21"/>
                      <w:szCs w:val="21"/>
                    </w:rPr>
                    <w:t>符合性</w:t>
                  </w:r>
                </w:p>
              </w:tc>
            </w:tr>
            <w:tr w14:paraId="2A3D8B5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41" w:hRule="atLeast"/>
              </w:trPr>
              <w:tc>
                <w:tcPr>
                  <w:tcW w:w="542" w:type="pct"/>
                  <w:vAlign w:val="center"/>
                </w:tcPr>
                <w:p w14:paraId="650E0068">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cs="Times New Roman"/>
                      <w:color w:val="auto"/>
                      <w:sz w:val="21"/>
                      <w:szCs w:val="21"/>
                    </w:rPr>
                  </w:pPr>
                  <w:r>
                    <w:rPr>
                      <w:rFonts w:cs="Times New Roman"/>
                      <w:color w:val="auto"/>
                      <w:sz w:val="21"/>
                      <w:szCs w:val="21"/>
                    </w:rPr>
                    <w:t>第十七条</w:t>
                  </w:r>
                </w:p>
              </w:tc>
              <w:tc>
                <w:tcPr>
                  <w:tcW w:w="2651" w:type="pct"/>
                  <w:vAlign w:val="center"/>
                </w:tcPr>
                <w:p w14:paraId="3FDEC0A5">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cs="Times New Roman"/>
                      <w:color w:val="auto"/>
                      <w:sz w:val="21"/>
                      <w:szCs w:val="21"/>
                    </w:rPr>
                  </w:pPr>
                  <w:r>
                    <w:rPr>
                      <w:rFonts w:cs="Times New Roman"/>
                      <w:color w:val="auto"/>
                      <w:sz w:val="21"/>
                      <w:szCs w:val="21"/>
                    </w:rPr>
                    <w:t>禁止在嘉陵江干支流岸线一公里范围内新建、扩建化工园区和化工项目。</w:t>
                  </w:r>
                </w:p>
              </w:tc>
              <w:tc>
                <w:tcPr>
                  <w:tcW w:w="1392" w:type="pct"/>
                  <w:vAlign w:val="center"/>
                </w:tcPr>
                <w:p w14:paraId="37CC65F2">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cs="Times New Roman"/>
                      <w:color w:val="auto"/>
                      <w:sz w:val="21"/>
                      <w:szCs w:val="21"/>
                    </w:rPr>
                  </w:pPr>
                  <w:r>
                    <w:rPr>
                      <w:rFonts w:cs="Times New Roman"/>
                      <w:color w:val="auto"/>
                      <w:sz w:val="21"/>
                      <w:szCs w:val="21"/>
                    </w:rPr>
                    <w:t>项目不属于化工项目，且不在嘉陵江干支流岸线一公里范围内。</w:t>
                  </w:r>
                </w:p>
              </w:tc>
              <w:tc>
                <w:tcPr>
                  <w:tcW w:w="413" w:type="pct"/>
                  <w:vAlign w:val="center"/>
                </w:tcPr>
                <w:p w14:paraId="37AB12FC">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cs="Times New Roman"/>
                      <w:color w:val="auto"/>
                      <w:sz w:val="21"/>
                      <w:szCs w:val="21"/>
                    </w:rPr>
                  </w:pPr>
                  <w:r>
                    <w:rPr>
                      <w:rFonts w:cs="Times New Roman"/>
                      <w:color w:val="auto"/>
                      <w:sz w:val="21"/>
                      <w:szCs w:val="21"/>
                    </w:rPr>
                    <w:t>符合</w:t>
                  </w:r>
                </w:p>
              </w:tc>
            </w:tr>
            <w:tr w14:paraId="24D334A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90" w:hRule="atLeast"/>
              </w:trPr>
              <w:tc>
                <w:tcPr>
                  <w:tcW w:w="542" w:type="pct"/>
                  <w:vAlign w:val="center"/>
                </w:tcPr>
                <w:p w14:paraId="2133E22C">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cs="Times New Roman"/>
                      <w:color w:val="auto"/>
                      <w:sz w:val="21"/>
                      <w:szCs w:val="21"/>
                    </w:rPr>
                  </w:pPr>
                  <w:r>
                    <w:rPr>
                      <w:rFonts w:cs="Times New Roman"/>
                      <w:color w:val="auto"/>
                      <w:sz w:val="21"/>
                      <w:szCs w:val="21"/>
                    </w:rPr>
                    <w:t>第十</w:t>
                  </w:r>
                  <w:r>
                    <w:rPr>
                      <w:rFonts w:hint="eastAsia" w:cs="Times New Roman"/>
                      <w:color w:val="auto"/>
                      <w:sz w:val="21"/>
                      <w:szCs w:val="21"/>
                      <w:lang w:eastAsia="zh-CN"/>
                    </w:rPr>
                    <w:t>九</w:t>
                  </w:r>
                  <w:r>
                    <w:rPr>
                      <w:rFonts w:cs="Times New Roman"/>
                      <w:color w:val="auto"/>
                      <w:sz w:val="21"/>
                      <w:szCs w:val="21"/>
                    </w:rPr>
                    <w:t>条</w:t>
                  </w:r>
                </w:p>
              </w:tc>
              <w:tc>
                <w:tcPr>
                  <w:tcW w:w="2651" w:type="pct"/>
                  <w:vAlign w:val="center"/>
                </w:tcPr>
                <w:p w14:paraId="6F765B12">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cs="Times New Roman"/>
                      <w:color w:val="auto"/>
                      <w:sz w:val="21"/>
                      <w:szCs w:val="21"/>
                    </w:rPr>
                  </w:pPr>
                  <w:r>
                    <w:rPr>
                      <w:rFonts w:cs="Times New Roman"/>
                      <w:color w:val="auto"/>
                      <w:sz w:val="21"/>
                      <w:szCs w:val="21"/>
                    </w:rPr>
                    <w:t>嘉陵江流域实行重点水污染物排放总量控制制度。对可能超过重点水污染物排放总量控制指标或者未完成水污染防治年度目标的区域，省人民政府生态环境主管部门应当约谈该地区人民政府的分管负责人。对超过重点水污染物排放总量控制指标或者未完成水环境质量改善目标的区域，省人民政府生态环境主管部门应当会同有关部门约谈该地区人民政府的主要负责人，并暂停审批新增重点水污染物排放总量的建设项目的环境影响评价文件。约谈情况应当向社会公开。</w:t>
                  </w:r>
                </w:p>
              </w:tc>
              <w:tc>
                <w:tcPr>
                  <w:tcW w:w="1392" w:type="pct"/>
                  <w:vAlign w:val="center"/>
                </w:tcPr>
                <w:p w14:paraId="481B6F4E">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cs="Times New Roman"/>
                      <w:color w:val="auto"/>
                      <w:sz w:val="21"/>
                      <w:szCs w:val="21"/>
                    </w:rPr>
                  </w:pPr>
                  <w:r>
                    <w:rPr>
                      <w:rFonts w:cs="Times New Roman"/>
                      <w:color w:val="auto"/>
                      <w:sz w:val="21"/>
                      <w:szCs w:val="21"/>
                    </w:rPr>
                    <w:t>本项目</w:t>
                  </w:r>
                  <w:r>
                    <w:rPr>
                      <w:rFonts w:hint="eastAsia" w:cs="Times New Roman"/>
                      <w:color w:val="auto"/>
                      <w:sz w:val="21"/>
                      <w:szCs w:val="21"/>
                      <w:lang w:eastAsia="zh-CN"/>
                    </w:rPr>
                    <w:t>生产废水循环使用</w:t>
                  </w:r>
                  <w:r>
                    <w:rPr>
                      <w:rFonts w:cs="Times New Roman"/>
                      <w:color w:val="auto"/>
                      <w:sz w:val="21"/>
                      <w:szCs w:val="21"/>
                    </w:rPr>
                    <w:t>。生活污水通过定期拉运的方式进入东岳场镇污水处理厂处理，不涉及废水直排。</w:t>
                  </w:r>
                </w:p>
              </w:tc>
              <w:tc>
                <w:tcPr>
                  <w:tcW w:w="413" w:type="pct"/>
                  <w:vAlign w:val="center"/>
                </w:tcPr>
                <w:p w14:paraId="7FB5E7AE">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cs="Times New Roman"/>
                      <w:color w:val="auto"/>
                      <w:sz w:val="21"/>
                      <w:szCs w:val="21"/>
                    </w:rPr>
                  </w:pPr>
                  <w:r>
                    <w:rPr>
                      <w:rFonts w:cs="Times New Roman"/>
                      <w:color w:val="auto"/>
                      <w:sz w:val="21"/>
                      <w:szCs w:val="21"/>
                    </w:rPr>
                    <w:t>符合</w:t>
                  </w:r>
                </w:p>
              </w:tc>
            </w:tr>
            <w:tr w14:paraId="31660D8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41" w:hRule="atLeast"/>
              </w:trPr>
              <w:tc>
                <w:tcPr>
                  <w:tcW w:w="542" w:type="pct"/>
                  <w:vAlign w:val="center"/>
                </w:tcPr>
                <w:p w14:paraId="5DBDE2DF">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cs="Times New Roman"/>
                      <w:color w:val="auto"/>
                      <w:sz w:val="21"/>
                      <w:szCs w:val="21"/>
                    </w:rPr>
                  </w:pPr>
                  <w:r>
                    <w:rPr>
                      <w:rFonts w:cs="Times New Roman"/>
                      <w:color w:val="auto"/>
                      <w:sz w:val="21"/>
                      <w:szCs w:val="21"/>
                    </w:rPr>
                    <w:t>第二十一条</w:t>
                  </w:r>
                </w:p>
              </w:tc>
              <w:tc>
                <w:tcPr>
                  <w:tcW w:w="2651" w:type="pct"/>
                  <w:vAlign w:val="center"/>
                </w:tcPr>
                <w:p w14:paraId="68784D8F">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cs="Times New Roman"/>
                      <w:color w:val="auto"/>
                      <w:sz w:val="21"/>
                      <w:szCs w:val="21"/>
                    </w:rPr>
                  </w:pPr>
                  <w:r>
                    <w:rPr>
                      <w:rFonts w:cs="Times New Roman"/>
                      <w:color w:val="auto"/>
                      <w:sz w:val="21"/>
                      <w:szCs w:val="21"/>
                    </w:rPr>
                    <w:t>按照排污许可证的规定排放污染物；禁止未取得排污许可证或者违反排污许可证的规定排放污染物。</w:t>
                  </w:r>
                </w:p>
              </w:tc>
              <w:tc>
                <w:tcPr>
                  <w:tcW w:w="1392" w:type="pct"/>
                  <w:vAlign w:val="center"/>
                </w:tcPr>
                <w:p w14:paraId="69519329">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cs="Times New Roman"/>
                      <w:color w:val="auto"/>
                      <w:sz w:val="21"/>
                      <w:szCs w:val="21"/>
                    </w:rPr>
                  </w:pPr>
                  <w:r>
                    <w:rPr>
                      <w:rFonts w:cs="Times New Roman"/>
                      <w:color w:val="auto"/>
                      <w:sz w:val="21"/>
                      <w:szCs w:val="21"/>
                    </w:rPr>
                    <w:t>项目建成后将按要求完善排污许可证的手续。</w:t>
                  </w:r>
                </w:p>
              </w:tc>
              <w:tc>
                <w:tcPr>
                  <w:tcW w:w="413" w:type="pct"/>
                  <w:vAlign w:val="center"/>
                </w:tcPr>
                <w:p w14:paraId="153472C7">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cs="Times New Roman"/>
                      <w:color w:val="auto"/>
                      <w:sz w:val="21"/>
                      <w:szCs w:val="21"/>
                    </w:rPr>
                  </w:pPr>
                  <w:r>
                    <w:rPr>
                      <w:rFonts w:cs="Times New Roman"/>
                      <w:color w:val="auto"/>
                      <w:sz w:val="21"/>
                      <w:szCs w:val="21"/>
                    </w:rPr>
                    <w:t>符合</w:t>
                  </w:r>
                </w:p>
              </w:tc>
            </w:tr>
            <w:tr w14:paraId="5B4FE8C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22" w:hRule="atLeast"/>
              </w:trPr>
              <w:tc>
                <w:tcPr>
                  <w:tcW w:w="542" w:type="pct"/>
                  <w:vAlign w:val="center"/>
                </w:tcPr>
                <w:p w14:paraId="7F34981A">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cs="Times New Roman"/>
                      <w:color w:val="auto"/>
                      <w:sz w:val="21"/>
                      <w:szCs w:val="21"/>
                    </w:rPr>
                  </w:pPr>
                  <w:r>
                    <w:rPr>
                      <w:rFonts w:cs="Times New Roman"/>
                      <w:color w:val="auto"/>
                      <w:sz w:val="21"/>
                      <w:szCs w:val="21"/>
                    </w:rPr>
                    <w:t>第六十七条</w:t>
                  </w:r>
                </w:p>
              </w:tc>
              <w:tc>
                <w:tcPr>
                  <w:tcW w:w="2651" w:type="pct"/>
                  <w:vAlign w:val="center"/>
                </w:tcPr>
                <w:p w14:paraId="6443478B">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cs="Times New Roman"/>
                      <w:color w:val="auto"/>
                      <w:sz w:val="21"/>
                      <w:szCs w:val="21"/>
                    </w:rPr>
                  </w:pPr>
                  <w:r>
                    <w:rPr>
                      <w:rFonts w:cs="Times New Roman"/>
                      <w:color w:val="auto"/>
                      <w:sz w:val="21"/>
                      <w:szCs w:val="21"/>
                    </w:rPr>
                    <w:t>新建排放重点水污染物的工业项目原则上进入符合相关规划的工业集聚区。逐步减少在工业集聚区以外排放工业废水的工业企业，并将有关工作情况纳入环境保护目标责任制范围。禁止在合规园区外新建、扩建钢铁、石化化工、焦化、建材、有色金属等高污染项目。工业集聚区管理机构应当建设污水集中处理设施和配套管网，实行雨污分流，实现废水分类收集、分质处理。排污单位对污水进行预处理后向污水集中处理设施排放的，应当符合污水集中处理设施的接纳标准。</w:t>
                  </w:r>
                </w:p>
              </w:tc>
              <w:tc>
                <w:tcPr>
                  <w:tcW w:w="1392" w:type="pct"/>
                  <w:vAlign w:val="center"/>
                </w:tcPr>
                <w:p w14:paraId="14908475">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cs="Times New Roman"/>
                      <w:color w:val="auto"/>
                      <w:sz w:val="21"/>
                      <w:szCs w:val="21"/>
                    </w:rPr>
                  </w:pPr>
                  <w:r>
                    <w:rPr>
                      <w:rFonts w:cs="Times New Roman"/>
                      <w:color w:val="auto"/>
                      <w:sz w:val="21"/>
                      <w:szCs w:val="21"/>
                    </w:rPr>
                    <w:t>项目属于</w:t>
                  </w:r>
                  <w:r>
                    <w:rPr>
                      <w:rFonts w:hint="eastAsia" w:cs="Times New Roman"/>
                      <w:color w:val="auto"/>
                      <w:sz w:val="21"/>
                      <w:szCs w:val="21"/>
                      <w:lang w:eastAsia="zh-CN"/>
                    </w:rPr>
                    <w:t>建筑用石加工</w:t>
                  </w:r>
                  <w:r>
                    <w:rPr>
                      <w:rFonts w:cs="Times New Roman"/>
                      <w:color w:val="auto"/>
                      <w:sz w:val="21"/>
                      <w:szCs w:val="21"/>
                    </w:rPr>
                    <w:t>项目，但根据《环境保护综合名录（2021年版）》（环办综合函〔2021〕495号），本项目不属于</w:t>
                  </w:r>
                  <w:r>
                    <w:rPr>
                      <w:rFonts w:hint="eastAsia" w:cs="Times New Roman"/>
                      <w:color w:val="auto"/>
                      <w:sz w:val="21"/>
                      <w:szCs w:val="21"/>
                      <w:lang w:eastAsia="zh-CN"/>
                    </w:rPr>
                    <w:t>“</w:t>
                  </w:r>
                  <w:r>
                    <w:rPr>
                      <w:rFonts w:cs="Times New Roman"/>
                      <w:color w:val="auto"/>
                      <w:sz w:val="21"/>
                      <w:szCs w:val="21"/>
                    </w:rPr>
                    <w:t>高污染</w:t>
                  </w:r>
                  <w:r>
                    <w:rPr>
                      <w:rFonts w:hint="eastAsia" w:cs="Times New Roman"/>
                      <w:color w:val="auto"/>
                      <w:sz w:val="21"/>
                      <w:szCs w:val="21"/>
                      <w:lang w:eastAsia="zh-CN"/>
                    </w:rPr>
                    <w:t>”“</w:t>
                  </w:r>
                  <w:r>
                    <w:rPr>
                      <w:rFonts w:cs="Times New Roman"/>
                      <w:color w:val="auto"/>
                      <w:sz w:val="21"/>
                      <w:szCs w:val="21"/>
                    </w:rPr>
                    <w:t>高环境风险</w:t>
                  </w:r>
                  <w:r>
                    <w:rPr>
                      <w:rFonts w:hint="eastAsia" w:cs="Times New Roman"/>
                      <w:color w:val="auto"/>
                      <w:sz w:val="21"/>
                      <w:szCs w:val="21"/>
                      <w:lang w:eastAsia="zh-CN"/>
                    </w:rPr>
                    <w:t>”</w:t>
                  </w:r>
                  <w:r>
                    <w:rPr>
                      <w:rFonts w:cs="Times New Roman"/>
                      <w:color w:val="auto"/>
                      <w:sz w:val="21"/>
                      <w:szCs w:val="21"/>
                    </w:rPr>
                    <w:t>项目。不属于重点水污染排放项目，生产废水经处理后循环使用，不外排；生活污水通过定期拉运的方式进入东岳场镇污水处理厂处理。厂区采取雨污分流制。</w:t>
                  </w:r>
                </w:p>
              </w:tc>
              <w:tc>
                <w:tcPr>
                  <w:tcW w:w="413" w:type="pct"/>
                  <w:vAlign w:val="center"/>
                </w:tcPr>
                <w:p w14:paraId="6808E308">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cs="Times New Roman"/>
                      <w:color w:val="auto"/>
                      <w:sz w:val="21"/>
                      <w:szCs w:val="21"/>
                    </w:rPr>
                  </w:pPr>
                  <w:r>
                    <w:rPr>
                      <w:rFonts w:cs="Times New Roman"/>
                      <w:color w:val="auto"/>
                      <w:sz w:val="21"/>
                      <w:szCs w:val="21"/>
                    </w:rPr>
                    <w:t>符合</w:t>
                  </w:r>
                </w:p>
              </w:tc>
            </w:tr>
            <w:tr w14:paraId="6D8182E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84" w:hRule="atLeast"/>
              </w:trPr>
              <w:tc>
                <w:tcPr>
                  <w:tcW w:w="542" w:type="pct"/>
                  <w:vAlign w:val="center"/>
                </w:tcPr>
                <w:p w14:paraId="5B58B06B">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cs="Times New Roman"/>
                      <w:color w:val="auto"/>
                      <w:sz w:val="21"/>
                      <w:szCs w:val="21"/>
                    </w:rPr>
                  </w:pPr>
                  <w:r>
                    <w:rPr>
                      <w:rFonts w:cs="Times New Roman"/>
                      <w:color w:val="auto"/>
                      <w:sz w:val="21"/>
                      <w:szCs w:val="21"/>
                    </w:rPr>
                    <w:t>第七十三条</w:t>
                  </w:r>
                </w:p>
              </w:tc>
              <w:tc>
                <w:tcPr>
                  <w:tcW w:w="2651" w:type="pct"/>
                  <w:vAlign w:val="center"/>
                </w:tcPr>
                <w:p w14:paraId="14FDBF2B">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cs="Times New Roman"/>
                      <w:color w:val="auto"/>
                      <w:sz w:val="21"/>
                      <w:szCs w:val="21"/>
                    </w:rPr>
                  </w:pPr>
                  <w:r>
                    <w:rPr>
                      <w:rFonts w:cs="Times New Roman"/>
                      <w:color w:val="auto"/>
                      <w:sz w:val="21"/>
                      <w:szCs w:val="21"/>
                    </w:rPr>
                    <w:t>禁止在嘉陵江流域河湖管理范围内倾倒、填埋、堆放、弃置、处理固体废物。</w:t>
                  </w:r>
                </w:p>
              </w:tc>
              <w:tc>
                <w:tcPr>
                  <w:tcW w:w="1392" w:type="pct"/>
                  <w:vAlign w:val="center"/>
                </w:tcPr>
                <w:p w14:paraId="64712503">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cs="Times New Roman"/>
                      <w:color w:val="auto"/>
                      <w:sz w:val="21"/>
                      <w:szCs w:val="21"/>
                    </w:rPr>
                  </w:pPr>
                  <w:r>
                    <w:rPr>
                      <w:rFonts w:cs="Times New Roman"/>
                      <w:color w:val="auto"/>
                      <w:sz w:val="21"/>
                      <w:szCs w:val="21"/>
                    </w:rPr>
                    <w:t>项目不在河湖管理范围内，固体废物严格按照相关要求进行收集和处置。</w:t>
                  </w:r>
                </w:p>
              </w:tc>
              <w:tc>
                <w:tcPr>
                  <w:tcW w:w="413" w:type="pct"/>
                  <w:vAlign w:val="center"/>
                </w:tcPr>
                <w:p w14:paraId="476AD19D">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cs="Times New Roman"/>
                      <w:color w:val="auto"/>
                      <w:sz w:val="21"/>
                      <w:szCs w:val="21"/>
                    </w:rPr>
                  </w:pPr>
                  <w:r>
                    <w:rPr>
                      <w:rFonts w:cs="Times New Roman"/>
                      <w:color w:val="auto"/>
                      <w:sz w:val="21"/>
                      <w:szCs w:val="21"/>
                    </w:rPr>
                    <w:t>符合</w:t>
                  </w:r>
                </w:p>
              </w:tc>
            </w:tr>
            <w:tr w14:paraId="5685462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71" w:hRule="atLeast"/>
              </w:trPr>
              <w:tc>
                <w:tcPr>
                  <w:tcW w:w="542" w:type="pct"/>
                  <w:vAlign w:val="center"/>
                </w:tcPr>
                <w:p w14:paraId="71218FAB">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cs="Times New Roman"/>
                      <w:color w:val="auto"/>
                      <w:sz w:val="21"/>
                      <w:szCs w:val="21"/>
                    </w:rPr>
                  </w:pPr>
                  <w:r>
                    <w:rPr>
                      <w:rFonts w:cs="Times New Roman"/>
                      <w:color w:val="auto"/>
                      <w:sz w:val="21"/>
                      <w:szCs w:val="21"/>
                    </w:rPr>
                    <w:t>第八十条</w:t>
                  </w:r>
                </w:p>
              </w:tc>
              <w:tc>
                <w:tcPr>
                  <w:tcW w:w="2651" w:type="pct"/>
                  <w:vAlign w:val="center"/>
                </w:tcPr>
                <w:p w14:paraId="11F24BAA">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cs="Times New Roman"/>
                      <w:color w:val="auto"/>
                      <w:sz w:val="21"/>
                      <w:szCs w:val="21"/>
                    </w:rPr>
                  </w:pPr>
                  <w:r>
                    <w:rPr>
                      <w:rFonts w:cs="Times New Roman"/>
                      <w:color w:val="auto"/>
                      <w:sz w:val="21"/>
                      <w:szCs w:val="21"/>
                    </w:rPr>
                    <w:t>限期禁止生产、销售、进口、使用、转让严重污染水环境的工艺和设备。</w:t>
                  </w:r>
                </w:p>
              </w:tc>
              <w:tc>
                <w:tcPr>
                  <w:tcW w:w="1392" w:type="pct"/>
                  <w:vAlign w:val="center"/>
                </w:tcPr>
                <w:p w14:paraId="4EB8FFE8">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cs="Times New Roman"/>
                      <w:color w:val="auto"/>
                      <w:sz w:val="21"/>
                      <w:szCs w:val="21"/>
                    </w:rPr>
                  </w:pPr>
                  <w:r>
                    <w:rPr>
                      <w:rFonts w:cs="Times New Roman"/>
                      <w:color w:val="auto"/>
                      <w:sz w:val="21"/>
                      <w:szCs w:val="21"/>
                    </w:rPr>
                    <w:t>项目所用的设备、工艺不属于严重污染水环境的工艺和设备。</w:t>
                  </w:r>
                </w:p>
              </w:tc>
              <w:tc>
                <w:tcPr>
                  <w:tcW w:w="413" w:type="pct"/>
                  <w:vAlign w:val="center"/>
                </w:tcPr>
                <w:p w14:paraId="44D9E2ED">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cs="Times New Roman"/>
                      <w:color w:val="auto"/>
                      <w:sz w:val="21"/>
                      <w:szCs w:val="21"/>
                    </w:rPr>
                  </w:pPr>
                  <w:r>
                    <w:rPr>
                      <w:rFonts w:cs="Times New Roman"/>
                      <w:color w:val="auto"/>
                      <w:sz w:val="21"/>
                      <w:szCs w:val="21"/>
                    </w:rPr>
                    <w:t>符合</w:t>
                  </w:r>
                </w:p>
              </w:tc>
            </w:tr>
          </w:tbl>
          <w:p w14:paraId="609DF6B3">
            <w:pPr>
              <w:spacing w:line="360" w:lineRule="auto"/>
              <w:ind w:firstLine="480" w:firstLineChars="200"/>
              <w:rPr>
                <w:rFonts w:hint="eastAsia" w:eastAsia="宋体" w:cs="Times New Roman"/>
                <w:b/>
                <w:bCs/>
                <w:color w:val="auto"/>
                <w:sz w:val="24"/>
                <w:szCs w:val="24"/>
                <w:lang w:eastAsia="zh-CN"/>
              </w:rPr>
            </w:pPr>
            <w:r>
              <w:rPr>
                <w:rFonts w:hint="eastAsia" w:cs="Times New Roman"/>
                <w:b w:val="0"/>
                <w:bCs w:val="0"/>
                <w:color w:val="auto"/>
                <w:sz w:val="24"/>
                <w:szCs w:val="24"/>
                <w:lang w:eastAsia="zh-CN"/>
              </w:rPr>
              <w:t>根据上表可知，项目与《四川省嘉陵江流域生态环境保护条例》上述条文是相符的。</w:t>
            </w:r>
          </w:p>
          <w:p w14:paraId="7D079CB7">
            <w:pPr>
              <w:spacing w:line="360" w:lineRule="auto"/>
              <w:ind w:firstLine="482" w:firstLineChars="200"/>
              <w:rPr>
                <w:rFonts w:cs="Times New Roman"/>
                <w:b/>
                <w:bCs/>
                <w:color w:val="auto"/>
                <w:sz w:val="24"/>
                <w:szCs w:val="24"/>
              </w:rPr>
            </w:pPr>
            <w:r>
              <w:rPr>
                <w:rFonts w:cs="Times New Roman"/>
                <w:b/>
                <w:bCs/>
                <w:color w:val="auto"/>
                <w:sz w:val="24"/>
                <w:szCs w:val="24"/>
              </w:rPr>
              <w:t>4、与长江保护法符合性分析</w:t>
            </w:r>
          </w:p>
          <w:p w14:paraId="6BC1C730">
            <w:pPr>
              <w:spacing w:line="360" w:lineRule="auto"/>
              <w:ind w:firstLine="480" w:firstLineChars="200"/>
              <w:rPr>
                <w:rFonts w:cs="Times New Roman"/>
                <w:b/>
                <w:bCs/>
                <w:color w:val="auto"/>
                <w:sz w:val="24"/>
                <w:szCs w:val="24"/>
              </w:rPr>
            </w:pPr>
            <w:r>
              <w:rPr>
                <w:rFonts w:cs="Times New Roman"/>
                <w:color w:val="auto"/>
                <w:sz w:val="24"/>
                <w:szCs w:val="24"/>
              </w:rPr>
              <w:t>自2021年3月1日起施行的《中华人民共和国长江保护法》，是为了加强</w:t>
            </w:r>
            <w:r>
              <w:rPr>
                <w:rFonts w:cs="Times New Roman"/>
                <w:color w:val="auto"/>
                <w:sz w:val="24"/>
                <w:szCs w:val="24"/>
              </w:rPr>
              <w:fldChar w:fldCharType="begin"/>
            </w:r>
            <w:r>
              <w:rPr>
                <w:rFonts w:cs="Times New Roman"/>
                <w:color w:val="auto"/>
                <w:sz w:val="24"/>
                <w:szCs w:val="24"/>
              </w:rPr>
              <w:instrText xml:space="preserve"> HYPERLINK "https://baike.baidu.com/item/%E9%95%BF%E6%B1%9F/388" \t "_blank" </w:instrText>
            </w:r>
            <w:r>
              <w:rPr>
                <w:rFonts w:cs="Times New Roman"/>
                <w:color w:val="auto"/>
                <w:sz w:val="24"/>
                <w:szCs w:val="24"/>
              </w:rPr>
              <w:fldChar w:fldCharType="separate"/>
            </w:r>
            <w:r>
              <w:rPr>
                <w:rFonts w:cs="Times New Roman"/>
                <w:color w:val="auto"/>
                <w:sz w:val="24"/>
                <w:szCs w:val="24"/>
              </w:rPr>
              <w:t>长江</w:t>
            </w:r>
            <w:r>
              <w:rPr>
                <w:rFonts w:cs="Times New Roman"/>
                <w:color w:val="auto"/>
                <w:sz w:val="24"/>
                <w:szCs w:val="24"/>
              </w:rPr>
              <w:fldChar w:fldCharType="end"/>
            </w:r>
            <w:r>
              <w:rPr>
                <w:rFonts w:cs="Times New Roman"/>
                <w:color w:val="auto"/>
                <w:sz w:val="24"/>
                <w:szCs w:val="24"/>
              </w:rPr>
              <w:t>流域生态环境保护和修复，促进资源合理高效利用，保障生态安全，实现人与自然和谐共生、中华民族永续发展制定的法律。</w:t>
            </w:r>
          </w:p>
          <w:p w14:paraId="31F02D64">
            <w:pPr>
              <w:spacing w:line="360" w:lineRule="auto"/>
              <w:jc w:val="center"/>
              <w:rPr>
                <w:rFonts w:cs="Times New Roman"/>
                <w:b/>
                <w:bCs/>
                <w:color w:val="auto"/>
                <w:sz w:val="24"/>
                <w:szCs w:val="24"/>
              </w:rPr>
            </w:pPr>
          </w:p>
          <w:p w14:paraId="6887C2A7">
            <w:pPr>
              <w:spacing w:line="360" w:lineRule="auto"/>
              <w:jc w:val="center"/>
              <w:rPr>
                <w:rFonts w:cs="Times New Roman"/>
                <w:b/>
                <w:bCs/>
                <w:color w:val="auto"/>
                <w:sz w:val="24"/>
                <w:szCs w:val="24"/>
              </w:rPr>
            </w:pPr>
            <w:r>
              <w:rPr>
                <w:rFonts w:cs="Times New Roman"/>
                <w:b/>
                <w:bCs/>
                <w:color w:val="auto"/>
                <w:sz w:val="24"/>
                <w:szCs w:val="24"/>
              </w:rPr>
              <w:t>表1-</w:t>
            </w:r>
            <w:r>
              <w:rPr>
                <w:rFonts w:hint="eastAsia" w:cs="Times New Roman"/>
                <w:b/>
                <w:bCs/>
                <w:color w:val="auto"/>
                <w:sz w:val="24"/>
                <w:szCs w:val="24"/>
                <w:lang w:val="en-US" w:eastAsia="zh-CN"/>
              </w:rPr>
              <w:t>4</w:t>
            </w:r>
            <w:r>
              <w:rPr>
                <w:rFonts w:cs="Times New Roman"/>
                <w:b/>
                <w:bCs/>
                <w:color w:val="auto"/>
                <w:sz w:val="24"/>
                <w:szCs w:val="24"/>
              </w:rPr>
              <w:t>本项目与</w:t>
            </w:r>
            <w:r>
              <w:rPr>
                <w:rFonts w:hint="eastAsia" w:cs="Times New Roman"/>
                <w:b/>
                <w:bCs/>
                <w:color w:val="auto"/>
                <w:sz w:val="24"/>
                <w:szCs w:val="24"/>
                <w:lang w:eastAsia="zh-CN"/>
              </w:rPr>
              <w:t>“</w:t>
            </w:r>
            <w:r>
              <w:rPr>
                <w:rFonts w:cs="Times New Roman"/>
                <w:b/>
                <w:bCs/>
                <w:color w:val="auto"/>
                <w:sz w:val="24"/>
                <w:szCs w:val="24"/>
              </w:rPr>
              <w:t>长江保护法</w:t>
            </w:r>
            <w:r>
              <w:rPr>
                <w:rFonts w:hint="eastAsia" w:cs="Times New Roman"/>
                <w:b/>
                <w:bCs/>
                <w:color w:val="auto"/>
                <w:sz w:val="24"/>
                <w:szCs w:val="24"/>
                <w:lang w:eastAsia="zh-CN"/>
              </w:rPr>
              <w:t>”</w:t>
            </w:r>
            <w:r>
              <w:rPr>
                <w:rFonts w:cs="Times New Roman"/>
                <w:b/>
                <w:bCs/>
                <w:color w:val="auto"/>
                <w:sz w:val="24"/>
                <w:szCs w:val="24"/>
              </w:rPr>
              <w:t>的符合性分析</w:t>
            </w:r>
          </w:p>
          <w:tbl>
            <w:tblPr>
              <w:tblStyle w:val="24"/>
              <w:tblW w:w="498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
            <w:tblGrid>
              <w:gridCol w:w="710"/>
              <w:gridCol w:w="3937"/>
              <w:gridCol w:w="2531"/>
              <w:gridCol w:w="801"/>
            </w:tblGrid>
            <w:tr w14:paraId="723FBE4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731" w:hRule="atLeast"/>
                <w:jc w:val="center"/>
              </w:trPr>
              <w:tc>
                <w:tcPr>
                  <w:tcW w:w="444" w:type="pct"/>
                  <w:tcBorders>
                    <w:tl2br w:val="nil"/>
                    <w:tr2bl w:val="nil"/>
                  </w:tcBorders>
                  <w:vAlign w:val="center"/>
                </w:tcPr>
                <w:p w14:paraId="1CFC768E">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cs="Times New Roman"/>
                      <w:b/>
                      <w:bCs/>
                      <w:color w:val="auto"/>
                      <w:szCs w:val="21"/>
                    </w:rPr>
                  </w:pPr>
                  <w:r>
                    <w:rPr>
                      <w:rFonts w:cs="Times New Roman"/>
                      <w:b/>
                      <w:bCs/>
                      <w:color w:val="auto"/>
                      <w:szCs w:val="21"/>
                    </w:rPr>
                    <w:t>序号</w:t>
                  </w:r>
                </w:p>
              </w:tc>
              <w:tc>
                <w:tcPr>
                  <w:tcW w:w="2467" w:type="pct"/>
                  <w:tcBorders>
                    <w:tl2br w:val="nil"/>
                    <w:tr2bl w:val="nil"/>
                  </w:tcBorders>
                  <w:vAlign w:val="center"/>
                </w:tcPr>
                <w:p w14:paraId="3E40AB00">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eastAsia" w:eastAsia="宋体" w:cs="Times New Roman"/>
                      <w:b/>
                      <w:bCs/>
                      <w:color w:val="auto"/>
                      <w:szCs w:val="21"/>
                      <w:lang w:eastAsia="zh-CN"/>
                    </w:rPr>
                  </w:pPr>
                  <w:r>
                    <w:rPr>
                      <w:rFonts w:cs="Times New Roman"/>
                      <w:b/>
                      <w:color w:val="auto"/>
                      <w:szCs w:val="21"/>
                    </w:rPr>
                    <w:t>法律条文</w:t>
                  </w:r>
                  <w:r>
                    <w:rPr>
                      <w:rFonts w:hint="eastAsia" w:cs="Times New Roman"/>
                      <w:b/>
                      <w:bCs/>
                      <w:color w:val="auto"/>
                      <w:szCs w:val="21"/>
                      <w:lang w:eastAsia="zh-CN"/>
                    </w:rPr>
                    <w:t>（节选）</w:t>
                  </w:r>
                </w:p>
              </w:tc>
              <w:tc>
                <w:tcPr>
                  <w:tcW w:w="1586" w:type="pct"/>
                  <w:tcBorders>
                    <w:tl2br w:val="nil"/>
                    <w:tr2bl w:val="nil"/>
                  </w:tcBorders>
                  <w:vAlign w:val="center"/>
                </w:tcPr>
                <w:p w14:paraId="3135E48C">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cs="Times New Roman"/>
                      <w:b/>
                      <w:bCs/>
                      <w:color w:val="auto"/>
                      <w:szCs w:val="21"/>
                    </w:rPr>
                  </w:pPr>
                  <w:r>
                    <w:rPr>
                      <w:rFonts w:cs="Times New Roman"/>
                      <w:b/>
                      <w:bCs/>
                      <w:color w:val="auto"/>
                      <w:szCs w:val="21"/>
                    </w:rPr>
                    <w:t>本项目情况</w:t>
                  </w:r>
                </w:p>
              </w:tc>
              <w:tc>
                <w:tcPr>
                  <w:tcW w:w="501" w:type="pct"/>
                  <w:tcBorders>
                    <w:tl2br w:val="nil"/>
                    <w:tr2bl w:val="nil"/>
                  </w:tcBorders>
                  <w:vAlign w:val="center"/>
                </w:tcPr>
                <w:p w14:paraId="457FEA32">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cs="Times New Roman"/>
                      <w:b/>
                      <w:bCs/>
                      <w:color w:val="auto"/>
                      <w:szCs w:val="21"/>
                    </w:rPr>
                  </w:pPr>
                  <w:r>
                    <w:rPr>
                      <w:rFonts w:cs="Times New Roman"/>
                      <w:b/>
                      <w:bCs/>
                      <w:color w:val="auto"/>
                      <w:szCs w:val="21"/>
                    </w:rPr>
                    <w:t>符合性</w:t>
                  </w:r>
                </w:p>
              </w:tc>
            </w:tr>
            <w:tr w14:paraId="6E0FB26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404" w:hRule="atLeast"/>
                <w:jc w:val="center"/>
              </w:trPr>
              <w:tc>
                <w:tcPr>
                  <w:tcW w:w="444" w:type="pct"/>
                  <w:tcBorders>
                    <w:tl2br w:val="nil"/>
                    <w:tr2bl w:val="nil"/>
                  </w:tcBorders>
                  <w:vAlign w:val="center"/>
                </w:tcPr>
                <w:p w14:paraId="6C2340AC">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cs="Times New Roman"/>
                      <w:bCs/>
                      <w:color w:val="auto"/>
                      <w:szCs w:val="21"/>
                    </w:rPr>
                  </w:pPr>
                  <w:r>
                    <w:rPr>
                      <w:rFonts w:cs="Times New Roman"/>
                      <w:bCs/>
                      <w:color w:val="auto"/>
                      <w:szCs w:val="21"/>
                    </w:rPr>
                    <w:t>1</w:t>
                  </w:r>
                </w:p>
              </w:tc>
              <w:tc>
                <w:tcPr>
                  <w:tcW w:w="2467" w:type="pct"/>
                  <w:tcBorders>
                    <w:tl2br w:val="nil"/>
                    <w:tr2bl w:val="nil"/>
                  </w:tcBorders>
                  <w:vAlign w:val="center"/>
                </w:tcPr>
                <w:p w14:paraId="3898C7AC">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cs="Times New Roman"/>
                      <w:bCs/>
                      <w:color w:val="auto"/>
                      <w:szCs w:val="21"/>
                    </w:rPr>
                  </w:pPr>
                  <w:r>
                    <w:rPr>
                      <w:rFonts w:cs="Times New Roman"/>
                      <w:bCs/>
                      <w:color w:val="auto"/>
                      <w:szCs w:val="21"/>
                    </w:rPr>
                    <w:t>第二十一条</w:t>
                  </w:r>
                  <w:r>
                    <w:rPr>
                      <w:rFonts w:hint="eastAsia" w:cs="Times New Roman"/>
                      <w:bCs/>
                      <w:color w:val="auto"/>
                      <w:szCs w:val="21"/>
                      <w:lang w:val="en-US" w:eastAsia="zh-CN"/>
                    </w:rPr>
                    <w:t xml:space="preserve"> </w:t>
                  </w:r>
                  <w:r>
                    <w:rPr>
                      <w:rFonts w:cs="Times New Roman"/>
                      <w:bCs/>
                      <w:color w:val="auto"/>
                      <w:szCs w:val="21"/>
                    </w:rPr>
                    <w:t>长江流域水质超标的水功能区，应当实施更严格的污染物排放总量削减要求。企业事业单位应当按照要求，采取污染物排放总量控制措施。</w:t>
                  </w:r>
                </w:p>
              </w:tc>
              <w:tc>
                <w:tcPr>
                  <w:tcW w:w="1586" w:type="pct"/>
                  <w:tcBorders>
                    <w:tl2br w:val="nil"/>
                    <w:tr2bl w:val="nil"/>
                  </w:tcBorders>
                  <w:vAlign w:val="center"/>
                </w:tcPr>
                <w:p w14:paraId="060A9F8E">
                  <w:pPr>
                    <w:keepNext w:val="0"/>
                    <w:keepLines w:val="0"/>
                    <w:pageBreakBefore w:val="0"/>
                    <w:widowControl w:val="0"/>
                    <w:kinsoku/>
                    <w:wordWrap/>
                    <w:overflowPunct/>
                    <w:topLinePunct w:val="0"/>
                    <w:autoSpaceDE/>
                    <w:autoSpaceDN/>
                    <w:bidi w:val="0"/>
                    <w:adjustRightInd w:val="0"/>
                    <w:snapToGrid w:val="0"/>
                    <w:spacing w:line="240" w:lineRule="exact"/>
                    <w:jc w:val="left"/>
                    <w:textAlignment w:val="auto"/>
                    <w:rPr>
                      <w:rFonts w:hint="eastAsia" w:eastAsia="宋体" w:cs="Times New Roman"/>
                      <w:bCs/>
                      <w:color w:val="auto"/>
                      <w:szCs w:val="21"/>
                      <w:lang w:eastAsia="zh-CN"/>
                    </w:rPr>
                  </w:pPr>
                  <w:r>
                    <w:rPr>
                      <w:rFonts w:cs="Times New Roman"/>
                      <w:bCs/>
                      <w:color w:val="auto"/>
                      <w:szCs w:val="21"/>
                    </w:rPr>
                    <w:t>项目所在区域水环境质量满足相应功能区要求，项目</w:t>
                  </w:r>
                  <w:r>
                    <w:rPr>
                      <w:rFonts w:cs="Times New Roman"/>
                      <w:color w:val="auto"/>
                      <w:szCs w:val="21"/>
                    </w:rPr>
                    <w:t>生产废水经处理后循环使用，不外排，生活污水通过定期拉运的方式进入东岳场镇污水处理厂处理，其废水污染物排放总量控制纳入集中式污水处理厂总量指标</w:t>
                  </w:r>
                  <w:r>
                    <w:rPr>
                      <w:rFonts w:hint="eastAsia" w:cs="Times New Roman"/>
                      <w:color w:val="auto"/>
                      <w:szCs w:val="21"/>
                      <w:lang w:eastAsia="zh-CN"/>
                    </w:rPr>
                    <w:t>。</w:t>
                  </w:r>
                </w:p>
              </w:tc>
              <w:tc>
                <w:tcPr>
                  <w:tcW w:w="501" w:type="pct"/>
                  <w:tcBorders>
                    <w:tl2br w:val="nil"/>
                    <w:tr2bl w:val="nil"/>
                  </w:tcBorders>
                  <w:vAlign w:val="center"/>
                </w:tcPr>
                <w:p w14:paraId="025C2A0B">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cs="Times New Roman"/>
                      <w:bCs/>
                      <w:color w:val="auto"/>
                      <w:szCs w:val="21"/>
                    </w:rPr>
                  </w:pPr>
                  <w:r>
                    <w:rPr>
                      <w:rFonts w:cs="Times New Roman"/>
                      <w:bCs/>
                      <w:color w:val="auto"/>
                      <w:szCs w:val="21"/>
                    </w:rPr>
                    <w:t>符合</w:t>
                  </w:r>
                </w:p>
              </w:tc>
            </w:tr>
            <w:tr w14:paraId="12FAB6B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1340" w:hRule="atLeast"/>
                <w:jc w:val="center"/>
              </w:trPr>
              <w:tc>
                <w:tcPr>
                  <w:tcW w:w="444" w:type="pct"/>
                  <w:tcBorders>
                    <w:tl2br w:val="nil"/>
                    <w:tr2bl w:val="nil"/>
                  </w:tcBorders>
                  <w:vAlign w:val="center"/>
                </w:tcPr>
                <w:p w14:paraId="258FC119">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cs="Times New Roman"/>
                      <w:bCs/>
                      <w:color w:val="auto"/>
                      <w:szCs w:val="21"/>
                    </w:rPr>
                  </w:pPr>
                  <w:r>
                    <w:rPr>
                      <w:rFonts w:cs="Times New Roman"/>
                      <w:bCs/>
                      <w:color w:val="auto"/>
                      <w:szCs w:val="21"/>
                    </w:rPr>
                    <w:t>2</w:t>
                  </w:r>
                </w:p>
              </w:tc>
              <w:tc>
                <w:tcPr>
                  <w:tcW w:w="2467" w:type="pct"/>
                  <w:tcBorders>
                    <w:tl2br w:val="nil"/>
                    <w:tr2bl w:val="nil"/>
                  </w:tcBorders>
                  <w:vAlign w:val="center"/>
                </w:tcPr>
                <w:p w14:paraId="400F6A20">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cs="Times New Roman"/>
                      <w:bCs/>
                      <w:color w:val="auto"/>
                      <w:szCs w:val="21"/>
                    </w:rPr>
                  </w:pPr>
                  <w:r>
                    <w:rPr>
                      <w:rFonts w:cs="Times New Roman"/>
                      <w:bCs/>
                      <w:color w:val="auto"/>
                      <w:szCs w:val="21"/>
                    </w:rPr>
                    <w:t>第二十二条</w:t>
                  </w:r>
                  <w:r>
                    <w:rPr>
                      <w:rFonts w:hint="eastAsia" w:cs="Times New Roman"/>
                      <w:bCs/>
                      <w:color w:val="auto"/>
                      <w:szCs w:val="21"/>
                      <w:lang w:val="en-US" w:eastAsia="zh-CN"/>
                    </w:rPr>
                    <w:t xml:space="preserve"> </w:t>
                  </w:r>
                  <w:r>
                    <w:rPr>
                      <w:rFonts w:cs="Times New Roman"/>
                      <w:bCs/>
                      <w:color w:val="auto"/>
                      <w:szCs w:val="21"/>
                    </w:rPr>
                    <w:t>长江流域产业结构和布局应当与长江流域生态系统和资源环境承载能力相适应。禁止在长江流域重点生态功能区布局对生态系统有严重影响的产业。禁止重污染企业和项目向长江中上游转移。</w:t>
                  </w:r>
                </w:p>
              </w:tc>
              <w:tc>
                <w:tcPr>
                  <w:tcW w:w="1586" w:type="pct"/>
                  <w:tcBorders>
                    <w:tl2br w:val="nil"/>
                    <w:tr2bl w:val="nil"/>
                  </w:tcBorders>
                  <w:vAlign w:val="center"/>
                </w:tcPr>
                <w:p w14:paraId="610007B7">
                  <w:pPr>
                    <w:keepNext w:val="0"/>
                    <w:keepLines w:val="0"/>
                    <w:pageBreakBefore w:val="0"/>
                    <w:widowControl w:val="0"/>
                    <w:kinsoku/>
                    <w:wordWrap/>
                    <w:overflowPunct/>
                    <w:topLinePunct w:val="0"/>
                    <w:autoSpaceDE/>
                    <w:autoSpaceDN/>
                    <w:bidi w:val="0"/>
                    <w:adjustRightInd w:val="0"/>
                    <w:snapToGrid w:val="0"/>
                    <w:spacing w:line="240" w:lineRule="exact"/>
                    <w:jc w:val="left"/>
                    <w:textAlignment w:val="auto"/>
                    <w:rPr>
                      <w:rFonts w:cs="Times New Roman"/>
                      <w:bCs/>
                      <w:color w:val="auto"/>
                      <w:szCs w:val="21"/>
                    </w:rPr>
                  </w:pPr>
                  <w:r>
                    <w:rPr>
                      <w:rFonts w:cs="Times New Roman"/>
                      <w:bCs/>
                      <w:color w:val="auto"/>
                      <w:szCs w:val="21"/>
                    </w:rPr>
                    <w:t>项目所在地不属于长江流域重点生态功能区，对生态系统不会造成严重影响，本项目也不属于重污染项目。</w:t>
                  </w:r>
                </w:p>
              </w:tc>
              <w:tc>
                <w:tcPr>
                  <w:tcW w:w="501" w:type="pct"/>
                  <w:tcBorders>
                    <w:tl2br w:val="nil"/>
                    <w:tr2bl w:val="nil"/>
                  </w:tcBorders>
                  <w:vAlign w:val="center"/>
                </w:tcPr>
                <w:p w14:paraId="0BE1EEE9">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cs="Times New Roman"/>
                      <w:bCs/>
                      <w:color w:val="auto"/>
                      <w:szCs w:val="21"/>
                    </w:rPr>
                  </w:pPr>
                  <w:r>
                    <w:rPr>
                      <w:rFonts w:cs="Times New Roman"/>
                      <w:bCs/>
                      <w:color w:val="auto"/>
                      <w:szCs w:val="21"/>
                    </w:rPr>
                    <w:t>符合</w:t>
                  </w:r>
                </w:p>
              </w:tc>
            </w:tr>
            <w:tr w14:paraId="56AEB0F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1606" w:hRule="atLeast"/>
                <w:jc w:val="center"/>
              </w:trPr>
              <w:tc>
                <w:tcPr>
                  <w:tcW w:w="444" w:type="pct"/>
                  <w:tcBorders>
                    <w:tl2br w:val="nil"/>
                    <w:tr2bl w:val="nil"/>
                  </w:tcBorders>
                  <w:vAlign w:val="center"/>
                </w:tcPr>
                <w:p w14:paraId="3A9E4295">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cs="Times New Roman"/>
                      <w:bCs/>
                      <w:color w:val="auto"/>
                      <w:szCs w:val="21"/>
                    </w:rPr>
                  </w:pPr>
                  <w:r>
                    <w:rPr>
                      <w:rFonts w:cs="Times New Roman"/>
                      <w:bCs/>
                      <w:color w:val="auto"/>
                      <w:szCs w:val="21"/>
                    </w:rPr>
                    <w:t>3</w:t>
                  </w:r>
                </w:p>
              </w:tc>
              <w:tc>
                <w:tcPr>
                  <w:tcW w:w="2467" w:type="pct"/>
                  <w:tcBorders>
                    <w:tl2br w:val="nil"/>
                    <w:tr2bl w:val="nil"/>
                  </w:tcBorders>
                  <w:vAlign w:val="center"/>
                </w:tcPr>
                <w:p w14:paraId="43EAFC80">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cs="Times New Roman"/>
                      <w:bCs/>
                      <w:color w:val="auto"/>
                      <w:szCs w:val="21"/>
                    </w:rPr>
                  </w:pPr>
                  <w:r>
                    <w:rPr>
                      <w:rFonts w:cs="Times New Roman"/>
                      <w:bCs/>
                      <w:color w:val="auto"/>
                      <w:szCs w:val="21"/>
                    </w:rPr>
                    <w:t>第二十六条</w:t>
                  </w:r>
                  <w:r>
                    <w:rPr>
                      <w:rFonts w:hint="eastAsia" w:cs="Times New Roman"/>
                      <w:bCs/>
                      <w:color w:val="auto"/>
                      <w:szCs w:val="21"/>
                      <w:lang w:val="en-US" w:eastAsia="zh-CN"/>
                    </w:rPr>
                    <w:t xml:space="preserve"> </w:t>
                  </w:r>
                  <w:r>
                    <w:rPr>
                      <w:rFonts w:cs="Times New Roman"/>
                      <w:bCs/>
                      <w:color w:val="auto"/>
                      <w:szCs w:val="21"/>
                    </w:rPr>
                    <w:t>禁止在长江干支流岸线一公里范围内新建、扩建化工园区和化工项目。禁止在长江干流岸线</w:t>
                  </w:r>
                  <w:r>
                    <w:rPr>
                      <w:rFonts w:cs="Times New Roman"/>
                      <w:bCs/>
                      <w:color w:val="auto"/>
                      <w:szCs w:val="21"/>
                    </w:rPr>
                    <w:cr/>
                  </w:r>
                  <w:r>
                    <w:rPr>
                      <w:rFonts w:cs="Times New Roman"/>
                      <w:bCs/>
                      <w:color w:val="auto"/>
                      <w:szCs w:val="21"/>
                    </w:rPr>
                    <w:t>三公里范围内和重要支流岸线一公里范围内新建、改建、扩建尾矿库；但是以提升安全、生态环境保护水平为目的的改建除外。</w:t>
                  </w:r>
                </w:p>
              </w:tc>
              <w:tc>
                <w:tcPr>
                  <w:tcW w:w="1586" w:type="pct"/>
                  <w:tcBorders>
                    <w:tl2br w:val="nil"/>
                    <w:tr2bl w:val="nil"/>
                  </w:tcBorders>
                  <w:vAlign w:val="center"/>
                </w:tcPr>
                <w:p w14:paraId="39BB4719">
                  <w:pPr>
                    <w:keepNext w:val="0"/>
                    <w:keepLines w:val="0"/>
                    <w:pageBreakBefore w:val="0"/>
                    <w:widowControl w:val="0"/>
                    <w:kinsoku/>
                    <w:wordWrap/>
                    <w:overflowPunct/>
                    <w:topLinePunct w:val="0"/>
                    <w:autoSpaceDE/>
                    <w:autoSpaceDN/>
                    <w:bidi w:val="0"/>
                    <w:adjustRightInd w:val="0"/>
                    <w:snapToGrid w:val="0"/>
                    <w:spacing w:line="240" w:lineRule="exact"/>
                    <w:jc w:val="left"/>
                    <w:textAlignment w:val="auto"/>
                    <w:rPr>
                      <w:rFonts w:cs="Times New Roman"/>
                      <w:bCs/>
                      <w:color w:val="auto"/>
                      <w:szCs w:val="21"/>
                    </w:rPr>
                  </w:pPr>
                  <w:r>
                    <w:rPr>
                      <w:rFonts w:cs="Times New Roman"/>
                      <w:bCs/>
                      <w:color w:val="auto"/>
                      <w:szCs w:val="21"/>
                    </w:rPr>
                    <w:t>项目不属于化工项目，也不属于尾矿库项目，不在长江干支流岸线一公里范围内。</w:t>
                  </w:r>
                </w:p>
              </w:tc>
              <w:tc>
                <w:tcPr>
                  <w:tcW w:w="501" w:type="pct"/>
                  <w:tcBorders>
                    <w:tl2br w:val="nil"/>
                    <w:tr2bl w:val="nil"/>
                  </w:tcBorders>
                  <w:vAlign w:val="center"/>
                </w:tcPr>
                <w:p w14:paraId="70170BBE">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cs="Times New Roman"/>
                      <w:bCs/>
                      <w:color w:val="auto"/>
                      <w:szCs w:val="21"/>
                    </w:rPr>
                  </w:pPr>
                  <w:r>
                    <w:rPr>
                      <w:rFonts w:cs="Times New Roman"/>
                      <w:bCs/>
                      <w:color w:val="auto"/>
                      <w:szCs w:val="21"/>
                    </w:rPr>
                    <w:t>符合</w:t>
                  </w:r>
                </w:p>
              </w:tc>
            </w:tr>
            <w:tr w14:paraId="1BF3C06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542" w:hRule="atLeast"/>
                <w:jc w:val="center"/>
              </w:trPr>
              <w:tc>
                <w:tcPr>
                  <w:tcW w:w="444" w:type="pct"/>
                  <w:tcBorders>
                    <w:tl2br w:val="nil"/>
                    <w:tr2bl w:val="nil"/>
                  </w:tcBorders>
                  <w:vAlign w:val="center"/>
                </w:tcPr>
                <w:p w14:paraId="1E4DC265">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cs="Times New Roman"/>
                      <w:bCs/>
                      <w:color w:val="auto"/>
                      <w:szCs w:val="21"/>
                    </w:rPr>
                  </w:pPr>
                  <w:r>
                    <w:rPr>
                      <w:rFonts w:cs="Times New Roman"/>
                      <w:bCs/>
                      <w:color w:val="auto"/>
                      <w:szCs w:val="21"/>
                    </w:rPr>
                    <w:t>4</w:t>
                  </w:r>
                </w:p>
              </w:tc>
              <w:tc>
                <w:tcPr>
                  <w:tcW w:w="2467" w:type="pct"/>
                  <w:tcBorders>
                    <w:tl2br w:val="nil"/>
                    <w:tr2bl w:val="nil"/>
                  </w:tcBorders>
                  <w:vAlign w:val="center"/>
                </w:tcPr>
                <w:p w14:paraId="13AA88FB">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cs="Times New Roman"/>
                      <w:bCs/>
                      <w:color w:val="auto"/>
                      <w:szCs w:val="21"/>
                    </w:rPr>
                  </w:pPr>
                  <w:r>
                    <w:rPr>
                      <w:rFonts w:cs="Times New Roman"/>
                      <w:bCs/>
                      <w:color w:val="auto"/>
                      <w:szCs w:val="21"/>
                    </w:rPr>
                    <w:t>第二十八条 禁止在长江流域禁止采砂区和禁止采砂期从事采砂活动。</w:t>
                  </w:r>
                </w:p>
              </w:tc>
              <w:tc>
                <w:tcPr>
                  <w:tcW w:w="1586" w:type="pct"/>
                  <w:tcBorders>
                    <w:tl2br w:val="nil"/>
                    <w:tr2bl w:val="nil"/>
                  </w:tcBorders>
                  <w:vAlign w:val="center"/>
                </w:tcPr>
                <w:p w14:paraId="1464D538">
                  <w:pPr>
                    <w:keepNext w:val="0"/>
                    <w:keepLines w:val="0"/>
                    <w:pageBreakBefore w:val="0"/>
                    <w:widowControl w:val="0"/>
                    <w:kinsoku/>
                    <w:wordWrap/>
                    <w:overflowPunct/>
                    <w:topLinePunct w:val="0"/>
                    <w:autoSpaceDE/>
                    <w:autoSpaceDN/>
                    <w:bidi w:val="0"/>
                    <w:adjustRightInd w:val="0"/>
                    <w:snapToGrid w:val="0"/>
                    <w:spacing w:line="240" w:lineRule="exact"/>
                    <w:jc w:val="left"/>
                    <w:textAlignment w:val="auto"/>
                    <w:rPr>
                      <w:rFonts w:cs="Times New Roman"/>
                      <w:bCs/>
                      <w:color w:val="auto"/>
                      <w:szCs w:val="21"/>
                    </w:rPr>
                  </w:pPr>
                  <w:r>
                    <w:rPr>
                      <w:rFonts w:cs="Times New Roman"/>
                      <w:bCs/>
                      <w:color w:val="auto"/>
                      <w:szCs w:val="21"/>
                    </w:rPr>
                    <w:t>本项目不涉及采砂活动。</w:t>
                  </w:r>
                </w:p>
              </w:tc>
              <w:tc>
                <w:tcPr>
                  <w:tcW w:w="501" w:type="pct"/>
                  <w:tcBorders>
                    <w:tl2br w:val="nil"/>
                    <w:tr2bl w:val="nil"/>
                  </w:tcBorders>
                  <w:vAlign w:val="center"/>
                </w:tcPr>
                <w:p w14:paraId="34EEB557">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cs="Times New Roman"/>
                      <w:bCs/>
                      <w:color w:val="auto"/>
                      <w:szCs w:val="21"/>
                    </w:rPr>
                  </w:pPr>
                  <w:r>
                    <w:rPr>
                      <w:rFonts w:cs="Times New Roman"/>
                      <w:bCs/>
                      <w:color w:val="auto"/>
                      <w:szCs w:val="21"/>
                    </w:rPr>
                    <w:t>符合</w:t>
                  </w:r>
                </w:p>
              </w:tc>
            </w:tr>
            <w:tr w14:paraId="637F711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842" w:hRule="atLeast"/>
                <w:jc w:val="center"/>
              </w:trPr>
              <w:tc>
                <w:tcPr>
                  <w:tcW w:w="444" w:type="pct"/>
                  <w:tcBorders>
                    <w:tl2br w:val="nil"/>
                    <w:tr2bl w:val="nil"/>
                  </w:tcBorders>
                  <w:vAlign w:val="center"/>
                </w:tcPr>
                <w:p w14:paraId="0130696B">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cs="Times New Roman"/>
                      <w:bCs/>
                      <w:color w:val="auto"/>
                      <w:szCs w:val="21"/>
                    </w:rPr>
                  </w:pPr>
                  <w:r>
                    <w:rPr>
                      <w:rFonts w:cs="Times New Roman"/>
                      <w:bCs/>
                      <w:color w:val="auto"/>
                      <w:szCs w:val="21"/>
                    </w:rPr>
                    <w:t>5</w:t>
                  </w:r>
                </w:p>
              </w:tc>
              <w:tc>
                <w:tcPr>
                  <w:tcW w:w="2467" w:type="pct"/>
                  <w:tcBorders>
                    <w:tl2br w:val="nil"/>
                    <w:tr2bl w:val="nil"/>
                  </w:tcBorders>
                  <w:vAlign w:val="center"/>
                </w:tcPr>
                <w:p w14:paraId="7B908DF4">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cs="Times New Roman"/>
                      <w:bCs/>
                      <w:color w:val="auto"/>
                      <w:szCs w:val="21"/>
                    </w:rPr>
                  </w:pPr>
                  <w:r>
                    <w:rPr>
                      <w:rFonts w:cs="Times New Roman"/>
                      <w:bCs/>
                      <w:color w:val="auto"/>
                      <w:szCs w:val="21"/>
                    </w:rPr>
                    <w:t>第三十八条 加强对高耗水行业、重点用水单位的用水定额管理，严格控制高耗水项目建设。</w:t>
                  </w:r>
                </w:p>
              </w:tc>
              <w:tc>
                <w:tcPr>
                  <w:tcW w:w="1586" w:type="pct"/>
                  <w:tcBorders>
                    <w:tl2br w:val="nil"/>
                    <w:tr2bl w:val="nil"/>
                  </w:tcBorders>
                  <w:vAlign w:val="center"/>
                </w:tcPr>
                <w:p w14:paraId="1CBF274B">
                  <w:pPr>
                    <w:keepNext w:val="0"/>
                    <w:keepLines w:val="0"/>
                    <w:pageBreakBefore w:val="0"/>
                    <w:widowControl w:val="0"/>
                    <w:kinsoku/>
                    <w:wordWrap/>
                    <w:overflowPunct/>
                    <w:topLinePunct w:val="0"/>
                    <w:autoSpaceDE/>
                    <w:autoSpaceDN/>
                    <w:bidi w:val="0"/>
                    <w:adjustRightInd w:val="0"/>
                    <w:snapToGrid w:val="0"/>
                    <w:spacing w:line="240" w:lineRule="exact"/>
                    <w:jc w:val="left"/>
                    <w:textAlignment w:val="auto"/>
                    <w:rPr>
                      <w:rFonts w:cs="Times New Roman"/>
                      <w:bCs/>
                      <w:color w:val="auto"/>
                      <w:szCs w:val="21"/>
                    </w:rPr>
                  </w:pPr>
                  <w:r>
                    <w:rPr>
                      <w:rFonts w:cs="Times New Roman"/>
                      <w:bCs/>
                      <w:color w:val="auto"/>
                      <w:szCs w:val="21"/>
                    </w:rPr>
                    <w:t>本项目不属于高耗水项目。</w:t>
                  </w:r>
                </w:p>
              </w:tc>
              <w:tc>
                <w:tcPr>
                  <w:tcW w:w="501" w:type="pct"/>
                  <w:tcBorders>
                    <w:tl2br w:val="nil"/>
                    <w:tr2bl w:val="nil"/>
                  </w:tcBorders>
                  <w:vAlign w:val="center"/>
                </w:tcPr>
                <w:p w14:paraId="1B525FF1">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cs="Times New Roman"/>
                      <w:bCs/>
                      <w:color w:val="auto"/>
                      <w:szCs w:val="21"/>
                    </w:rPr>
                  </w:pPr>
                  <w:r>
                    <w:rPr>
                      <w:rFonts w:cs="Times New Roman"/>
                      <w:bCs/>
                      <w:color w:val="auto"/>
                      <w:szCs w:val="21"/>
                    </w:rPr>
                    <w:t>符合</w:t>
                  </w:r>
                </w:p>
              </w:tc>
            </w:tr>
          </w:tbl>
          <w:p w14:paraId="68EE5017">
            <w:pPr>
              <w:spacing w:line="360" w:lineRule="auto"/>
              <w:ind w:firstLine="480" w:firstLineChars="200"/>
              <w:rPr>
                <w:rFonts w:hint="eastAsia" w:cs="Times New Roman"/>
                <w:b w:val="0"/>
                <w:bCs w:val="0"/>
                <w:color w:val="auto"/>
                <w:sz w:val="24"/>
                <w:szCs w:val="24"/>
                <w:lang w:eastAsia="zh-CN"/>
              </w:rPr>
            </w:pPr>
            <w:r>
              <w:rPr>
                <w:rFonts w:hint="eastAsia" w:cs="Times New Roman"/>
                <w:b w:val="0"/>
                <w:bCs w:val="0"/>
                <w:color w:val="auto"/>
                <w:sz w:val="24"/>
                <w:szCs w:val="24"/>
                <w:lang w:eastAsia="zh-CN"/>
              </w:rPr>
              <w:t>根据上表可知，项目与</w:t>
            </w:r>
            <w:r>
              <w:rPr>
                <w:rFonts w:cs="Times New Roman"/>
                <w:color w:val="auto"/>
                <w:sz w:val="24"/>
                <w:szCs w:val="24"/>
              </w:rPr>
              <w:t>《中华人民共和国长江保护法》</w:t>
            </w:r>
            <w:r>
              <w:rPr>
                <w:rFonts w:hint="eastAsia" w:cs="Times New Roman"/>
                <w:b w:val="0"/>
                <w:bCs w:val="0"/>
                <w:color w:val="auto"/>
                <w:sz w:val="24"/>
                <w:szCs w:val="24"/>
                <w:lang w:eastAsia="zh-CN"/>
              </w:rPr>
              <w:t>上述条文是相符的。</w:t>
            </w:r>
          </w:p>
          <w:p w14:paraId="788D8F80">
            <w:pPr>
              <w:spacing w:line="360" w:lineRule="auto"/>
              <w:ind w:firstLine="482" w:firstLineChars="200"/>
              <w:rPr>
                <w:rFonts w:cs="Times New Roman"/>
                <w:b/>
                <w:color w:val="auto"/>
                <w:sz w:val="24"/>
                <w:szCs w:val="24"/>
              </w:rPr>
            </w:pPr>
            <w:r>
              <w:rPr>
                <w:rFonts w:cs="Times New Roman"/>
                <w:b/>
                <w:color w:val="auto"/>
                <w:sz w:val="24"/>
                <w:szCs w:val="24"/>
              </w:rPr>
              <w:t>5、与《四川省</w:t>
            </w:r>
            <w:r>
              <w:rPr>
                <w:rFonts w:hint="eastAsia" w:cs="Times New Roman"/>
                <w:b/>
                <w:color w:val="auto"/>
                <w:sz w:val="24"/>
                <w:szCs w:val="24"/>
                <w:lang w:eastAsia="zh-CN"/>
              </w:rPr>
              <w:t>、</w:t>
            </w:r>
            <w:r>
              <w:rPr>
                <w:rFonts w:cs="Times New Roman"/>
                <w:b/>
                <w:color w:val="auto"/>
                <w:sz w:val="24"/>
                <w:szCs w:val="24"/>
              </w:rPr>
              <w:t>重庆市长江经济带发展负面清单实施细则》符合性分析</w:t>
            </w:r>
          </w:p>
          <w:p w14:paraId="79CE45C2">
            <w:pPr>
              <w:spacing w:line="360" w:lineRule="auto"/>
              <w:ind w:firstLine="480" w:firstLineChars="200"/>
              <w:rPr>
                <w:rFonts w:cs="Times New Roman"/>
                <w:b/>
                <w:bCs/>
                <w:color w:val="auto"/>
                <w:sz w:val="24"/>
                <w:szCs w:val="24"/>
              </w:rPr>
            </w:pPr>
            <w:r>
              <w:rPr>
                <w:rFonts w:cs="Times New Roman"/>
                <w:bCs/>
                <w:color w:val="auto"/>
                <w:sz w:val="24"/>
                <w:szCs w:val="24"/>
              </w:rPr>
              <w:t>与四川省推动长江经济带发展领导小组办公室重庆市推动长江经济带发展领导小组办公室关于印发《四川省</w:t>
            </w:r>
            <w:r>
              <w:rPr>
                <w:rFonts w:hint="eastAsia" w:cs="Times New Roman"/>
                <w:bCs/>
                <w:color w:val="auto"/>
                <w:sz w:val="24"/>
                <w:szCs w:val="24"/>
                <w:lang w:eastAsia="zh-CN"/>
              </w:rPr>
              <w:t>、</w:t>
            </w:r>
            <w:r>
              <w:rPr>
                <w:rFonts w:cs="Times New Roman"/>
                <w:bCs/>
                <w:color w:val="auto"/>
                <w:sz w:val="24"/>
                <w:szCs w:val="24"/>
              </w:rPr>
              <w:t>重庆市长江经济带发展负面清单实施细则（试行，2022年版）》的通知（川长江办</w:t>
            </w:r>
            <w:r>
              <w:rPr>
                <w:rFonts w:cs="Times New Roman"/>
                <w:color w:val="auto"/>
                <w:sz w:val="24"/>
                <w:szCs w:val="24"/>
              </w:rPr>
              <w:t>〔2022〕</w:t>
            </w:r>
            <w:r>
              <w:rPr>
                <w:rFonts w:cs="Times New Roman"/>
                <w:bCs/>
                <w:color w:val="auto"/>
                <w:sz w:val="24"/>
                <w:szCs w:val="24"/>
              </w:rPr>
              <w:t>17号）的符合性分析。</w:t>
            </w:r>
          </w:p>
          <w:p w14:paraId="22AE989F">
            <w:pPr>
              <w:spacing w:line="360" w:lineRule="auto"/>
              <w:jc w:val="center"/>
              <w:rPr>
                <w:rFonts w:hint="eastAsia" w:eastAsia="宋体" w:cs="Times New Roman"/>
                <w:b/>
                <w:bCs/>
                <w:color w:val="auto"/>
                <w:sz w:val="24"/>
                <w:szCs w:val="24"/>
                <w:lang w:eastAsia="zh-CN"/>
              </w:rPr>
            </w:pPr>
            <w:r>
              <w:rPr>
                <w:rFonts w:cs="Times New Roman"/>
                <w:b/>
                <w:bCs/>
                <w:color w:val="auto"/>
                <w:sz w:val="24"/>
                <w:szCs w:val="24"/>
              </w:rPr>
              <w:t>表1-</w:t>
            </w:r>
            <w:r>
              <w:rPr>
                <w:rFonts w:hint="eastAsia" w:cs="Times New Roman"/>
                <w:b/>
                <w:bCs/>
                <w:color w:val="auto"/>
                <w:sz w:val="24"/>
                <w:szCs w:val="24"/>
                <w:lang w:val="en-US" w:eastAsia="zh-CN"/>
              </w:rPr>
              <w:t>5</w:t>
            </w:r>
            <w:r>
              <w:rPr>
                <w:rFonts w:cs="Times New Roman"/>
                <w:b/>
                <w:bCs/>
                <w:color w:val="auto"/>
                <w:sz w:val="24"/>
                <w:szCs w:val="24"/>
              </w:rPr>
              <w:t xml:space="preserve">  本项目与</w:t>
            </w:r>
            <w:r>
              <w:rPr>
                <w:rFonts w:hint="eastAsia" w:cs="Times New Roman"/>
                <w:b/>
                <w:bCs/>
                <w:color w:val="auto"/>
                <w:sz w:val="24"/>
                <w:szCs w:val="24"/>
                <w:lang w:eastAsia="zh-CN"/>
              </w:rPr>
              <w:t>“</w:t>
            </w:r>
            <w:r>
              <w:rPr>
                <w:rFonts w:cs="Times New Roman"/>
                <w:b/>
                <w:bCs/>
                <w:color w:val="auto"/>
                <w:sz w:val="24"/>
                <w:szCs w:val="24"/>
              </w:rPr>
              <w:t>川长江办〔2022〕17号</w:t>
            </w:r>
            <w:r>
              <w:rPr>
                <w:rFonts w:hint="eastAsia" w:cs="Times New Roman"/>
                <w:b/>
                <w:bCs/>
                <w:color w:val="auto"/>
                <w:sz w:val="24"/>
                <w:szCs w:val="24"/>
                <w:lang w:eastAsia="zh-CN"/>
              </w:rPr>
              <w:t>”</w:t>
            </w:r>
            <w:r>
              <w:rPr>
                <w:rFonts w:cs="Times New Roman"/>
                <w:b/>
                <w:bCs/>
                <w:color w:val="auto"/>
                <w:sz w:val="24"/>
                <w:szCs w:val="24"/>
              </w:rPr>
              <w:t>的符合性分析</w:t>
            </w:r>
          </w:p>
          <w:tbl>
            <w:tblPr>
              <w:tblStyle w:val="24"/>
              <w:tblW w:w="8038"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
            <w:tblGrid>
              <w:gridCol w:w="715"/>
              <w:gridCol w:w="4143"/>
              <w:gridCol w:w="2373"/>
              <w:gridCol w:w="807"/>
            </w:tblGrid>
            <w:tr w14:paraId="099B1DA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30" w:hRule="atLeast"/>
                <w:jc w:val="center"/>
              </w:trPr>
              <w:tc>
                <w:tcPr>
                  <w:tcW w:w="444" w:type="pct"/>
                  <w:tcBorders>
                    <w:tl2br w:val="nil"/>
                    <w:tr2bl w:val="nil"/>
                  </w:tcBorders>
                  <w:vAlign w:val="center"/>
                </w:tcPr>
                <w:p w14:paraId="4744E0C1">
                  <w:pPr>
                    <w:adjustRightInd w:val="0"/>
                    <w:snapToGrid w:val="0"/>
                    <w:spacing w:line="240" w:lineRule="exact"/>
                    <w:jc w:val="center"/>
                    <w:rPr>
                      <w:rFonts w:cs="Times New Roman"/>
                      <w:b/>
                      <w:bCs/>
                      <w:color w:val="auto"/>
                      <w:szCs w:val="21"/>
                    </w:rPr>
                  </w:pPr>
                  <w:r>
                    <w:rPr>
                      <w:rFonts w:cs="Times New Roman"/>
                      <w:b/>
                      <w:bCs/>
                      <w:color w:val="auto"/>
                      <w:szCs w:val="21"/>
                    </w:rPr>
                    <w:t>序号</w:t>
                  </w:r>
                </w:p>
              </w:tc>
              <w:tc>
                <w:tcPr>
                  <w:tcW w:w="2577" w:type="pct"/>
                  <w:tcBorders>
                    <w:tl2br w:val="nil"/>
                    <w:tr2bl w:val="nil"/>
                  </w:tcBorders>
                  <w:vAlign w:val="center"/>
                </w:tcPr>
                <w:p w14:paraId="314AC7E0">
                  <w:pPr>
                    <w:adjustRightInd w:val="0"/>
                    <w:snapToGrid w:val="0"/>
                    <w:spacing w:line="240" w:lineRule="exact"/>
                    <w:jc w:val="center"/>
                    <w:rPr>
                      <w:rFonts w:cs="Times New Roman"/>
                      <w:b/>
                      <w:bCs/>
                      <w:color w:val="auto"/>
                      <w:szCs w:val="21"/>
                    </w:rPr>
                  </w:pPr>
                  <w:r>
                    <w:rPr>
                      <w:rFonts w:cs="Times New Roman"/>
                      <w:b/>
                      <w:bCs/>
                      <w:color w:val="auto"/>
                      <w:szCs w:val="21"/>
                    </w:rPr>
                    <w:t>原文内容</w:t>
                  </w:r>
                </w:p>
              </w:tc>
              <w:tc>
                <w:tcPr>
                  <w:tcW w:w="1476" w:type="pct"/>
                  <w:tcBorders>
                    <w:tl2br w:val="nil"/>
                    <w:tr2bl w:val="nil"/>
                  </w:tcBorders>
                  <w:vAlign w:val="center"/>
                </w:tcPr>
                <w:p w14:paraId="1662DAF6">
                  <w:pPr>
                    <w:adjustRightInd w:val="0"/>
                    <w:snapToGrid w:val="0"/>
                    <w:spacing w:line="240" w:lineRule="exact"/>
                    <w:jc w:val="center"/>
                    <w:rPr>
                      <w:rFonts w:cs="Times New Roman"/>
                      <w:b/>
                      <w:bCs/>
                      <w:color w:val="auto"/>
                      <w:szCs w:val="21"/>
                    </w:rPr>
                  </w:pPr>
                  <w:r>
                    <w:rPr>
                      <w:rFonts w:cs="Times New Roman"/>
                      <w:b/>
                      <w:bCs/>
                      <w:color w:val="auto"/>
                      <w:szCs w:val="21"/>
                    </w:rPr>
                    <w:t>本项目情况</w:t>
                  </w:r>
                </w:p>
              </w:tc>
              <w:tc>
                <w:tcPr>
                  <w:tcW w:w="501" w:type="pct"/>
                  <w:tcBorders>
                    <w:tl2br w:val="nil"/>
                    <w:tr2bl w:val="nil"/>
                  </w:tcBorders>
                  <w:vAlign w:val="center"/>
                </w:tcPr>
                <w:p w14:paraId="797B7DFB">
                  <w:pPr>
                    <w:adjustRightInd w:val="0"/>
                    <w:snapToGrid w:val="0"/>
                    <w:spacing w:line="240" w:lineRule="exact"/>
                    <w:jc w:val="center"/>
                    <w:rPr>
                      <w:rFonts w:cs="Times New Roman"/>
                      <w:b/>
                      <w:bCs/>
                      <w:color w:val="auto"/>
                      <w:szCs w:val="21"/>
                    </w:rPr>
                  </w:pPr>
                  <w:r>
                    <w:rPr>
                      <w:rFonts w:cs="Times New Roman"/>
                      <w:b/>
                      <w:bCs/>
                      <w:color w:val="auto"/>
                      <w:szCs w:val="21"/>
                    </w:rPr>
                    <w:t>符合性</w:t>
                  </w:r>
                </w:p>
              </w:tc>
            </w:tr>
            <w:tr w14:paraId="5FB8BFA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848" w:hRule="atLeast"/>
                <w:jc w:val="center"/>
              </w:trPr>
              <w:tc>
                <w:tcPr>
                  <w:tcW w:w="444" w:type="pct"/>
                  <w:tcBorders>
                    <w:tl2br w:val="nil"/>
                    <w:tr2bl w:val="nil"/>
                  </w:tcBorders>
                  <w:vAlign w:val="center"/>
                </w:tcPr>
                <w:p w14:paraId="1367CFD3">
                  <w:pPr>
                    <w:adjustRightInd w:val="0"/>
                    <w:snapToGrid w:val="0"/>
                    <w:spacing w:line="240" w:lineRule="exact"/>
                    <w:jc w:val="center"/>
                    <w:rPr>
                      <w:rFonts w:cs="Times New Roman"/>
                      <w:bCs/>
                      <w:color w:val="auto"/>
                      <w:szCs w:val="21"/>
                    </w:rPr>
                  </w:pPr>
                  <w:r>
                    <w:rPr>
                      <w:rFonts w:cs="Times New Roman"/>
                      <w:bCs/>
                      <w:color w:val="auto"/>
                      <w:szCs w:val="21"/>
                    </w:rPr>
                    <w:t>1</w:t>
                  </w:r>
                </w:p>
              </w:tc>
              <w:tc>
                <w:tcPr>
                  <w:tcW w:w="2577" w:type="pct"/>
                  <w:tcBorders>
                    <w:tl2br w:val="nil"/>
                    <w:tr2bl w:val="nil"/>
                  </w:tcBorders>
                  <w:vAlign w:val="center"/>
                </w:tcPr>
                <w:p w14:paraId="3196ACD0">
                  <w:pPr>
                    <w:adjustRightInd w:val="0"/>
                    <w:snapToGrid w:val="0"/>
                    <w:spacing w:line="240" w:lineRule="exact"/>
                    <w:jc w:val="left"/>
                    <w:rPr>
                      <w:rFonts w:cs="Times New Roman"/>
                      <w:bCs/>
                      <w:color w:val="auto"/>
                      <w:szCs w:val="21"/>
                    </w:rPr>
                  </w:pPr>
                  <w:r>
                    <w:rPr>
                      <w:rFonts w:cs="Times New Roman"/>
                      <w:bCs/>
                      <w:color w:val="auto"/>
                      <w:szCs w:val="21"/>
                    </w:rPr>
                    <w:t>第九条</w:t>
                  </w:r>
                  <w:r>
                    <w:rPr>
                      <w:rFonts w:hint="eastAsia" w:cs="Times New Roman"/>
                      <w:bCs/>
                      <w:color w:val="auto"/>
                      <w:szCs w:val="21"/>
                      <w:lang w:val="en-US" w:eastAsia="zh-CN"/>
                    </w:rPr>
                    <w:t xml:space="preserve"> </w:t>
                  </w:r>
                  <w:r>
                    <w:rPr>
                      <w:rFonts w:cs="Times New Roman"/>
                      <w:bCs/>
                      <w:color w:val="auto"/>
                      <w:szCs w:val="21"/>
                    </w:rPr>
                    <w:t>禁止在饮用水水源准保护区的岸线和河段范围内新建、扩建对水体污染严重的建设项目，禁止改建增加排污量的建设项目。</w:t>
                  </w:r>
                </w:p>
              </w:tc>
              <w:tc>
                <w:tcPr>
                  <w:tcW w:w="1476" w:type="pct"/>
                  <w:vMerge w:val="restart"/>
                  <w:tcBorders>
                    <w:tl2br w:val="nil"/>
                    <w:tr2bl w:val="nil"/>
                  </w:tcBorders>
                  <w:vAlign w:val="center"/>
                </w:tcPr>
                <w:p w14:paraId="5CA4BBCF">
                  <w:pPr>
                    <w:adjustRightInd w:val="0"/>
                    <w:snapToGrid w:val="0"/>
                    <w:spacing w:line="240" w:lineRule="exact"/>
                    <w:jc w:val="center"/>
                    <w:rPr>
                      <w:rFonts w:cs="Times New Roman"/>
                      <w:bCs/>
                      <w:color w:val="auto"/>
                      <w:szCs w:val="21"/>
                    </w:rPr>
                  </w:pPr>
                  <w:r>
                    <w:rPr>
                      <w:rFonts w:cs="Times New Roman"/>
                      <w:bCs/>
                      <w:color w:val="auto"/>
                      <w:szCs w:val="21"/>
                    </w:rPr>
                    <w:t>本项目位于</w:t>
                  </w:r>
                  <w:r>
                    <w:rPr>
                      <w:rFonts w:hint="eastAsia" w:cs="Times New Roman"/>
                      <w:color w:val="auto"/>
                      <w:szCs w:val="21"/>
                      <w:lang w:eastAsia="zh-CN"/>
                    </w:rPr>
                    <w:t>达州市通川区东岳镇虹桥社区二组</w:t>
                  </w:r>
                  <w:r>
                    <w:rPr>
                      <w:rFonts w:cs="Times New Roman"/>
                      <w:color w:val="auto"/>
                      <w:szCs w:val="21"/>
                    </w:rPr>
                    <w:t>，不在饮用水源准保护区、二级保护区的岸线和河段范围内。</w:t>
                  </w:r>
                </w:p>
              </w:tc>
              <w:tc>
                <w:tcPr>
                  <w:tcW w:w="501" w:type="pct"/>
                  <w:tcBorders>
                    <w:tl2br w:val="nil"/>
                    <w:tr2bl w:val="nil"/>
                  </w:tcBorders>
                  <w:vAlign w:val="center"/>
                </w:tcPr>
                <w:p w14:paraId="498A00B8">
                  <w:pPr>
                    <w:adjustRightInd w:val="0"/>
                    <w:snapToGrid w:val="0"/>
                    <w:spacing w:line="240" w:lineRule="exact"/>
                    <w:jc w:val="center"/>
                    <w:rPr>
                      <w:rFonts w:cs="Times New Roman"/>
                      <w:bCs/>
                      <w:color w:val="auto"/>
                      <w:szCs w:val="21"/>
                    </w:rPr>
                  </w:pPr>
                  <w:r>
                    <w:rPr>
                      <w:rFonts w:cs="Times New Roman"/>
                      <w:bCs/>
                      <w:color w:val="auto"/>
                      <w:szCs w:val="21"/>
                    </w:rPr>
                    <w:t>符合</w:t>
                  </w:r>
                </w:p>
              </w:tc>
            </w:tr>
            <w:tr w14:paraId="75F3BF0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1127" w:hRule="atLeast"/>
                <w:jc w:val="center"/>
              </w:trPr>
              <w:tc>
                <w:tcPr>
                  <w:tcW w:w="444" w:type="pct"/>
                  <w:tcBorders>
                    <w:tl2br w:val="nil"/>
                    <w:tr2bl w:val="nil"/>
                  </w:tcBorders>
                  <w:vAlign w:val="center"/>
                </w:tcPr>
                <w:p w14:paraId="3F4E458D">
                  <w:pPr>
                    <w:adjustRightInd w:val="0"/>
                    <w:snapToGrid w:val="0"/>
                    <w:spacing w:line="240" w:lineRule="exact"/>
                    <w:jc w:val="center"/>
                    <w:rPr>
                      <w:rFonts w:cs="Times New Roman"/>
                      <w:bCs/>
                      <w:color w:val="auto"/>
                      <w:szCs w:val="21"/>
                    </w:rPr>
                  </w:pPr>
                  <w:r>
                    <w:rPr>
                      <w:rFonts w:cs="Times New Roman"/>
                      <w:bCs/>
                      <w:color w:val="auto"/>
                      <w:szCs w:val="21"/>
                    </w:rPr>
                    <w:t>2</w:t>
                  </w:r>
                </w:p>
              </w:tc>
              <w:tc>
                <w:tcPr>
                  <w:tcW w:w="2577" w:type="pct"/>
                  <w:tcBorders>
                    <w:tl2br w:val="nil"/>
                    <w:tr2bl w:val="nil"/>
                  </w:tcBorders>
                  <w:vAlign w:val="center"/>
                </w:tcPr>
                <w:p w14:paraId="64DD8FDA">
                  <w:pPr>
                    <w:adjustRightInd w:val="0"/>
                    <w:snapToGrid w:val="0"/>
                    <w:spacing w:line="240" w:lineRule="exact"/>
                    <w:jc w:val="left"/>
                    <w:rPr>
                      <w:rFonts w:cs="Times New Roman"/>
                      <w:bCs/>
                      <w:color w:val="auto"/>
                      <w:szCs w:val="21"/>
                    </w:rPr>
                  </w:pPr>
                  <w:r>
                    <w:rPr>
                      <w:rFonts w:cs="Times New Roman"/>
                      <w:bCs/>
                      <w:color w:val="auto"/>
                      <w:szCs w:val="21"/>
                    </w:rPr>
                    <w:t>第十条</w:t>
                  </w:r>
                  <w:r>
                    <w:rPr>
                      <w:rFonts w:hint="eastAsia" w:cs="Times New Roman"/>
                      <w:bCs/>
                      <w:color w:val="auto"/>
                      <w:szCs w:val="21"/>
                      <w:lang w:val="en-US" w:eastAsia="zh-CN"/>
                    </w:rPr>
                    <w:t xml:space="preserve"> </w:t>
                  </w:r>
                  <w:r>
                    <w:rPr>
                      <w:rFonts w:cs="Times New Roman"/>
                      <w:bCs/>
                      <w:color w:val="auto"/>
                      <w:szCs w:val="21"/>
                    </w:rPr>
                    <w:t>饮用水水源二级保护区的岸线和河段范围内，除遵守准保护区规定外，禁止新建、改建、扩建排放污染物的投资建设项目；禁止从事对水体有污染的水产养殖等活动。</w:t>
                  </w:r>
                </w:p>
              </w:tc>
              <w:tc>
                <w:tcPr>
                  <w:tcW w:w="1476" w:type="pct"/>
                  <w:vMerge w:val="continue"/>
                  <w:tcBorders>
                    <w:tl2br w:val="nil"/>
                    <w:tr2bl w:val="nil"/>
                  </w:tcBorders>
                  <w:vAlign w:val="center"/>
                </w:tcPr>
                <w:p w14:paraId="32819304">
                  <w:pPr>
                    <w:adjustRightInd w:val="0"/>
                    <w:snapToGrid w:val="0"/>
                    <w:spacing w:line="240" w:lineRule="exact"/>
                    <w:jc w:val="center"/>
                    <w:rPr>
                      <w:rFonts w:cs="Times New Roman"/>
                      <w:bCs/>
                      <w:color w:val="auto"/>
                      <w:szCs w:val="21"/>
                    </w:rPr>
                  </w:pPr>
                </w:p>
              </w:tc>
              <w:tc>
                <w:tcPr>
                  <w:tcW w:w="501" w:type="pct"/>
                  <w:tcBorders>
                    <w:tl2br w:val="nil"/>
                    <w:tr2bl w:val="nil"/>
                  </w:tcBorders>
                  <w:vAlign w:val="center"/>
                </w:tcPr>
                <w:p w14:paraId="0860E3A6">
                  <w:pPr>
                    <w:adjustRightInd w:val="0"/>
                    <w:snapToGrid w:val="0"/>
                    <w:spacing w:line="240" w:lineRule="exact"/>
                    <w:jc w:val="center"/>
                    <w:rPr>
                      <w:rFonts w:cs="Times New Roman"/>
                      <w:bCs/>
                      <w:color w:val="auto"/>
                      <w:szCs w:val="21"/>
                    </w:rPr>
                  </w:pPr>
                  <w:r>
                    <w:rPr>
                      <w:rFonts w:cs="Times New Roman"/>
                      <w:bCs/>
                      <w:color w:val="auto"/>
                      <w:szCs w:val="21"/>
                    </w:rPr>
                    <w:t>符合</w:t>
                  </w:r>
                </w:p>
              </w:tc>
            </w:tr>
            <w:tr w14:paraId="5472838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1127" w:hRule="atLeast"/>
                <w:jc w:val="center"/>
              </w:trPr>
              <w:tc>
                <w:tcPr>
                  <w:tcW w:w="444" w:type="pct"/>
                  <w:tcBorders>
                    <w:tl2br w:val="nil"/>
                    <w:tr2bl w:val="nil"/>
                  </w:tcBorders>
                  <w:vAlign w:val="center"/>
                </w:tcPr>
                <w:p w14:paraId="2FDB230A">
                  <w:pPr>
                    <w:adjustRightInd w:val="0"/>
                    <w:snapToGrid w:val="0"/>
                    <w:spacing w:line="240" w:lineRule="exact"/>
                    <w:jc w:val="center"/>
                    <w:rPr>
                      <w:rFonts w:cs="Times New Roman"/>
                      <w:bCs/>
                      <w:color w:val="auto"/>
                      <w:szCs w:val="21"/>
                    </w:rPr>
                  </w:pPr>
                  <w:r>
                    <w:rPr>
                      <w:rFonts w:cs="Times New Roman"/>
                      <w:bCs/>
                      <w:color w:val="auto"/>
                      <w:szCs w:val="21"/>
                    </w:rPr>
                    <w:t>3</w:t>
                  </w:r>
                </w:p>
              </w:tc>
              <w:tc>
                <w:tcPr>
                  <w:tcW w:w="2577" w:type="pct"/>
                  <w:tcBorders>
                    <w:tl2br w:val="nil"/>
                    <w:tr2bl w:val="nil"/>
                  </w:tcBorders>
                  <w:vAlign w:val="center"/>
                </w:tcPr>
                <w:p w14:paraId="01EE8F1A">
                  <w:pPr>
                    <w:adjustRightInd w:val="0"/>
                    <w:snapToGrid w:val="0"/>
                    <w:spacing w:line="240" w:lineRule="exact"/>
                    <w:jc w:val="left"/>
                    <w:rPr>
                      <w:rFonts w:cs="Times New Roman"/>
                      <w:bCs/>
                      <w:color w:val="auto"/>
                      <w:szCs w:val="21"/>
                    </w:rPr>
                  </w:pPr>
                  <w:r>
                    <w:rPr>
                      <w:rFonts w:cs="Times New Roman"/>
                      <w:bCs/>
                      <w:color w:val="auto"/>
                      <w:szCs w:val="21"/>
                    </w:rPr>
                    <w:t>第十六条</w:t>
                  </w:r>
                  <w:r>
                    <w:rPr>
                      <w:rFonts w:hint="eastAsia" w:cs="Times New Roman"/>
                      <w:bCs/>
                      <w:color w:val="auto"/>
                      <w:szCs w:val="21"/>
                      <w:lang w:val="en-US" w:eastAsia="zh-CN"/>
                    </w:rPr>
                    <w:t xml:space="preserve"> </w:t>
                  </w:r>
                  <w:r>
                    <w:rPr>
                      <w:rFonts w:cs="Times New Roman"/>
                      <w:bCs/>
                      <w:color w:val="auto"/>
                      <w:szCs w:val="21"/>
                    </w:rPr>
                    <w:t>禁止在长江流域江河、湖泊新设、改设或者扩大排污口，经有管辖权的生态环境主管部门或者长江流域生态环境监督管理机构同意的除外。</w:t>
                  </w:r>
                </w:p>
              </w:tc>
              <w:tc>
                <w:tcPr>
                  <w:tcW w:w="1476" w:type="pct"/>
                  <w:tcBorders>
                    <w:tl2br w:val="nil"/>
                    <w:tr2bl w:val="nil"/>
                  </w:tcBorders>
                  <w:vAlign w:val="center"/>
                </w:tcPr>
                <w:p w14:paraId="174C2081">
                  <w:pPr>
                    <w:adjustRightInd w:val="0"/>
                    <w:snapToGrid w:val="0"/>
                    <w:spacing w:line="240" w:lineRule="exact"/>
                    <w:jc w:val="center"/>
                    <w:rPr>
                      <w:rFonts w:cs="Times New Roman"/>
                      <w:bCs/>
                      <w:color w:val="auto"/>
                      <w:szCs w:val="21"/>
                    </w:rPr>
                  </w:pPr>
                  <w:r>
                    <w:rPr>
                      <w:rFonts w:cs="Times New Roman"/>
                      <w:bCs/>
                      <w:color w:val="auto"/>
                      <w:szCs w:val="21"/>
                    </w:rPr>
                    <w:t>本项目不新设、改设或者扩大排污口</w:t>
                  </w:r>
                </w:p>
              </w:tc>
              <w:tc>
                <w:tcPr>
                  <w:tcW w:w="501" w:type="pct"/>
                  <w:tcBorders>
                    <w:tl2br w:val="nil"/>
                    <w:tr2bl w:val="nil"/>
                  </w:tcBorders>
                  <w:vAlign w:val="center"/>
                </w:tcPr>
                <w:p w14:paraId="341C081C">
                  <w:pPr>
                    <w:adjustRightInd w:val="0"/>
                    <w:snapToGrid w:val="0"/>
                    <w:spacing w:line="240" w:lineRule="exact"/>
                    <w:jc w:val="center"/>
                    <w:rPr>
                      <w:rFonts w:cs="Times New Roman"/>
                      <w:bCs/>
                      <w:color w:val="auto"/>
                      <w:szCs w:val="21"/>
                    </w:rPr>
                  </w:pPr>
                  <w:r>
                    <w:rPr>
                      <w:rFonts w:cs="Times New Roman"/>
                      <w:bCs/>
                      <w:color w:val="auto"/>
                      <w:szCs w:val="21"/>
                    </w:rPr>
                    <w:t>符合</w:t>
                  </w:r>
                </w:p>
              </w:tc>
            </w:tr>
            <w:tr w14:paraId="3FB90D2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848" w:hRule="atLeast"/>
                <w:jc w:val="center"/>
              </w:trPr>
              <w:tc>
                <w:tcPr>
                  <w:tcW w:w="444" w:type="pct"/>
                  <w:tcBorders>
                    <w:tl2br w:val="nil"/>
                    <w:tr2bl w:val="nil"/>
                  </w:tcBorders>
                  <w:vAlign w:val="center"/>
                </w:tcPr>
                <w:p w14:paraId="2F58AB50">
                  <w:pPr>
                    <w:adjustRightInd w:val="0"/>
                    <w:snapToGrid w:val="0"/>
                    <w:spacing w:line="240" w:lineRule="exact"/>
                    <w:jc w:val="center"/>
                    <w:rPr>
                      <w:rFonts w:cs="Times New Roman"/>
                      <w:bCs/>
                      <w:color w:val="auto"/>
                      <w:szCs w:val="21"/>
                    </w:rPr>
                  </w:pPr>
                  <w:r>
                    <w:rPr>
                      <w:rFonts w:cs="Times New Roman"/>
                      <w:bCs/>
                      <w:color w:val="auto"/>
                      <w:szCs w:val="21"/>
                    </w:rPr>
                    <w:t>4</w:t>
                  </w:r>
                </w:p>
              </w:tc>
              <w:tc>
                <w:tcPr>
                  <w:tcW w:w="2577" w:type="pct"/>
                  <w:tcBorders>
                    <w:tl2br w:val="nil"/>
                    <w:tr2bl w:val="nil"/>
                  </w:tcBorders>
                  <w:vAlign w:val="center"/>
                </w:tcPr>
                <w:p w14:paraId="0FC3DCEF">
                  <w:pPr>
                    <w:adjustRightInd w:val="0"/>
                    <w:snapToGrid w:val="0"/>
                    <w:spacing w:line="240" w:lineRule="exact"/>
                    <w:jc w:val="left"/>
                    <w:rPr>
                      <w:rFonts w:cs="Times New Roman"/>
                      <w:bCs/>
                      <w:color w:val="auto"/>
                      <w:szCs w:val="21"/>
                    </w:rPr>
                  </w:pPr>
                  <w:r>
                    <w:rPr>
                      <w:rFonts w:cs="Times New Roman"/>
                      <w:bCs/>
                      <w:color w:val="auto"/>
                      <w:szCs w:val="21"/>
                    </w:rPr>
                    <w:t>第十八条</w:t>
                  </w:r>
                  <w:r>
                    <w:rPr>
                      <w:rFonts w:hint="eastAsia" w:cs="Times New Roman"/>
                      <w:bCs/>
                      <w:color w:val="auto"/>
                      <w:szCs w:val="21"/>
                      <w:lang w:val="en-US" w:eastAsia="zh-CN"/>
                    </w:rPr>
                    <w:t xml:space="preserve"> </w:t>
                  </w:r>
                  <w:r>
                    <w:rPr>
                      <w:rFonts w:cs="Times New Roman"/>
                      <w:bCs/>
                      <w:color w:val="auto"/>
                      <w:szCs w:val="21"/>
                    </w:rPr>
                    <w:t>禁止在长江干支流、重要湖泊岸线一公里范围内新建、扩建化工园区和化工项目。</w:t>
                  </w:r>
                </w:p>
              </w:tc>
              <w:tc>
                <w:tcPr>
                  <w:tcW w:w="1476" w:type="pct"/>
                  <w:tcBorders>
                    <w:tl2br w:val="nil"/>
                    <w:tr2bl w:val="nil"/>
                  </w:tcBorders>
                  <w:vAlign w:val="center"/>
                </w:tcPr>
                <w:p w14:paraId="5888EFB1">
                  <w:pPr>
                    <w:adjustRightInd w:val="0"/>
                    <w:snapToGrid w:val="0"/>
                    <w:spacing w:line="240" w:lineRule="exact"/>
                    <w:jc w:val="center"/>
                    <w:rPr>
                      <w:rFonts w:cs="Times New Roman"/>
                      <w:bCs/>
                      <w:color w:val="auto"/>
                      <w:szCs w:val="21"/>
                    </w:rPr>
                  </w:pPr>
                  <w:r>
                    <w:rPr>
                      <w:rFonts w:cs="Times New Roman"/>
                      <w:bCs/>
                      <w:color w:val="auto"/>
                      <w:szCs w:val="21"/>
                    </w:rPr>
                    <w:t>本项目不属于化工项目</w:t>
                  </w:r>
                </w:p>
              </w:tc>
              <w:tc>
                <w:tcPr>
                  <w:tcW w:w="501" w:type="pct"/>
                  <w:tcBorders>
                    <w:tl2br w:val="nil"/>
                    <w:tr2bl w:val="nil"/>
                  </w:tcBorders>
                  <w:vAlign w:val="center"/>
                </w:tcPr>
                <w:p w14:paraId="15E3E2FC">
                  <w:pPr>
                    <w:adjustRightInd w:val="0"/>
                    <w:snapToGrid w:val="0"/>
                    <w:spacing w:line="240" w:lineRule="exact"/>
                    <w:jc w:val="center"/>
                    <w:rPr>
                      <w:rFonts w:cs="Times New Roman"/>
                      <w:bCs/>
                      <w:color w:val="auto"/>
                      <w:szCs w:val="21"/>
                    </w:rPr>
                  </w:pPr>
                  <w:r>
                    <w:rPr>
                      <w:rFonts w:cs="Times New Roman"/>
                      <w:bCs/>
                      <w:color w:val="auto"/>
                      <w:szCs w:val="21"/>
                    </w:rPr>
                    <w:t>符合</w:t>
                  </w:r>
                </w:p>
              </w:tc>
            </w:tr>
            <w:tr w14:paraId="7A69ADC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1151" w:hRule="atLeast"/>
                <w:jc w:val="center"/>
              </w:trPr>
              <w:tc>
                <w:tcPr>
                  <w:tcW w:w="444" w:type="pct"/>
                  <w:tcBorders>
                    <w:tl2br w:val="nil"/>
                    <w:tr2bl w:val="nil"/>
                  </w:tcBorders>
                  <w:vAlign w:val="center"/>
                </w:tcPr>
                <w:p w14:paraId="3B444134">
                  <w:pPr>
                    <w:adjustRightInd w:val="0"/>
                    <w:snapToGrid w:val="0"/>
                    <w:spacing w:line="240" w:lineRule="exact"/>
                    <w:jc w:val="center"/>
                    <w:rPr>
                      <w:rFonts w:cs="Times New Roman"/>
                      <w:bCs/>
                      <w:color w:val="auto"/>
                      <w:szCs w:val="21"/>
                    </w:rPr>
                  </w:pPr>
                  <w:r>
                    <w:rPr>
                      <w:rFonts w:cs="Times New Roman"/>
                      <w:bCs/>
                      <w:color w:val="auto"/>
                      <w:szCs w:val="21"/>
                    </w:rPr>
                    <w:t>5</w:t>
                  </w:r>
                </w:p>
              </w:tc>
              <w:tc>
                <w:tcPr>
                  <w:tcW w:w="2577" w:type="pct"/>
                  <w:tcBorders>
                    <w:tl2br w:val="nil"/>
                    <w:tr2bl w:val="nil"/>
                  </w:tcBorders>
                  <w:vAlign w:val="center"/>
                </w:tcPr>
                <w:p w14:paraId="5A2CB9C4">
                  <w:pPr>
                    <w:adjustRightInd w:val="0"/>
                    <w:snapToGrid w:val="0"/>
                    <w:spacing w:line="240" w:lineRule="exact"/>
                    <w:jc w:val="left"/>
                    <w:rPr>
                      <w:rFonts w:cs="Times New Roman"/>
                      <w:bCs/>
                      <w:color w:val="auto"/>
                      <w:szCs w:val="21"/>
                    </w:rPr>
                  </w:pPr>
                  <w:r>
                    <w:rPr>
                      <w:rFonts w:cs="Times New Roman"/>
                      <w:bCs/>
                      <w:color w:val="auto"/>
                      <w:szCs w:val="21"/>
                    </w:rPr>
                    <w:t>第十九条</w:t>
                  </w:r>
                  <w:r>
                    <w:rPr>
                      <w:rFonts w:hint="eastAsia" w:cs="Times New Roman"/>
                      <w:bCs/>
                      <w:color w:val="auto"/>
                      <w:szCs w:val="21"/>
                      <w:lang w:val="en-US" w:eastAsia="zh-CN"/>
                    </w:rPr>
                    <w:t xml:space="preserve"> </w:t>
                  </w:r>
                  <w:r>
                    <w:rPr>
                      <w:rFonts w:cs="Times New Roman"/>
                      <w:bCs/>
                      <w:color w:val="auto"/>
                      <w:szCs w:val="21"/>
                    </w:rPr>
                    <w:t>禁止在长江干流岸线三公里范围内和重要支流岸线一公里范围内新建、改建、扩建尾矿库、冶炼渣库、磷石膏库，以提升安全、生态环境保护水平为目的的改建除外。</w:t>
                  </w:r>
                </w:p>
              </w:tc>
              <w:tc>
                <w:tcPr>
                  <w:tcW w:w="1476" w:type="pct"/>
                  <w:tcBorders>
                    <w:tl2br w:val="nil"/>
                    <w:tr2bl w:val="nil"/>
                  </w:tcBorders>
                  <w:vAlign w:val="center"/>
                </w:tcPr>
                <w:p w14:paraId="7BA34710">
                  <w:pPr>
                    <w:adjustRightInd w:val="0"/>
                    <w:snapToGrid w:val="0"/>
                    <w:spacing w:line="240" w:lineRule="exact"/>
                    <w:jc w:val="center"/>
                    <w:rPr>
                      <w:rFonts w:cs="Times New Roman"/>
                      <w:bCs/>
                      <w:color w:val="auto"/>
                      <w:szCs w:val="21"/>
                    </w:rPr>
                  </w:pPr>
                  <w:r>
                    <w:rPr>
                      <w:rFonts w:cs="Times New Roman"/>
                      <w:bCs/>
                      <w:color w:val="auto"/>
                      <w:szCs w:val="21"/>
                    </w:rPr>
                    <w:t>本项目属于</w:t>
                  </w:r>
                  <w:r>
                    <w:rPr>
                      <w:rFonts w:cs="Times New Roman"/>
                      <w:color w:val="auto"/>
                      <w:szCs w:val="21"/>
                    </w:rPr>
                    <w:t>建筑用石加工项目，不属于上述项目</w:t>
                  </w:r>
                </w:p>
              </w:tc>
              <w:tc>
                <w:tcPr>
                  <w:tcW w:w="501" w:type="pct"/>
                  <w:tcBorders>
                    <w:tl2br w:val="nil"/>
                    <w:tr2bl w:val="nil"/>
                  </w:tcBorders>
                  <w:vAlign w:val="center"/>
                </w:tcPr>
                <w:p w14:paraId="40A5D312">
                  <w:pPr>
                    <w:adjustRightInd w:val="0"/>
                    <w:snapToGrid w:val="0"/>
                    <w:spacing w:line="240" w:lineRule="exact"/>
                    <w:jc w:val="center"/>
                    <w:rPr>
                      <w:rFonts w:cs="Times New Roman"/>
                      <w:bCs/>
                      <w:color w:val="auto"/>
                      <w:szCs w:val="21"/>
                    </w:rPr>
                  </w:pPr>
                  <w:r>
                    <w:rPr>
                      <w:rFonts w:cs="Times New Roman"/>
                      <w:bCs/>
                      <w:color w:val="auto"/>
                      <w:szCs w:val="21"/>
                    </w:rPr>
                    <w:t>符合</w:t>
                  </w:r>
                </w:p>
              </w:tc>
            </w:tr>
            <w:tr w14:paraId="49D1627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1127" w:hRule="atLeast"/>
                <w:jc w:val="center"/>
              </w:trPr>
              <w:tc>
                <w:tcPr>
                  <w:tcW w:w="444" w:type="pct"/>
                  <w:tcBorders>
                    <w:tl2br w:val="nil"/>
                    <w:tr2bl w:val="nil"/>
                  </w:tcBorders>
                  <w:vAlign w:val="center"/>
                </w:tcPr>
                <w:p w14:paraId="752CFC86">
                  <w:pPr>
                    <w:adjustRightInd w:val="0"/>
                    <w:snapToGrid w:val="0"/>
                    <w:spacing w:line="240" w:lineRule="exact"/>
                    <w:jc w:val="center"/>
                    <w:rPr>
                      <w:rFonts w:cs="Times New Roman"/>
                      <w:bCs/>
                      <w:color w:val="auto"/>
                      <w:szCs w:val="21"/>
                    </w:rPr>
                  </w:pPr>
                  <w:r>
                    <w:rPr>
                      <w:rFonts w:cs="Times New Roman"/>
                      <w:bCs/>
                      <w:color w:val="auto"/>
                      <w:szCs w:val="21"/>
                    </w:rPr>
                    <w:t>6</w:t>
                  </w:r>
                </w:p>
              </w:tc>
              <w:tc>
                <w:tcPr>
                  <w:tcW w:w="2577" w:type="pct"/>
                  <w:tcBorders>
                    <w:tl2br w:val="nil"/>
                    <w:tr2bl w:val="nil"/>
                  </w:tcBorders>
                  <w:vAlign w:val="center"/>
                </w:tcPr>
                <w:p w14:paraId="216C55C4">
                  <w:pPr>
                    <w:adjustRightInd w:val="0"/>
                    <w:snapToGrid w:val="0"/>
                    <w:spacing w:line="240" w:lineRule="exact"/>
                    <w:jc w:val="left"/>
                    <w:rPr>
                      <w:rFonts w:cs="Times New Roman"/>
                      <w:bCs/>
                      <w:color w:val="auto"/>
                      <w:szCs w:val="21"/>
                    </w:rPr>
                  </w:pPr>
                  <w:r>
                    <w:rPr>
                      <w:rFonts w:cs="Times New Roman"/>
                      <w:bCs/>
                      <w:color w:val="auto"/>
                      <w:szCs w:val="21"/>
                    </w:rPr>
                    <w:t>第二十一条</w:t>
                  </w:r>
                  <w:r>
                    <w:rPr>
                      <w:rFonts w:hint="eastAsia" w:cs="Times New Roman"/>
                      <w:bCs/>
                      <w:color w:val="auto"/>
                      <w:szCs w:val="21"/>
                      <w:lang w:val="en-US" w:eastAsia="zh-CN"/>
                    </w:rPr>
                    <w:t xml:space="preserve"> </w:t>
                  </w:r>
                  <w:r>
                    <w:rPr>
                      <w:rFonts w:cs="Times New Roman"/>
                      <w:bCs/>
                      <w:color w:val="auto"/>
                      <w:szCs w:val="21"/>
                    </w:rPr>
                    <w:t>禁止在合规园区外新建、扩建钢铁、石化、化工、焦化、建材、有色、制浆造纸等高污染项目。</w:t>
                  </w:r>
                </w:p>
              </w:tc>
              <w:tc>
                <w:tcPr>
                  <w:tcW w:w="1476" w:type="pct"/>
                  <w:tcBorders>
                    <w:tl2br w:val="nil"/>
                    <w:tr2bl w:val="nil"/>
                  </w:tcBorders>
                  <w:vAlign w:val="center"/>
                </w:tcPr>
                <w:p w14:paraId="03F5D946">
                  <w:pPr>
                    <w:adjustRightInd w:val="0"/>
                    <w:snapToGrid w:val="0"/>
                    <w:spacing w:line="240" w:lineRule="exact"/>
                    <w:jc w:val="center"/>
                    <w:rPr>
                      <w:rFonts w:cs="Times New Roman"/>
                      <w:bCs/>
                      <w:color w:val="auto"/>
                      <w:szCs w:val="21"/>
                    </w:rPr>
                  </w:pPr>
                  <w:r>
                    <w:rPr>
                      <w:rFonts w:cs="Times New Roman"/>
                      <w:bCs/>
                      <w:color w:val="auto"/>
                      <w:szCs w:val="21"/>
                    </w:rPr>
                    <w:t>本项目不属于钢铁、石化、化工、焦化、建材、有色、制浆造纸等高污染项目</w:t>
                  </w:r>
                </w:p>
              </w:tc>
              <w:tc>
                <w:tcPr>
                  <w:tcW w:w="501" w:type="pct"/>
                  <w:tcBorders>
                    <w:tl2br w:val="nil"/>
                    <w:tr2bl w:val="nil"/>
                  </w:tcBorders>
                  <w:vAlign w:val="center"/>
                </w:tcPr>
                <w:p w14:paraId="5E4D0A84">
                  <w:pPr>
                    <w:adjustRightInd w:val="0"/>
                    <w:snapToGrid w:val="0"/>
                    <w:spacing w:line="240" w:lineRule="exact"/>
                    <w:jc w:val="center"/>
                    <w:rPr>
                      <w:rFonts w:cs="Times New Roman"/>
                      <w:bCs/>
                      <w:color w:val="auto"/>
                      <w:szCs w:val="21"/>
                    </w:rPr>
                  </w:pPr>
                  <w:r>
                    <w:rPr>
                      <w:rFonts w:cs="Times New Roman"/>
                      <w:bCs/>
                      <w:color w:val="auto"/>
                      <w:szCs w:val="21"/>
                    </w:rPr>
                    <w:t>符合</w:t>
                  </w:r>
                </w:p>
              </w:tc>
            </w:tr>
            <w:tr w14:paraId="377997B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1685" w:hRule="atLeast"/>
                <w:jc w:val="center"/>
              </w:trPr>
              <w:tc>
                <w:tcPr>
                  <w:tcW w:w="444" w:type="pct"/>
                  <w:tcBorders>
                    <w:tl2br w:val="nil"/>
                    <w:tr2bl w:val="nil"/>
                  </w:tcBorders>
                  <w:vAlign w:val="center"/>
                </w:tcPr>
                <w:p w14:paraId="0171AF2F">
                  <w:pPr>
                    <w:adjustRightInd w:val="0"/>
                    <w:snapToGrid w:val="0"/>
                    <w:spacing w:line="240" w:lineRule="exact"/>
                    <w:jc w:val="center"/>
                    <w:rPr>
                      <w:rFonts w:cs="Times New Roman"/>
                      <w:bCs/>
                      <w:color w:val="auto"/>
                      <w:szCs w:val="21"/>
                    </w:rPr>
                  </w:pPr>
                  <w:r>
                    <w:rPr>
                      <w:rFonts w:cs="Times New Roman"/>
                      <w:bCs/>
                      <w:color w:val="auto"/>
                      <w:szCs w:val="21"/>
                    </w:rPr>
                    <w:t>7</w:t>
                  </w:r>
                </w:p>
              </w:tc>
              <w:tc>
                <w:tcPr>
                  <w:tcW w:w="2577" w:type="pct"/>
                  <w:tcBorders>
                    <w:tl2br w:val="nil"/>
                    <w:tr2bl w:val="nil"/>
                  </w:tcBorders>
                  <w:vAlign w:val="center"/>
                </w:tcPr>
                <w:p w14:paraId="1D90E405">
                  <w:pPr>
                    <w:adjustRightInd w:val="0"/>
                    <w:snapToGrid w:val="0"/>
                    <w:spacing w:line="240" w:lineRule="exact"/>
                    <w:jc w:val="left"/>
                    <w:rPr>
                      <w:rFonts w:cs="Times New Roman"/>
                      <w:bCs/>
                      <w:color w:val="auto"/>
                      <w:szCs w:val="21"/>
                    </w:rPr>
                  </w:pPr>
                  <w:r>
                    <w:rPr>
                      <w:rFonts w:cs="Times New Roman"/>
                      <w:bCs/>
                      <w:color w:val="auto"/>
                      <w:szCs w:val="21"/>
                    </w:rPr>
                    <w:t>第二十三条</w:t>
                  </w:r>
                  <w:r>
                    <w:rPr>
                      <w:rFonts w:hint="eastAsia" w:cs="Times New Roman"/>
                      <w:bCs/>
                      <w:color w:val="auto"/>
                      <w:szCs w:val="21"/>
                      <w:lang w:val="en-US" w:eastAsia="zh-CN"/>
                    </w:rPr>
                    <w:t xml:space="preserve"> </w:t>
                  </w:r>
                  <w:r>
                    <w:rPr>
                      <w:rFonts w:cs="Times New Roman"/>
                      <w:bCs/>
                      <w:color w:val="auto"/>
                      <w:szCs w:val="21"/>
                    </w:rPr>
                    <w:t>禁止新建、扩建法律法规和相关政策明令禁止的落后产能项目。对《产业结构调整指导目录》中淘汰类项目，禁止投资：限制类的新建项目，禁止投资，对属于限制类的现有生产能力，允许企业在一定期限内采取措施改造升级。</w:t>
                  </w:r>
                </w:p>
              </w:tc>
              <w:tc>
                <w:tcPr>
                  <w:tcW w:w="1476" w:type="pct"/>
                  <w:tcBorders>
                    <w:tl2br w:val="nil"/>
                    <w:tr2bl w:val="nil"/>
                  </w:tcBorders>
                  <w:vAlign w:val="center"/>
                </w:tcPr>
                <w:p w14:paraId="5F64D8F9">
                  <w:pPr>
                    <w:adjustRightInd w:val="0"/>
                    <w:snapToGrid w:val="0"/>
                    <w:spacing w:line="240" w:lineRule="exact"/>
                    <w:jc w:val="center"/>
                    <w:rPr>
                      <w:rFonts w:cs="Times New Roman"/>
                      <w:bCs/>
                      <w:color w:val="auto"/>
                      <w:szCs w:val="21"/>
                    </w:rPr>
                  </w:pPr>
                  <w:r>
                    <w:rPr>
                      <w:rFonts w:cs="Times New Roman"/>
                      <w:color w:val="auto"/>
                      <w:szCs w:val="21"/>
                    </w:rPr>
                    <w:t>项目产品不属于落后产能和过剩产能。项目工艺技术路线上在物耗、能耗上属于国内先进水平</w:t>
                  </w:r>
                </w:p>
              </w:tc>
              <w:tc>
                <w:tcPr>
                  <w:tcW w:w="501" w:type="pct"/>
                  <w:tcBorders>
                    <w:tl2br w:val="nil"/>
                    <w:tr2bl w:val="nil"/>
                  </w:tcBorders>
                  <w:vAlign w:val="center"/>
                </w:tcPr>
                <w:p w14:paraId="1C5BD171">
                  <w:pPr>
                    <w:adjustRightInd w:val="0"/>
                    <w:snapToGrid w:val="0"/>
                    <w:spacing w:line="240" w:lineRule="exact"/>
                    <w:jc w:val="center"/>
                    <w:rPr>
                      <w:rFonts w:cs="Times New Roman"/>
                      <w:bCs/>
                      <w:color w:val="auto"/>
                      <w:szCs w:val="21"/>
                    </w:rPr>
                  </w:pPr>
                  <w:r>
                    <w:rPr>
                      <w:rFonts w:cs="Times New Roman"/>
                      <w:bCs/>
                      <w:color w:val="auto"/>
                      <w:szCs w:val="21"/>
                    </w:rPr>
                    <w:t>符合</w:t>
                  </w:r>
                </w:p>
              </w:tc>
            </w:tr>
            <w:tr w14:paraId="7767271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1406" w:hRule="atLeast"/>
                <w:jc w:val="center"/>
              </w:trPr>
              <w:tc>
                <w:tcPr>
                  <w:tcW w:w="444" w:type="pct"/>
                  <w:tcBorders>
                    <w:tl2br w:val="nil"/>
                    <w:tr2bl w:val="nil"/>
                  </w:tcBorders>
                  <w:vAlign w:val="center"/>
                </w:tcPr>
                <w:p w14:paraId="32D5D1CE">
                  <w:pPr>
                    <w:adjustRightInd w:val="0"/>
                    <w:snapToGrid w:val="0"/>
                    <w:spacing w:line="240" w:lineRule="exact"/>
                    <w:jc w:val="center"/>
                    <w:rPr>
                      <w:rFonts w:hint="eastAsia" w:eastAsia="宋体" w:cs="Times New Roman"/>
                      <w:bCs/>
                      <w:color w:val="auto"/>
                      <w:szCs w:val="21"/>
                      <w:lang w:val="en-US" w:eastAsia="zh-CN"/>
                    </w:rPr>
                  </w:pPr>
                  <w:r>
                    <w:rPr>
                      <w:rFonts w:hint="eastAsia" w:cs="Times New Roman"/>
                      <w:bCs/>
                      <w:color w:val="auto"/>
                      <w:szCs w:val="21"/>
                      <w:lang w:val="en-US" w:eastAsia="zh-CN"/>
                    </w:rPr>
                    <w:t>8</w:t>
                  </w:r>
                </w:p>
              </w:tc>
              <w:tc>
                <w:tcPr>
                  <w:tcW w:w="2577" w:type="pct"/>
                  <w:tcBorders>
                    <w:tl2br w:val="nil"/>
                    <w:tr2bl w:val="nil"/>
                  </w:tcBorders>
                  <w:vAlign w:val="center"/>
                </w:tcPr>
                <w:p w14:paraId="17E6D2AC">
                  <w:pPr>
                    <w:adjustRightInd w:val="0"/>
                    <w:snapToGrid w:val="0"/>
                    <w:spacing w:line="240" w:lineRule="exact"/>
                    <w:jc w:val="left"/>
                    <w:rPr>
                      <w:rFonts w:cs="Times New Roman"/>
                      <w:bCs/>
                      <w:color w:val="auto"/>
                      <w:szCs w:val="21"/>
                    </w:rPr>
                  </w:pPr>
                  <w:r>
                    <w:rPr>
                      <w:rFonts w:cs="Times New Roman"/>
                      <w:bCs/>
                      <w:color w:val="auto"/>
                      <w:szCs w:val="21"/>
                    </w:rPr>
                    <w:t>第二十四条 禁止新建、扩建不符合国家产能置换要求的严重过剩产能行业的项目。对于不符合国家产能置换要求的严重过剩产能行业，不得以其他任何名义、任何方式备案新增产能项目。</w:t>
                  </w:r>
                </w:p>
              </w:tc>
              <w:tc>
                <w:tcPr>
                  <w:tcW w:w="1476" w:type="pct"/>
                  <w:tcBorders>
                    <w:tl2br w:val="nil"/>
                    <w:tr2bl w:val="nil"/>
                  </w:tcBorders>
                  <w:vAlign w:val="center"/>
                </w:tcPr>
                <w:p w14:paraId="372CE68A">
                  <w:pPr>
                    <w:adjustRightInd w:val="0"/>
                    <w:snapToGrid w:val="0"/>
                    <w:spacing w:line="240" w:lineRule="exact"/>
                    <w:jc w:val="center"/>
                    <w:rPr>
                      <w:rFonts w:cs="Times New Roman"/>
                      <w:color w:val="auto"/>
                      <w:szCs w:val="21"/>
                    </w:rPr>
                  </w:pPr>
                  <w:r>
                    <w:rPr>
                      <w:rFonts w:cs="Times New Roman"/>
                      <w:color w:val="auto"/>
                      <w:szCs w:val="21"/>
                    </w:rPr>
                    <w:t>本项</w:t>
                  </w:r>
                  <w:r>
                    <w:rPr>
                      <w:rFonts w:hint="eastAsia" w:cs="Times New Roman"/>
                      <w:color w:val="auto"/>
                      <w:szCs w:val="21"/>
                      <w:lang w:eastAsia="zh-CN"/>
                    </w:rPr>
                    <w:t>目属于建筑用石加工</w:t>
                  </w:r>
                  <w:r>
                    <w:rPr>
                      <w:rFonts w:cs="Times New Roman"/>
                      <w:color w:val="auto"/>
                      <w:szCs w:val="21"/>
                    </w:rPr>
                    <w:t>项目，不属于国家产能置换要求的严重过剩产能行业的项目</w:t>
                  </w:r>
                </w:p>
              </w:tc>
              <w:tc>
                <w:tcPr>
                  <w:tcW w:w="501" w:type="pct"/>
                  <w:tcBorders>
                    <w:tl2br w:val="nil"/>
                    <w:tr2bl w:val="nil"/>
                  </w:tcBorders>
                  <w:vAlign w:val="center"/>
                </w:tcPr>
                <w:p w14:paraId="2A2FD592">
                  <w:pPr>
                    <w:adjustRightInd w:val="0"/>
                    <w:snapToGrid w:val="0"/>
                    <w:spacing w:line="240" w:lineRule="exact"/>
                    <w:jc w:val="center"/>
                    <w:rPr>
                      <w:rFonts w:cs="Times New Roman"/>
                      <w:bCs/>
                      <w:color w:val="auto"/>
                      <w:szCs w:val="21"/>
                    </w:rPr>
                  </w:pPr>
                  <w:r>
                    <w:rPr>
                      <w:rFonts w:cs="Times New Roman"/>
                      <w:bCs/>
                      <w:color w:val="auto"/>
                      <w:szCs w:val="21"/>
                    </w:rPr>
                    <w:t>符合</w:t>
                  </w:r>
                </w:p>
              </w:tc>
            </w:tr>
            <w:tr w14:paraId="77498BB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604" w:hRule="atLeast"/>
                <w:jc w:val="center"/>
              </w:trPr>
              <w:tc>
                <w:tcPr>
                  <w:tcW w:w="444" w:type="pct"/>
                  <w:tcBorders>
                    <w:tl2br w:val="nil"/>
                    <w:tr2bl w:val="nil"/>
                  </w:tcBorders>
                  <w:vAlign w:val="center"/>
                </w:tcPr>
                <w:p w14:paraId="2D8EC34C">
                  <w:pPr>
                    <w:adjustRightInd w:val="0"/>
                    <w:snapToGrid w:val="0"/>
                    <w:spacing w:line="240" w:lineRule="exact"/>
                    <w:jc w:val="center"/>
                    <w:rPr>
                      <w:rFonts w:hint="eastAsia" w:eastAsia="宋体" w:cs="Times New Roman"/>
                      <w:bCs/>
                      <w:color w:val="auto"/>
                      <w:szCs w:val="21"/>
                      <w:lang w:eastAsia="zh-CN"/>
                    </w:rPr>
                  </w:pPr>
                  <w:r>
                    <w:rPr>
                      <w:rFonts w:hint="eastAsia" w:cs="Times New Roman"/>
                      <w:bCs/>
                      <w:color w:val="auto"/>
                      <w:szCs w:val="21"/>
                      <w:lang w:val="en-US" w:eastAsia="zh-CN"/>
                    </w:rPr>
                    <w:t>9</w:t>
                  </w:r>
                </w:p>
              </w:tc>
              <w:tc>
                <w:tcPr>
                  <w:tcW w:w="2577" w:type="pct"/>
                  <w:tcBorders>
                    <w:tl2br w:val="nil"/>
                    <w:tr2bl w:val="nil"/>
                  </w:tcBorders>
                  <w:vAlign w:val="center"/>
                </w:tcPr>
                <w:p w14:paraId="16318CCD">
                  <w:pPr>
                    <w:adjustRightInd w:val="0"/>
                    <w:snapToGrid w:val="0"/>
                    <w:spacing w:line="240" w:lineRule="exact"/>
                    <w:jc w:val="left"/>
                    <w:rPr>
                      <w:rFonts w:cs="Times New Roman"/>
                      <w:bCs/>
                      <w:color w:val="auto"/>
                      <w:szCs w:val="21"/>
                    </w:rPr>
                  </w:pPr>
                  <w:r>
                    <w:rPr>
                      <w:rFonts w:cs="Times New Roman"/>
                      <w:bCs/>
                      <w:color w:val="auto"/>
                      <w:szCs w:val="21"/>
                    </w:rPr>
                    <w:t>第二十六条</w:t>
                  </w:r>
                  <w:r>
                    <w:rPr>
                      <w:rFonts w:hint="eastAsia" w:cs="Times New Roman"/>
                      <w:bCs/>
                      <w:color w:val="auto"/>
                      <w:szCs w:val="21"/>
                      <w:lang w:val="en-US" w:eastAsia="zh-CN"/>
                    </w:rPr>
                    <w:t xml:space="preserve"> </w:t>
                  </w:r>
                  <w:r>
                    <w:rPr>
                      <w:rFonts w:cs="Times New Roman"/>
                      <w:bCs/>
                      <w:color w:val="auto"/>
                      <w:szCs w:val="21"/>
                    </w:rPr>
                    <w:t>禁止新建、扩建不符合要求的高耗能、高排放、低水平项目。</w:t>
                  </w:r>
                </w:p>
              </w:tc>
              <w:tc>
                <w:tcPr>
                  <w:tcW w:w="1476" w:type="pct"/>
                  <w:tcBorders>
                    <w:tl2br w:val="nil"/>
                    <w:tr2bl w:val="nil"/>
                  </w:tcBorders>
                  <w:vAlign w:val="center"/>
                </w:tcPr>
                <w:p w14:paraId="679AAE2E">
                  <w:pPr>
                    <w:adjustRightInd w:val="0"/>
                    <w:snapToGrid w:val="0"/>
                    <w:spacing w:line="240" w:lineRule="exact"/>
                    <w:jc w:val="center"/>
                    <w:rPr>
                      <w:rFonts w:cs="Times New Roman"/>
                      <w:bCs/>
                      <w:color w:val="auto"/>
                      <w:szCs w:val="21"/>
                    </w:rPr>
                  </w:pPr>
                  <w:r>
                    <w:rPr>
                      <w:rFonts w:cs="Times New Roman"/>
                      <w:bCs/>
                      <w:color w:val="auto"/>
                      <w:szCs w:val="21"/>
                    </w:rPr>
                    <w:t>本项目不属于高耗能、高排放、低水平项目</w:t>
                  </w:r>
                </w:p>
              </w:tc>
              <w:tc>
                <w:tcPr>
                  <w:tcW w:w="501" w:type="pct"/>
                  <w:tcBorders>
                    <w:tl2br w:val="nil"/>
                    <w:tr2bl w:val="nil"/>
                  </w:tcBorders>
                  <w:vAlign w:val="center"/>
                </w:tcPr>
                <w:p w14:paraId="2CB35D7A">
                  <w:pPr>
                    <w:adjustRightInd w:val="0"/>
                    <w:snapToGrid w:val="0"/>
                    <w:spacing w:line="240" w:lineRule="exact"/>
                    <w:jc w:val="center"/>
                    <w:rPr>
                      <w:rFonts w:cs="Times New Roman"/>
                      <w:bCs/>
                      <w:color w:val="auto"/>
                      <w:szCs w:val="21"/>
                    </w:rPr>
                  </w:pPr>
                  <w:r>
                    <w:rPr>
                      <w:rFonts w:cs="Times New Roman"/>
                      <w:bCs/>
                      <w:color w:val="auto"/>
                      <w:szCs w:val="21"/>
                    </w:rPr>
                    <w:t>符合</w:t>
                  </w:r>
                </w:p>
              </w:tc>
            </w:tr>
          </w:tbl>
          <w:p w14:paraId="56C8A9A9">
            <w:pPr>
              <w:spacing w:line="360" w:lineRule="auto"/>
              <w:ind w:firstLine="480" w:firstLineChars="200"/>
              <w:rPr>
                <w:rFonts w:hint="eastAsia" w:cs="Times New Roman"/>
                <w:b w:val="0"/>
                <w:bCs w:val="0"/>
                <w:color w:val="auto"/>
                <w:sz w:val="24"/>
                <w:szCs w:val="24"/>
                <w:lang w:eastAsia="zh-CN"/>
              </w:rPr>
            </w:pPr>
            <w:r>
              <w:rPr>
                <w:rFonts w:hint="eastAsia" w:cs="Times New Roman"/>
                <w:b w:val="0"/>
                <w:bCs w:val="0"/>
                <w:color w:val="auto"/>
                <w:sz w:val="24"/>
                <w:szCs w:val="24"/>
                <w:lang w:eastAsia="zh-CN"/>
              </w:rPr>
              <w:t>根据上表可知，项目与《四川省、重庆市长江经济带发展负面清单实施细则》上述条文是相符的。</w:t>
            </w:r>
          </w:p>
          <w:p w14:paraId="237D3B18">
            <w:pPr>
              <w:spacing w:line="360" w:lineRule="auto"/>
              <w:ind w:firstLine="482" w:firstLineChars="200"/>
              <w:rPr>
                <w:rFonts w:cs="Times New Roman"/>
                <w:b/>
                <w:color w:val="auto"/>
                <w:sz w:val="24"/>
                <w:szCs w:val="24"/>
              </w:rPr>
            </w:pPr>
            <w:r>
              <w:rPr>
                <w:rFonts w:cs="Times New Roman"/>
                <w:b/>
                <w:color w:val="auto"/>
                <w:sz w:val="24"/>
                <w:szCs w:val="24"/>
              </w:rPr>
              <w:t>6、生态环境分区管控的符合性分析</w:t>
            </w:r>
          </w:p>
          <w:p w14:paraId="1533CC87">
            <w:pPr>
              <w:spacing w:line="360" w:lineRule="auto"/>
              <w:ind w:firstLine="482" w:firstLineChars="200"/>
              <w:rPr>
                <w:rFonts w:cs="Times New Roman"/>
                <w:b/>
                <w:bCs/>
                <w:color w:val="auto"/>
                <w:sz w:val="24"/>
                <w:szCs w:val="24"/>
              </w:rPr>
            </w:pPr>
            <w:r>
              <w:rPr>
                <w:rFonts w:cs="Times New Roman"/>
                <w:b/>
                <w:bCs/>
                <w:color w:val="auto"/>
                <w:sz w:val="24"/>
                <w:szCs w:val="24"/>
              </w:rPr>
              <w:t>（</w:t>
            </w:r>
            <w:r>
              <w:rPr>
                <w:rFonts w:hint="eastAsia" w:cs="Times New Roman"/>
                <w:b/>
                <w:bCs/>
                <w:color w:val="auto"/>
                <w:sz w:val="24"/>
                <w:szCs w:val="24"/>
                <w:lang w:val="en-US" w:eastAsia="zh-CN"/>
              </w:rPr>
              <w:t>1</w:t>
            </w:r>
            <w:r>
              <w:rPr>
                <w:rFonts w:cs="Times New Roman"/>
                <w:b/>
                <w:bCs/>
                <w:color w:val="auto"/>
                <w:sz w:val="24"/>
                <w:szCs w:val="24"/>
              </w:rPr>
              <w:t>）达州市生态环境分区管控情况</w:t>
            </w:r>
          </w:p>
          <w:p w14:paraId="65AB69D4">
            <w:pPr>
              <w:spacing w:line="360" w:lineRule="auto"/>
              <w:ind w:firstLine="480" w:firstLineChars="200"/>
              <w:rPr>
                <w:rFonts w:cs="Times New Roman"/>
                <w:color w:val="auto"/>
                <w:sz w:val="24"/>
                <w:szCs w:val="24"/>
              </w:rPr>
            </w:pPr>
            <w:r>
              <w:rPr>
                <w:rFonts w:hint="default" w:ascii="Times New Roman" w:hAnsi="Times New Roman" w:cs="Times New Roman"/>
                <w:color w:val="auto"/>
                <w:sz w:val="24"/>
                <w:szCs w:val="24"/>
                <w:lang w:val="en-US" w:eastAsia="zh-CN"/>
              </w:rPr>
              <w:t>根据达州市生态空间更新成果与《四川省2023年生态环境分区管控成果动态更新情况说明》，优化调整后的生态保护红线管控区分区数量共计34个，分区面积为1202.83km</w:t>
            </w:r>
            <w:r>
              <w:rPr>
                <w:rFonts w:hint="default" w:ascii="Times New Roman" w:hAnsi="Times New Roman" w:eastAsia="Times New Roman" w:cs="Times New Roman"/>
                <w:color w:val="auto"/>
                <w:sz w:val="24"/>
                <w:szCs w:val="24"/>
                <w:vertAlign w:val="superscript"/>
                <w:lang w:val="en-US" w:eastAsia="zh-CN"/>
              </w:rPr>
              <w:t>2</w:t>
            </w:r>
            <w:r>
              <w:rPr>
                <w:rFonts w:hint="default" w:ascii="Times New Roman" w:hAnsi="Times New Roman" w:cs="Times New Roman"/>
                <w:color w:val="auto"/>
                <w:sz w:val="24"/>
                <w:szCs w:val="24"/>
                <w:lang w:val="en-US" w:eastAsia="zh-CN"/>
              </w:rPr>
              <w:t>，分区面积占比7.26%。与原2021年相比，面积减少了11.43km</w:t>
            </w:r>
            <w:r>
              <w:rPr>
                <w:rFonts w:hint="default" w:ascii="Times New Roman" w:hAnsi="Times New Roman" w:eastAsia="Times New Roman" w:cs="Times New Roman"/>
                <w:color w:val="auto"/>
                <w:sz w:val="24"/>
                <w:szCs w:val="24"/>
                <w:vertAlign w:val="superscript"/>
                <w:lang w:val="en-US" w:eastAsia="zh-CN"/>
              </w:rPr>
              <w:t>2</w:t>
            </w:r>
            <w:r>
              <w:rPr>
                <w:rFonts w:hint="default" w:ascii="Times New Roman" w:hAnsi="Times New Roman" w:cs="Times New Roman"/>
                <w:color w:val="auto"/>
                <w:sz w:val="24"/>
                <w:szCs w:val="24"/>
                <w:lang w:val="en-US" w:eastAsia="zh-CN"/>
              </w:rPr>
              <w:t>，其中调入红线2.17km</w:t>
            </w:r>
            <w:r>
              <w:rPr>
                <w:rFonts w:hint="default" w:ascii="Times New Roman" w:hAnsi="Times New Roman" w:eastAsia="Times New Roman" w:cs="Times New Roman"/>
                <w:color w:val="auto"/>
                <w:sz w:val="24"/>
                <w:szCs w:val="24"/>
                <w:vertAlign w:val="superscript"/>
                <w:lang w:val="en-US" w:eastAsia="zh-CN"/>
              </w:rPr>
              <w:t>2</w:t>
            </w:r>
            <w:r>
              <w:rPr>
                <w:rFonts w:hint="default" w:ascii="Times New Roman" w:hAnsi="Times New Roman" w:cs="Times New Roman"/>
                <w:color w:val="auto"/>
                <w:sz w:val="24"/>
                <w:szCs w:val="24"/>
                <w:lang w:val="en-US" w:eastAsia="zh-CN"/>
              </w:rPr>
              <w:t>，调出红线13.6km</w:t>
            </w:r>
            <w:r>
              <w:rPr>
                <w:rFonts w:hint="default" w:ascii="Times New Roman" w:hAnsi="Times New Roman" w:eastAsia="Times New Roman" w:cs="Times New Roman"/>
                <w:color w:val="auto"/>
                <w:sz w:val="24"/>
                <w:szCs w:val="24"/>
                <w:vertAlign w:val="superscript"/>
                <w:lang w:val="en-US" w:eastAsia="zh-CN"/>
              </w:rPr>
              <w:t>2</w:t>
            </w:r>
            <w:r>
              <w:rPr>
                <w:rFonts w:hint="default" w:ascii="Times New Roman" w:hAnsi="Times New Roman" w:cs="Times New Roman"/>
                <w:color w:val="auto"/>
                <w:sz w:val="24"/>
                <w:szCs w:val="24"/>
                <w:lang w:val="en-US" w:eastAsia="zh-CN"/>
              </w:rPr>
              <w:t>。达州市生态保护红线主要分布在大巴山和盆地区域，涉及大巴山生物多样性维护—水源涵养生态保护红线、盆中城市饮用水源—水土保持生态保护红线。</w:t>
            </w:r>
          </w:p>
          <w:p w14:paraId="1D4EFC22">
            <w:pPr>
              <w:spacing w:line="360" w:lineRule="auto"/>
              <w:ind w:firstLine="480" w:firstLineChars="200"/>
              <w:rPr>
                <w:rFonts w:cs="Times New Roman"/>
                <w:color w:val="auto"/>
                <w:sz w:val="24"/>
                <w:szCs w:val="24"/>
              </w:rPr>
            </w:pPr>
            <w:r>
              <w:rPr>
                <w:rFonts w:cs="Times New Roman"/>
                <w:color w:val="auto"/>
                <w:sz w:val="24"/>
                <w:szCs w:val="24"/>
              </w:rPr>
              <w:t>达州市生态保护红线分布情况如下。</w:t>
            </w:r>
          </w:p>
          <w:p w14:paraId="08083AB7">
            <w:pPr>
              <w:snapToGrid w:val="0"/>
              <w:spacing w:line="360" w:lineRule="auto"/>
              <w:jc w:val="center"/>
              <w:rPr>
                <w:rFonts w:hint="default" w:ascii="Times New Roman" w:hAnsi="Times New Roman" w:eastAsia="Times New Roman" w:cs="Times New Roman"/>
                <w:color w:val="auto"/>
                <w:sz w:val="24"/>
                <w:szCs w:val="24"/>
              </w:rPr>
            </w:pPr>
            <w:r>
              <w:rPr>
                <w:color w:val="auto"/>
                <w:position w:val="-1"/>
              </w:rPr>
              <w:drawing>
                <wp:anchor distT="0" distB="0" distL="0" distR="0" simplePos="0" relativeHeight="251662336" behindDoc="0" locked="0" layoutInCell="1" allowOverlap="1">
                  <wp:simplePos x="0" y="0"/>
                  <wp:positionH relativeFrom="column">
                    <wp:posOffset>1920240</wp:posOffset>
                  </wp:positionH>
                  <wp:positionV relativeFrom="paragraph">
                    <wp:posOffset>1823720</wp:posOffset>
                  </wp:positionV>
                  <wp:extent cx="60960" cy="60960"/>
                  <wp:effectExtent l="0" t="0" r="15240" b="15240"/>
                  <wp:wrapNone/>
                  <wp:docPr id="5" name="IM 16"/>
                  <wp:cNvGraphicFramePr/>
                  <a:graphic xmlns:a="http://schemas.openxmlformats.org/drawingml/2006/main">
                    <a:graphicData uri="http://schemas.openxmlformats.org/drawingml/2006/picture">
                      <pic:pic xmlns:pic="http://schemas.openxmlformats.org/drawingml/2006/picture">
                        <pic:nvPicPr>
                          <pic:cNvPr id="5" name="IM 16"/>
                          <pic:cNvPicPr/>
                        </pic:nvPicPr>
                        <pic:blipFill>
                          <a:blip r:embed="rId6"/>
                          <a:stretch>
                            <a:fillRect/>
                          </a:stretch>
                        </pic:blipFill>
                        <pic:spPr>
                          <a:xfrm>
                            <a:off x="0" y="0"/>
                            <a:ext cx="61569" cy="61569"/>
                          </a:xfrm>
                          <a:prstGeom prst="rect">
                            <a:avLst/>
                          </a:prstGeom>
                        </pic:spPr>
                      </pic:pic>
                    </a:graphicData>
                  </a:graphic>
                </wp:anchor>
              </w:drawing>
            </w:r>
            <w:r>
              <w:rPr>
                <w:rFonts w:hint="default" w:ascii="Times New Roman" w:hAnsi="Times New Roman" w:eastAsia="宋体" w:cs="Times New Roman"/>
                <w:color w:val="auto"/>
                <w:sz w:val="24"/>
                <w:szCs w:val="24"/>
              </w:rPr>
              <mc:AlternateContent>
                <mc:Choice Requires="wps">
                  <w:drawing>
                    <wp:anchor distT="0" distB="0" distL="114300" distR="114300" simplePos="0" relativeHeight="251663360" behindDoc="0" locked="0" layoutInCell="1" allowOverlap="1">
                      <wp:simplePos x="0" y="0"/>
                      <wp:positionH relativeFrom="column">
                        <wp:posOffset>1903730</wp:posOffset>
                      </wp:positionH>
                      <wp:positionV relativeFrom="paragraph">
                        <wp:posOffset>2131060</wp:posOffset>
                      </wp:positionV>
                      <wp:extent cx="947420" cy="365760"/>
                      <wp:effectExtent l="4445" t="274320" r="19685" b="7620"/>
                      <wp:wrapNone/>
                      <wp:docPr id="41" name="圆角矩形标注 41"/>
                      <wp:cNvGraphicFramePr/>
                      <a:graphic xmlns:a="http://schemas.openxmlformats.org/drawingml/2006/main">
                        <a:graphicData uri="http://schemas.microsoft.com/office/word/2010/wordprocessingShape">
                          <wps:wsp>
                            <wps:cNvSpPr/>
                            <wps:spPr>
                              <a:xfrm>
                                <a:off x="0" y="0"/>
                                <a:ext cx="947420" cy="365760"/>
                              </a:xfrm>
                              <a:prstGeom prst="wedgeRoundRectCallout">
                                <a:avLst>
                                  <a:gd name="adj1" fmla="val -42227"/>
                                  <a:gd name="adj2" fmla="val -121181"/>
                                  <a:gd name="adj3" fmla="val 16667"/>
                                </a:avLst>
                              </a:prstGeom>
                              <a:noFill/>
                              <a:ln w="9525" cap="flat" cmpd="sng">
                                <a:solidFill>
                                  <a:srgbClr val="FF0000"/>
                                </a:solidFill>
                                <a:prstDash val="solid"/>
                                <a:miter/>
                                <a:headEnd type="none" w="med" len="med"/>
                                <a:tailEnd type="none" w="med" len="med"/>
                              </a:ln>
                            </wps:spPr>
                            <wps:txbx>
                              <w:txbxContent>
                                <w:p w14:paraId="34592071">
                                  <w:pPr>
                                    <w:rPr>
                                      <w:rFonts w:hint="eastAsia" w:ascii="宋体" w:hAnsi="Times New Roman" w:eastAsia="宋体"/>
                                      <w:b/>
                                      <w:color w:val="FF0000"/>
                                      <w:sz w:val="18"/>
                                      <w:szCs w:val="24"/>
                                      <w:lang w:val="en-US" w:eastAsia="zh-CN"/>
                                    </w:rPr>
                                  </w:pPr>
                                  <w:r>
                                    <w:rPr>
                                      <w:rFonts w:hint="eastAsia" w:ascii="宋体" w:hAnsi="Wingdings" w:eastAsia="宋体"/>
                                      <w:b/>
                                      <w:color w:val="FF0000"/>
                                      <w:sz w:val="18"/>
                                      <w:szCs w:val="24"/>
                                    </w:rPr>
                                    <w:t>本项目</w:t>
                                  </w:r>
                                  <w:r>
                                    <w:rPr>
                                      <w:rFonts w:hint="eastAsia" w:ascii="宋体" w:hAnsi="Wingdings" w:eastAsia="宋体"/>
                                      <w:b/>
                                      <w:color w:val="FF0000"/>
                                      <w:sz w:val="18"/>
                                      <w:szCs w:val="24"/>
                                      <w:lang w:val="en-US" w:eastAsia="zh-CN"/>
                                    </w:rPr>
                                    <w:t>所在地</w:t>
                                  </w:r>
                                </w:p>
                              </w:txbxContent>
                            </wps:txbx>
                            <wps:bodyPr upright="1"/>
                          </wps:wsp>
                        </a:graphicData>
                      </a:graphic>
                    </wp:anchor>
                  </w:drawing>
                </mc:Choice>
                <mc:Fallback>
                  <w:pict>
                    <v:shape id="_x0000_s1026" o:spid="_x0000_s1026" o:spt="62" type="#_x0000_t62" style="position:absolute;left:0pt;margin-left:149.9pt;margin-top:167.8pt;height:28.8pt;width:74.6pt;z-index:251663360;mso-width-relative:page;mso-height-relative:page;" filled="f" stroked="t" coordsize="21600,21600" o:gfxdata="UEsDBAoAAAAAAIdO4kAAAAAAAAAAAAAAAAAEAAAAZHJzL1BLAwQUAAAACACHTuJA47rXLNsAAAAL&#10;AQAADwAAAGRycy9kb3ducmV2LnhtbE2PzU7DMBCE70i8g7VI3Kjz01YkjVOhSr0gIURAokc3Xpyo&#10;sR1i1ylvz3Kix9kZzX5TbS9mYBEn3zsrIF0kwNC2TvVWC/h43z88AvNBWiUHZ1HAD3rY1rc3lSyV&#10;m+0bxiZoRiXWl1JAF8JYcu7bDo30CzeiJe/LTUYGkpPmapIzlZuBZ0my5kb2lj50csRdh+2pORsB&#10;jT7I59d9cHqOp6fV90v8THdRiPu7NNkAC3gJ/2H4wyd0qInp6M5WeTYIyIqC0IOAPF+tgVFiuSxo&#10;3ZEuRZ4Bryt+vaH+BVBLAwQUAAAACACHTuJA08TymFICAACWBAAADgAAAGRycy9lMm9Eb2MueG1s&#10;rVTNctMwEL4zwztodG8cu4lTMnF6aAgXBjotPIBiybYY/Y2kxM4LwJ0zM3S4AGfOPE4Lj8FKMWla&#10;LjmQg7Pyrr79vm8lz847KdCGWce1KnA6GGLEVKkpV3WB375Znpxh5DxRlAitWIG3zOHz+dMns9ZM&#10;WaYbLSizCECUm7amwI33ZpokrmyYJG6gDVOQrLSVxMPS1gm1pAV0KZJsOMyTVltqrC6Zc/B2sUvi&#10;HtEeA6iripdsocu1ZMrvUC0TxIMk13Dj8DyyrSpW+tdV5ZhHosCg1McnNIF4FZ7JfEamtSWm4WVP&#10;gRxD4ZEmSbiCpnuoBfEErS3/B0ry0mqnKz8otUx2QqIjoCIdPvLmuiGGRS1gtTN7093/gy1fbS4t&#10;4rTAoxQjRSRM/PbT+99fP/76/P3255e7mw93P74hSIJTrXFT2HBtLm2/chAG2V1lZfgHQaiL7m73&#10;7rLOoxJePhtNRhn4XkLqNB9P8uh+cr/ZWOdfMC1RCArcMlqzK71W9ArGeEGE0GsfTSabl85Ht2lP&#10;mdB3QL+SAoa3IQKdjLIsm/TTPSjKHhSlWZqeRWUwuIOq08OqNM/ziARM+8YQ/eUaWCi95ELEkyQU&#10;akHpOBuDTgK3o4JTCaE04LBTdaTvtOA0bAmbna1XF8IiYF3g5XIIv0AbWjwoC/0WxDW7upjaqZPc&#10;szANMm0Yoc8VRX5rYIgKLi8OZCSjGAkGdz1EsdITLo6pBBJCAZcw992kQ+S7VQcwIVxpuoXjszaW&#10;1w2MLHoZy+G4RhH91Qr34XAdQe8/J/M/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47rXLNsAAAAL&#10;AQAADwAAAAAAAAABACAAAAAiAAAAZHJzL2Rvd25yZXYueG1sUEsBAhQAFAAAAAgAh07iQNPE8phS&#10;AgAAlgQAAA4AAAAAAAAAAQAgAAAAKgEAAGRycy9lMm9Eb2MueG1sUEsFBgAAAAAGAAYAWQEAAO4F&#10;AAAAAA==&#10;" adj="1679,-15375,14400">
                      <v:fill on="f" focussize="0,0"/>
                      <v:stroke color="#FF0000" joinstyle="miter"/>
                      <v:imagedata o:title=""/>
                      <o:lock v:ext="edit" aspectratio="f"/>
                      <v:textbox>
                        <w:txbxContent>
                          <w:p w14:paraId="34592071">
                            <w:pPr>
                              <w:rPr>
                                <w:rFonts w:hint="eastAsia" w:ascii="宋体" w:hAnsi="Times New Roman" w:eastAsia="宋体"/>
                                <w:b/>
                                <w:color w:val="FF0000"/>
                                <w:sz w:val="18"/>
                                <w:szCs w:val="24"/>
                                <w:lang w:val="en-US" w:eastAsia="zh-CN"/>
                              </w:rPr>
                            </w:pPr>
                            <w:r>
                              <w:rPr>
                                <w:rFonts w:hint="eastAsia" w:ascii="宋体" w:hAnsi="Wingdings" w:eastAsia="宋体"/>
                                <w:b/>
                                <w:color w:val="FF0000"/>
                                <w:sz w:val="18"/>
                                <w:szCs w:val="24"/>
                              </w:rPr>
                              <w:t>本项目</w:t>
                            </w:r>
                            <w:r>
                              <w:rPr>
                                <w:rFonts w:hint="eastAsia" w:ascii="宋体" w:hAnsi="Wingdings" w:eastAsia="宋体"/>
                                <w:b/>
                                <w:color w:val="FF0000"/>
                                <w:sz w:val="18"/>
                                <w:szCs w:val="24"/>
                                <w:lang w:val="en-US" w:eastAsia="zh-CN"/>
                              </w:rPr>
                              <w:t>所在地</w:t>
                            </w:r>
                          </w:p>
                        </w:txbxContent>
                      </v:textbox>
                    </v:shape>
                  </w:pict>
                </mc:Fallback>
              </mc:AlternateContent>
            </w:r>
            <w:r>
              <w:rPr>
                <w:rFonts w:hint="default" w:ascii="Times New Roman" w:hAnsi="Times New Roman" w:eastAsia="宋体" w:cs="Times New Roman"/>
                <w:color w:val="auto"/>
                <w:sz w:val="24"/>
                <w:szCs w:val="24"/>
              </w:rPr>
              <w:drawing>
                <wp:inline distT="0" distB="0" distL="114300" distR="114300">
                  <wp:extent cx="4819015" cy="3437255"/>
                  <wp:effectExtent l="9525" t="9525" r="10160" b="20320"/>
                  <wp:docPr id="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1"/>
                          <pic:cNvPicPr>
                            <a:picLocks noChangeAspect="1"/>
                          </pic:cNvPicPr>
                        </pic:nvPicPr>
                        <pic:blipFill>
                          <a:blip r:embed="rId7"/>
                          <a:stretch>
                            <a:fillRect/>
                          </a:stretch>
                        </pic:blipFill>
                        <pic:spPr>
                          <a:xfrm>
                            <a:off x="0" y="0"/>
                            <a:ext cx="4819015" cy="3437255"/>
                          </a:xfrm>
                          <a:prstGeom prst="rect">
                            <a:avLst/>
                          </a:prstGeom>
                          <a:noFill/>
                          <a:ln w="9525" cap="flat" cmpd="sng">
                            <a:solidFill>
                              <a:srgbClr val="000000"/>
                            </a:solidFill>
                            <a:prstDash val="solid"/>
                            <a:round/>
                            <a:headEnd type="none" w="med" len="med"/>
                            <a:tailEnd type="none" w="med" len="med"/>
                          </a:ln>
                        </pic:spPr>
                      </pic:pic>
                    </a:graphicData>
                  </a:graphic>
                </wp:inline>
              </w:drawing>
            </w:r>
          </w:p>
          <w:p w14:paraId="662FBBDF">
            <w:pPr>
              <w:spacing w:line="360" w:lineRule="auto"/>
              <w:jc w:val="center"/>
              <w:rPr>
                <w:rFonts w:hint="default" w:ascii="Times New Roman" w:hAnsi="Times New Roman" w:eastAsia="Times New Roman" w:cs="Times New Roman"/>
                <w:b/>
                <w:color w:val="auto"/>
                <w:sz w:val="24"/>
                <w:szCs w:val="24"/>
                <w:lang w:val="en-US" w:eastAsia="zh-CN"/>
              </w:rPr>
            </w:pPr>
            <w:r>
              <w:rPr>
                <w:rFonts w:hint="default" w:ascii="Times New Roman" w:hAnsi="Times New Roman" w:eastAsia="宋体" w:cs="Times New Roman"/>
                <w:b/>
                <w:color w:val="auto"/>
                <w:sz w:val="24"/>
                <w:szCs w:val="24"/>
                <w:lang w:val="en-US" w:eastAsia="zh-CN"/>
              </w:rPr>
              <w:t>图</w:t>
            </w:r>
            <w:r>
              <w:rPr>
                <w:rFonts w:hint="eastAsia" w:ascii="Times New Roman" w:hAnsi="Times New Roman" w:eastAsia="宋体" w:cs="Times New Roman"/>
                <w:b/>
                <w:color w:val="auto"/>
                <w:sz w:val="24"/>
                <w:szCs w:val="24"/>
                <w:lang w:val="en-US" w:eastAsia="zh-CN"/>
              </w:rPr>
              <w:t>1-1</w:t>
            </w:r>
            <w:r>
              <w:rPr>
                <w:rFonts w:hint="default" w:ascii="Times New Roman" w:hAnsi="Times New Roman" w:eastAsia="Times New Roman" w:cs="Times New Roman"/>
                <w:b/>
                <w:color w:val="auto"/>
                <w:sz w:val="24"/>
                <w:szCs w:val="24"/>
                <w:lang w:val="en-US" w:eastAsia="zh-CN"/>
              </w:rPr>
              <w:t xml:space="preserve"> </w:t>
            </w:r>
            <w:r>
              <w:rPr>
                <w:rFonts w:hint="default" w:ascii="Times New Roman" w:hAnsi="Times New Roman" w:eastAsia="宋体" w:cs="Times New Roman"/>
                <w:b/>
                <w:color w:val="auto"/>
                <w:sz w:val="24"/>
                <w:szCs w:val="24"/>
                <w:lang w:val="en-US" w:eastAsia="zh-CN"/>
              </w:rPr>
              <w:t>项目与达州市生态保护红线的位置关系图</w:t>
            </w:r>
          </w:p>
          <w:p w14:paraId="49615F23">
            <w:pPr>
              <w:snapToGrid w:val="0"/>
              <w:spacing w:line="360" w:lineRule="auto"/>
              <w:jc w:val="center"/>
              <w:rPr>
                <w:rFonts w:hint="default" w:ascii="Times New Roman" w:hAnsi="Times New Roman" w:eastAsia="Times New Roman" w:cs="Times New Roman"/>
                <w:color w:val="auto"/>
                <w:sz w:val="24"/>
                <w:szCs w:val="24"/>
              </w:rPr>
            </w:pPr>
            <w:r>
              <w:rPr>
                <w:color w:val="auto"/>
                <w:position w:val="-1"/>
              </w:rPr>
              <w:drawing>
                <wp:anchor distT="0" distB="0" distL="0" distR="0" simplePos="0" relativeHeight="251665408" behindDoc="0" locked="0" layoutInCell="1" allowOverlap="1">
                  <wp:simplePos x="0" y="0"/>
                  <wp:positionH relativeFrom="column">
                    <wp:posOffset>1822450</wp:posOffset>
                  </wp:positionH>
                  <wp:positionV relativeFrom="paragraph">
                    <wp:posOffset>1722755</wp:posOffset>
                  </wp:positionV>
                  <wp:extent cx="60960" cy="60960"/>
                  <wp:effectExtent l="0" t="0" r="15240" b="15240"/>
                  <wp:wrapNone/>
                  <wp:docPr id="9" name="IM 16"/>
                  <wp:cNvGraphicFramePr/>
                  <a:graphic xmlns:a="http://schemas.openxmlformats.org/drawingml/2006/main">
                    <a:graphicData uri="http://schemas.openxmlformats.org/drawingml/2006/picture">
                      <pic:pic xmlns:pic="http://schemas.openxmlformats.org/drawingml/2006/picture">
                        <pic:nvPicPr>
                          <pic:cNvPr id="9" name="IM 16"/>
                          <pic:cNvPicPr/>
                        </pic:nvPicPr>
                        <pic:blipFill>
                          <a:blip r:embed="rId6"/>
                          <a:stretch>
                            <a:fillRect/>
                          </a:stretch>
                        </pic:blipFill>
                        <pic:spPr>
                          <a:xfrm>
                            <a:off x="0" y="0"/>
                            <a:ext cx="60960" cy="60960"/>
                          </a:xfrm>
                          <a:prstGeom prst="rect">
                            <a:avLst/>
                          </a:prstGeom>
                        </pic:spPr>
                      </pic:pic>
                    </a:graphicData>
                  </a:graphic>
                </wp:anchor>
              </w:drawing>
            </w:r>
            <w:r>
              <w:rPr>
                <w:rFonts w:hint="default" w:ascii="Times New Roman" w:hAnsi="Times New Roman" w:eastAsia="宋体" w:cs="Times New Roman"/>
                <w:color w:val="auto"/>
                <w:sz w:val="24"/>
                <w:szCs w:val="24"/>
              </w:rPr>
              <mc:AlternateContent>
                <mc:Choice Requires="wps">
                  <w:drawing>
                    <wp:anchor distT="0" distB="0" distL="114300" distR="114300" simplePos="0" relativeHeight="251664384" behindDoc="0" locked="0" layoutInCell="1" allowOverlap="1">
                      <wp:simplePos x="0" y="0"/>
                      <wp:positionH relativeFrom="column">
                        <wp:posOffset>2016760</wp:posOffset>
                      </wp:positionH>
                      <wp:positionV relativeFrom="paragraph">
                        <wp:posOffset>2047240</wp:posOffset>
                      </wp:positionV>
                      <wp:extent cx="947420" cy="365760"/>
                      <wp:effectExtent l="178435" t="296545" r="17145" b="23495"/>
                      <wp:wrapNone/>
                      <wp:docPr id="38" name="圆角矩形标注 38"/>
                      <wp:cNvGraphicFramePr/>
                      <a:graphic xmlns:a="http://schemas.openxmlformats.org/drawingml/2006/main">
                        <a:graphicData uri="http://schemas.microsoft.com/office/word/2010/wordprocessingShape">
                          <wps:wsp>
                            <wps:cNvSpPr/>
                            <wps:spPr>
                              <a:xfrm>
                                <a:off x="0" y="0"/>
                                <a:ext cx="947420" cy="365760"/>
                              </a:xfrm>
                              <a:prstGeom prst="wedgeRoundRectCallout">
                                <a:avLst>
                                  <a:gd name="adj1" fmla="val -65683"/>
                                  <a:gd name="adj2" fmla="val -125520"/>
                                  <a:gd name="adj3" fmla="val 16667"/>
                                </a:avLst>
                              </a:prstGeom>
                              <a:noFill/>
                              <a:ln w="9525" cap="flat" cmpd="sng">
                                <a:solidFill>
                                  <a:srgbClr val="FF0000"/>
                                </a:solidFill>
                                <a:prstDash val="solid"/>
                                <a:miter/>
                                <a:headEnd type="none" w="med" len="med"/>
                                <a:tailEnd type="none" w="med" len="med"/>
                              </a:ln>
                            </wps:spPr>
                            <wps:txbx>
                              <w:txbxContent>
                                <w:p w14:paraId="3FAB09B7">
                                  <w:pPr>
                                    <w:rPr>
                                      <w:rFonts w:hint="eastAsia" w:ascii="宋体" w:hAnsi="Times New Roman" w:eastAsia="宋体"/>
                                      <w:b/>
                                      <w:color w:val="FF0000"/>
                                      <w:sz w:val="18"/>
                                      <w:szCs w:val="24"/>
                                      <w:lang w:val="en-US" w:eastAsia="zh-CN"/>
                                    </w:rPr>
                                  </w:pPr>
                                  <w:r>
                                    <w:rPr>
                                      <w:rFonts w:hint="eastAsia" w:ascii="宋体" w:hAnsi="Wingdings" w:eastAsia="宋体"/>
                                      <w:b/>
                                      <w:color w:val="FF0000"/>
                                      <w:sz w:val="18"/>
                                      <w:szCs w:val="24"/>
                                    </w:rPr>
                                    <w:t>本项目</w:t>
                                  </w:r>
                                  <w:r>
                                    <w:rPr>
                                      <w:rFonts w:hint="eastAsia" w:ascii="宋体" w:hAnsi="Wingdings" w:eastAsia="宋体"/>
                                      <w:b/>
                                      <w:color w:val="FF0000"/>
                                      <w:sz w:val="18"/>
                                      <w:szCs w:val="24"/>
                                      <w:lang w:val="en-US" w:eastAsia="zh-CN"/>
                                    </w:rPr>
                                    <w:t>所在地</w:t>
                                  </w:r>
                                </w:p>
                              </w:txbxContent>
                            </wps:txbx>
                            <wps:bodyPr upright="1"/>
                          </wps:wsp>
                        </a:graphicData>
                      </a:graphic>
                    </wp:anchor>
                  </w:drawing>
                </mc:Choice>
                <mc:Fallback>
                  <w:pict>
                    <v:shape id="_x0000_s1026" o:spid="_x0000_s1026" o:spt="62" type="#_x0000_t62" style="position:absolute;left:0pt;margin-left:158.8pt;margin-top:161.2pt;height:28.8pt;width:74.6pt;z-index:251664384;mso-width-relative:page;mso-height-relative:page;" filled="f" stroked="t" coordsize="21600,21600" o:gfxdata="UEsDBAoAAAAAAIdO4kAAAAAAAAAAAAAAAAAEAAAAZHJzL1BLAwQUAAAACACHTuJAYlnu4NkAAAAL&#10;AQAADwAAAGRycy9kb3ducmV2LnhtbE2PwU7DMBBE70j9B2srcaN20sqNQpwekOCEUGkr9era2yQi&#10;tqPYacrfs5zgtrszmn1T7e6uZzccYxe8gmwlgKE3wXa+UXA6vj4VwGLS3uo+eFTwjRF29eKh0qUN&#10;s//E2yE1jEJ8LLWCNqWh5DyaFp2OqzCgJ+0aRqcTrWPD7ahnCnc9z4WQ3OnO04dWD/jSovk6TE7B&#10;uXib5HlOx3dx/Ri2673Zz41R6nGZiWdgCe/pzwy/+IQONTFdwuRtZL2CdbaVZKUhzzfAyLGRkspc&#10;6FIIAbyu+P8O9Q9QSwMEFAAAAAgAh07iQL4y/I1RAgAAlgQAAA4AAABkcnMvZTJvRG9jLnhtbK1U&#10;zXLTMBC+M8M7aHRvHCe1UzJxemgIFwY6LTyAYsm2GP2NpMTJC8CdMzN0uABnzjxOC4/BSjZpWi45&#10;kIOz8q6+/b5vJc/Ot1KgDbOOa1XgdDDEiKlSU67qAr99szw5w8h5oigRWrEC75jD5/OnT2atmbKR&#10;brSgzCIAUW7amgI33ptpkriyYZK4gTZMQbLSVhIPS1sn1JIW0KVIRsNhnrTaUmN1yZyDt4suiXtE&#10;ewygripesoUu15Ip36FaJogHSa7hxuF5ZFtVrPSvq8oxj0SBQamPT2gC8So8k/mMTGtLTMPLngI5&#10;hsIjTZJwBU33UAviCVpb/g+U5KXVTld+UGqZdEKiI6AiHT7y5rohhkUtYLUze9Pd/4MtX20uLeK0&#10;wGOYuyISJn776f3vrx9/ff5++/PL3c2Hux/fECTBqda4KWy4Npe2XzkIg+xtZWX4B0FoG93d7d1l&#10;W49KePnsdHI6At9LSI3zbJJH95P7zcY6/4JpiUJQ4JbRml3ptaJXMMYLIoRe+2gy2bx0PrpNe8qE&#10;vksxqqSA4W2IQCd5lp+N++keFI0eFKWjLANG3Rk4qBofVqV5nk9CDTDtG0P0l2tgofSSCxFRhEIt&#10;KM1GGegkcDsqOJUQSgMOO1VH+k4LTsOWsNnZenUhLALWBV4uh/Drmz0oC/0WxDVdXUx1vCX3zMbe&#10;DSP0uaLI7wwMUcHlxYGMZBQjweCuhyhWesLFMZWgUygQHubeTTpEfrvaAkwIV5ru4PisjeV1AyNL&#10;I/WQgeMaHeuvVrgPh+sIev85mf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Ylnu4NkAAAALAQAA&#10;DwAAAAAAAAABACAAAAAiAAAAZHJzL2Rvd25yZXYueG1sUEsBAhQAFAAAAAgAh07iQL4y/I1RAgAA&#10;lgQAAA4AAAAAAAAAAQAgAAAAKAEAAGRycy9lMm9Eb2MueG1sUEsFBgAAAAAGAAYAWQEAAOsFAAAA&#10;AA==&#10;" adj="-3388,-16312,14400">
                      <v:fill on="f" focussize="0,0"/>
                      <v:stroke color="#FF0000" joinstyle="miter"/>
                      <v:imagedata o:title=""/>
                      <o:lock v:ext="edit" aspectratio="f"/>
                      <v:textbox>
                        <w:txbxContent>
                          <w:p w14:paraId="3FAB09B7">
                            <w:pPr>
                              <w:rPr>
                                <w:rFonts w:hint="eastAsia" w:ascii="宋体" w:hAnsi="Times New Roman" w:eastAsia="宋体"/>
                                <w:b/>
                                <w:color w:val="FF0000"/>
                                <w:sz w:val="18"/>
                                <w:szCs w:val="24"/>
                                <w:lang w:val="en-US" w:eastAsia="zh-CN"/>
                              </w:rPr>
                            </w:pPr>
                            <w:r>
                              <w:rPr>
                                <w:rFonts w:hint="eastAsia" w:ascii="宋体" w:hAnsi="Wingdings" w:eastAsia="宋体"/>
                                <w:b/>
                                <w:color w:val="FF0000"/>
                                <w:sz w:val="18"/>
                                <w:szCs w:val="24"/>
                              </w:rPr>
                              <w:t>本项目</w:t>
                            </w:r>
                            <w:r>
                              <w:rPr>
                                <w:rFonts w:hint="eastAsia" w:ascii="宋体" w:hAnsi="Wingdings" w:eastAsia="宋体"/>
                                <w:b/>
                                <w:color w:val="FF0000"/>
                                <w:sz w:val="18"/>
                                <w:szCs w:val="24"/>
                                <w:lang w:val="en-US" w:eastAsia="zh-CN"/>
                              </w:rPr>
                              <w:t>所在地</w:t>
                            </w:r>
                          </w:p>
                        </w:txbxContent>
                      </v:textbox>
                    </v:shape>
                  </w:pict>
                </mc:Fallback>
              </mc:AlternateContent>
            </w:r>
            <w:r>
              <w:rPr>
                <w:rFonts w:hint="default" w:ascii="Times New Roman" w:hAnsi="Times New Roman" w:eastAsia="宋体" w:cs="Times New Roman"/>
                <w:color w:val="auto"/>
                <w:sz w:val="24"/>
                <w:szCs w:val="24"/>
              </w:rPr>
              <w:drawing>
                <wp:inline distT="0" distB="0" distL="114300" distR="114300">
                  <wp:extent cx="4674235" cy="3314700"/>
                  <wp:effectExtent l="9525" t="9525" r="21590" b="9525"/>
                  <wp:docPr id="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2"/>
                          <pic:cNvPicPr>
                            <a:picLocks noChangeAspect="1"/>
                          </pic:cNvPicPr>
                        </pic:nvPicPr>
                        <pic:blipFill>
                          <a:blip r:embed="rId8"/>
                          <a:stretch>
                            <a:fillRect/>
                          </a:stretch>
                        </pic:blipFill>
                        <pic:spPr>
                          <a:xfrm>
                            <a:off x="0" y="0"/>
                            <a:ext cx="4674235" cy="3314700"/>
                          </a:xfrm>
                          <a:prstGeom prst="rect">
                            <a:avLst/>
                          </a:prstGeom>
                          <a:noFill/>
                          <a:ln w="9525" cap="flat" cmpd="sng">
                            <a:solidFill>
                              <a:srgbClr val="000000"/>
                            </a:solidFill>
                            <a:prstDash val="solid"/>
                            <a:round/>
                            <a:headEnd type="none" w="med" len="med"/>
                            <a:tailEnd type="none" w="med" len="med"/>
                          </a:ln>
                        </pic:spPr>
                      </pic:pic>
                    </a:graphicData>
                  </a:graphic>
                </wp:inline>
              </w:drawing>
            </w:r>
          </w:p>
          <w:p w14:paraId="5EB0FB51">
            <w:pPr>
              <w:autoSpaceDE w:val="0"/>
              <w:autoSpaceDN w:val="0"/>
              <w:adjustRightInd w:val="0"/>
              <w:snapToGrid w:val="0"/>
              <w:spacing w:line="360" w:lineRule="auto"/>
              <w:jc w:val="center"/>
              <w:rPr>
                <w:rFonts w:cs="Times New Roman"/>
                <w:bCs/>
                <w:color w:val="auto"/>
                <w:sz w:val="24"/>
                <w:szCs w:val="24"/>
                <w:lang w:bidi="en-US"/>
              </w:rPr>
            </w:pPr>
            <w:r>
              <w:rPr>
                <w:rFonts w:hint="default" w:ascii="Times New Roman" w:hAnsi="Times New Roman" w:eastAsia="宋体" w:cs="Times New Roman"/>
                <w:b/>
                <w:color w:val="auto"/>
                <w:sz w:val="24"/>
                <w:szCs w:val="24"/>
                <w:lang w:val="en-US" w:eastAsia="zh-CN"/>
              </w:rPr>
              <w:t>图</w:t>
            </w:r>
            <w:r>
              <w:rPr>
                <w:rFonts w:hint="eastAsia" w:ascii="Times New Roman" w:hAnsi="Times New Roman" w:eastAsia="宋体" w:cs="Times New Roman"/>
                <w:b/>
                <w:color w:val="auto"/>
                <w:sz w:val="24"/>
                <w:szCs w:val="24"/>
                <w:lang w:val="en-US" w:eastAsia="zh-CN"/>
              </w:rPr>
              <w:t>1-2</w:t>
            </w:r>
            <w:r>
              <w:rPr>
                <w:rFonts w:hint="default" w:ascii="Times New Roman" w:hAnsi="Times New Roman" w:eastAsia="Times New Roman" w:cs="Times New Roman"/>
                <w:b/>
                <w:color w:val="auto"/>
                <w:sz w:val="24"/>
                <w:szCs w:val="24"/>
                <w:lang w:val="en-US" w:eastAsia="zh-CN"/>
              </w:rPr>
              <w:t xml:space="preserve"> </w:t>
            </w:r>
            <w:r>
              <w:rPr>
                <w:rFonts w:hint="default" w:ascii="Times New Roman" w:hAnsi="Times New Roman" w:eastAsia="宋体" w:cs="Times New Roman"/>
                <w:b/>
                <w:color w:val="auto"/>
                <w:sz w:val="24"/>
                <w:szCs w:val="24"/>
                <w:lang w:val="en-US" w:eastAsia="zh-CN"/>
              </w:rPr>
              <w:t>项目与达州市生态空间的位置关系图</w:t>
            </w:r>
            <w:r>
              <w:rPr>
                <w:rFonts w:hint="eastAsia" w:cs="Times New Roman"/>
                <w:b/>
                <w:color w:val="auto"/>
                <w:sz w:val="24"/>
                <w:szCs w:val="24"/>
                <w:lang w:val="en-US" w:eastAsia="zh-CN"/>
              </w:rPr>
              <w:t xml:space="preserve"> </w:t>
            </w:r>
          </w:p>
          <w:p w14:paraId="7E8BBC36">
            <w:pPr>
              <w:keepNext w:val="0"/>
              <w:keepLines w:val="0"/>
              <w:pageBreakBefore w:val="0"/>
              <w:widowControl w:val="0"/>
              <w:kinsoku/>
              <w:wordWrap/>
              <w:overflowPunct/>
              <w:topLinePunct w:val="0"/>
              <w:autoSpaceDE/>
              <w:autoSpaceDN/>
              <w:bidi w:val="0"/>
              <w:adjustRightInd/>
              <w:snapToGrid/>
              <w:spacing w:line="312" w:lineRule="auto"/>
              <w:ind w:firstLine="482" w:firstLineChars="200"/>
              <w:textAlignment w:val="auto"/>
              <w:rPr>
                <w:rFonts w:cs="Times New Roman"/>
                <w:b/>
                <w:bCs/>
                <w:color w:val="auto"/>
                <w:sz w:val="24"/>
                <w:szCs w:val="24"/>
              </w:rPr>
            </w:pPr>
            <w:r>
              <w:rPr>
                <w:rFonts w:cs="Times New Roman"/>
                <w:b/>
                <w:bCs/>
                <w:color w:val="auto"/>
                <w:sz w:val="24"/>
                <w:szCs w:val="24"/>
              </w:rPr>
              <w:t>由图1-1、图1-2可知，本项目位于</w:t>
            </w:r>
            <w:r>
              <w:rPr>
                <w:rFonts w:hint="eastAsia" w:cs="Times New Roman"/>
                <w:b/>
                <w:bCs/>
                <w:color w:val="auto"/>
                <w:sz w:val="24"/>
                <w:szCs w:val="24"/>
                <w:lang w:eastAsia="zh-CN"/>
              </w:rPr>
              <w:t>达州市通川区东岳镇虹桥社区二组</w:t>
            </w:r>
            <w:r>
              <w:rPr>
                <w:rFonts w:cs="Times New Roman"/>
                <w:b/>
                <w:bCs/>
                <w:color w:val="auto"/>
                <w:sz w:val="24"/>
                <w:szCs w:val="24"/>
              </w:rPr>
              <w:t>，不涉及达州市生态保护红线和一般生态空间。</w:t>
            </w:r>
          </w:p>
          <w:p w14:paraId="70877128">
            <w:pPr>
              <w:keepNext w:val="0"/>
              <w:keepLines w:val="0"/>
              <w:pageBreakBefore w:val="0"/>
              <w:widowControl w:val="0"/>
              <w:kinsoku/>
              <w:wordWrap/>
              <w:overflowPunct/>
              <w:topLinePunct w:val="0"/>
              <w:autoSpaceDE/>
              <w:autoSpaceDN/>
              <w:bidi w:val="0"/>
              <w:adjustRightInd/>
              <w:snapToGrid/>
              <w:spacing w:line="312" w:lineRule="auto"/>
              <w:ind w:firstLine="480" w:firstLineChars="200"/>
              <w:textAlignment w:val="auto"/>
              <w:rPr>
                <w:rFonts w:cs="Times New Roman"/>
                <w:color w:val="auto"/>
                <w:sz w:val="24"/>
                <w:szCs w:val="24"/>
              </w:rPr>
            </w:pPr>
            <w:r>
              <w:rPr>
                <w:rFonts w:cs="Times New Roman"/>
                <w:color w:val="auto"/>
                <w:sz w:val="24"/>
                <w:szCs w:val="24"/>
              </w:rPr>
              <w:t>本项目为建筑用石加工项目，</w:t>
            </w:r>
            <w:r>
              <w:rPr>
                <w:rFonts w:hint="default" w:ascii="Times New Roman" w:hAnsi="Times New Roman" w:eastAsia="宋体" w:cs="Times New Roman"/>
                <w:color w:val="auto"/>
                <w:sz w:val="24"/>
                <w:szCs w:val="24"/>
                <w:lang w:val="en-US" w:eastAsia="zh-CN"/>
              </w:rPr>
              <w:t>根据《达州市2023年环境空气质量状况》，</w:t>
            </w:r>
            <w:r>
              <w:rPr>
                <w:rFonts w:hint="eastAsia" w:ascii="Times New Roman" w:hAnsi="Times New Roman" w:eastAsia="宋体" w:cs="Times New Roman"/>
                <w:color w:val="auto"/>
                <w:sz w:val="24"/>
                <w:szCs w:val="24"/>
                <w:lang w:val="en-US" w:eastAsia="zh-CN"/>
              </w:rPr>
              <w:t>项目区域</w:t>
            </w:r>
            <w:r>
              <w:rPr>
                <w:rFonts w:hint="default" w:ascii="Times New Roman" w:hAnsi="Times New Roman" w:eastAsia="宋体" w:cs="Times New Roman"/>
                <w:color w:val="auto"/>
                <w:sz w:val="24"/>
                <w:szCs w:val="24"/>
                <w:lang w:val="en-US" w:eastAsia="zh-CN"/>
              </w:rPr>
              <w:t>属于达标区；</w:t>
            </w:r>
            <w:r>
              <w:rPr>
                <w:rFonts w:cs="Times New Roman"/>
                <w:color w:val="auto"/>
                <w:sz w:val="24"/>
                <w:szCs w:val="24"/>
              </w:rPr>
              <w:t>项目生活污水通过定期拉运的方式进入东岳场镇污水处理厂处理，生产废水经</w:t>
            </w:r>
            <w:r>
              <w:rPr>
                <w:rFonts w:hint="eastAsia" w:cs="Times New Roman"/>
                <w:color w:val="auto"/>
                <w:sz w:val="24"/>
                <w:szCs w:val="24"/>
                <w:lang w:eastAsia="zh-CN"/>
              </w:rPr>
              <w:t>沉淀后</w:t>
            </w:r>
            <w:r>
              <w:rPr>
                <w:rFonts w:cs="Times New Roman"/>
                <w:color w:val="auto"/>
                <w:sz w:val="24"/>
                <w:szCs w:val="24"/>
              </w:rPr>
              <w:t>全部循环使用，不外排；沉淀池</w:t>
            </w:r>
            <w:r>
              <w:rPr>
                <w:rFonts w:hint="eastAsia" w:cs="Times New Roman"/>
                <w:color w:val="auto"/>
                <w:sz w:val="24"/>
                <w:szCs w:val="24"/>
                <w:lang w:eastAsia="zh-CN"/>
              </w:rPr>
              <w:t>泥沙</w:t>
            </w:r>
            <w:r>
              <w:rPr>
                <w:rFonts w:cs="Times New Roman"/>
                <w:color w:val="auto"/>
                <w:sz w:val="24"/>
                <w:szCs w:val="24"/>
              </w:rPr>
              <w:t>经板框压滤机压成泥饼外售；项目废气主要为石材加工粉尘、</w:t>
            </w:r>
            <w:r>
              <w:rPr>
                <w:rFonts w:cs="Times New Roman"/>
                <w:bCs/>
                <w:color w:val="auto"/>
                <w:sz w:val="24"/>
                <w:szCs w:val="24"/>
              </w:rPr>
              <w:t>车辆运输</w:t>
            </w:r>
            <w:r>
              <w:rPr>
                <w:rFonts w:hint="eastAsia" w:cs="Times New Roman"/>
                <w:bCs/>
                <w:color w:val="auto"/>
                <w:sz w:val="24"/>
                <w:szCs w:val="24"/>
                <w:lang w:eastAsia="zh-CN"/>
              </w:rPr>
              <w:t>扬</w:t>
            </w:r>
            <w:r>
              <w:rPr>
                <w:rFonts w:cs="Times New Roman"/>
                <w:bCs/>
                <w:color w:val="auto"/>
                <w:sz w:val="24"/>
                <w:szCs w:val="24"/>
              </w:rPr>
              <w:t>尘</w:t>
            </w:r>
            <w:r>
              <w:rPr>
                <w:rFonts w:cs="Times New Roman"/>
                <w:color w:val="auto"/>
                <w:sz w:val="24"/>
                <w:szCs w:val="24"/>
              </w:rPr>
              <w:t>，排放量较小，不会突破大气环境质量底线；项目用地不涉及土壤污染风险；项目的建设不涉及高污染燃料的使用，生活用水和生产用水均采用自来水，用电由市政电网供给。</w:t>
            </w:r>
          </w:p>
          <w:p w14:paraId="04E19E17">
            <w:pPr>
              <w:keepNext w:val="0"/>
              <w:keepLines w:val="0"/>
              <w:pageBreakBefore w:val="0"/>
              <w:widowControl w:val="0"/>
              <w:kinsoku/>
              <w:wordWrap/>
              <w:overflowPunct/>
              <w:topLinePunct w:val="0"/>
              <w:autoSpaceDE/>
              <w:autoSpaceDN/>
              <w:bidi w:val="0"/>
              <w:adjustRightInd/>
              <w:snapToGrid/>
              <w:spacing w:line="312" w:lineRule="auto"/>
              <w:ind w:firstLine="482" w:firstLineChars="200"/>
              <w:textAlignment w:val="auto"/>
              <w:rPr>
                <w:rFonts w:cs="Times New Roman"/>
                <w:b/>
                <w:bCs/>
                <w:color w:val="auto"/>
                <w:sz w:val="24"/>
                <w:szCs w:val="24"/>
              </w:rPr>
            </w:pPr>
            <w:r>
              <w:rPr>
                <w:rFonts w:cs="Times New Roman"/>
                <w:b/>
                <w:bCs/>
                <w:color w:val="auto"/>
                <w:sz w:val="24"/>
                <w:szCs w:val="24"/>
              </w:rPr>
              <w:t>综上，本项目的建设符合</w:t>
            </w:r>
            <w:r>
              <w:rPr>
                <w:rFonts w:hint="eastAsia" w:cs="Times New Roman"/>
                <w:b/>
                <w:bCs/>
                <w:color w:val="auto"/>
                <w:sz w:val="24"/>
                <w:szCs w:val="24"/>
                <w:lang w:eastAsia="zh-CN"/>
              </w:rPr>
              <w:t>“</w:t>
            </w:r>
            <w:r>
              <w:rPr>
                <w:rFonts w:cs="Times New Roman"/>
                <w:b/>
                <w:bCs/>
                <w:color w:val="auto"/>
                <w:sz w:val="24"/>
                <w:szCs w:val="24"/>
              </w:rPr>
              <w:t>达州市生态环境分区管控</w:t>
            </w:r>
            <w:r>
              <w:rPr>
                <w:rFonts w:hint="eastAsia" w:cs="Times New Roman"/>
                <w:b/>
                <w:bCs/>
                <w:color w:val="auto"/>
                <w:sz w:val="24"/>
                <w:szCs w:val="24"/>
                <w:lang w:eastAsia="zh-CN"/>
              </w:rPr>
              <w:t>”</w:t>
            </w:r>
            <w:r>
              <w:rPr>
                <w:rFonts w:cs="Times New Roman"/>
                <w:b/>
                <w:bCs/>
                <w:color w:val="auto"/>
                <w:sz w:val="24"/>
                <w:szCs w:val="24"/>
              </w:rPr>
              <w:t>的相关管理要求。</w:t>
            </w:r>
          </w:p>
          <w:p w14:paraId="790B69FC">
            <w:pPr>
              <w:keepNext w:val="0"/>
              <w:keepLines w:val="0"/>
              <w:pageBreakBefore w:val="0"/>
              <w:widowControl w:val="0"/>
              <w:kinsoku/>
              <w:wordWrap/>
              <w:overflowPunct/>
              <w:topLinePunct w:val="0"/>
              <w:autoSpaceDE/>
              <w:autoSpaceDN/>
              <w:bidi w:val="0"/>
              <w:adjustRightInd/>
              <w:snapToGrid/>
              <w:spacing w:line="312" w:lineRule="auto"/>
              <w:ind w:firstLine="482" w:firstLineChars="200"/>
              <w:textAlignment w:val="auto"/>
              <w:rPr>
                <w:rFonts w:cs="Times New Roman"/>
                <w:b/>
                <w:bCs/>
                <w:color w:val="auto"/>
                <w:sz w:val="24"/>
                <w:szCs w:val="24"/>
              </w:rPr>
            </w:pPr>
            <w:r>
              <w:rPr>
                <w:rFonts w:cs="Times New Roman"/>
                <w:b/>
                <w:bCs/>
                <w:color w:val="auto"/>
                <w:sz w:val="24"/>
                <w:szCs w:val="24"/>
              </w:rPr>
              <w:t>（</w:t>
            </w:r>
            <w:r>
              <w:rPr>
                <w:rFonts w:hint="eastAsia" w:cs="Times New Roman"/>
                <w:b/>
                <w:bCs/>
                <w:color w:val="auto"/>
                <w:sz w:val="24"/>
                <w:szCs w:val="24"/>
                <w:lang w:val="en-US" w:eastAsia="zh-CN"/>
              </w:rPr>
              <w:t>2</w:t>
            </w:r>
            <w:r>
              <w:rPr>
                <w:rFonts w:cs="Times New Roman"/>
                <w:b/>
                <w:bCs/>
                <w:color w:val="auto"/>
                <w:sz w:val="24"/>
                <w:szCs w:val="24"/>
              </w:rPr>
              <w:t>）项目所属环境管控单元</w:t>
            </w:r>
          </w:p>
          <w:p w14:paraId="2F57BC1F">
            <w:pPr>
              <w:keepNext w:val="0"/>
              <w:keepLines w:val="0"/>
              <w:pageBreakBefore w:val="0"/>
              <w:widowControl w:val="0"/>
              <w:kinsoku/>
              <w:wordWrap/>
              <w:overflowPunct/>
              <w:topLinePunct w:val="0"/>
              <w:autoSpaceDE/>
              <w:autoSpaceDN/>
              <w:bidi w:val="0"/>
              <w:adjustRightInd/>
              <w:snapToGrid/>
              <w:spacing w:line="312" w:lineRule="auto"/>
              <w:ind w:firstLine="480" w:firstLineChars="200"/>
              <w:textAlignment w:val="auto"/>
              <w:rPr>
                <w:rFonts w:cs="Times New Roman"/>
                <w:color w:val="auto"/>
                <w:sz w:val="24"/>
                <w:szCs w:val="24"/>
              </w:rPr>
            </w:pPr>
            <w:r>
              <w:rPr>
                <w:rFonts w:cs="Times New Roman"/>
                <w:color w:val="auto"/>
                <w:sz w:val="24"/>
                <w:szCs w:val="24"/>
              </w:rPr>
              <w:t>根据达州市人民政府《关于加强生态环境分区管控的通知》（达市府办函〔2024〕31号），达州市共划定47个综合环境管控单元，其中优先保护单元18个，单元面积4334.97km</w:t>
            </w:r>
            <w:r>
              <w:rPr>
                <w:rFonts w:cs="Times New Roman"/>
                <w:color w:val="auto"/>
                <w:sz w:val="24"/>
                <w:szCs w:val="24"/>
                <w:vertAlign w:val="superscript"/>
              </w:rPr>
              <w:t>2</w:t>
            </w:r>
            <w:r>
              <w:rPr>
                <w:rFonts w:cs="Times New Roman"/>
                <w:color w:val="auto"/>
                <w:sz w:val="24"/>
                <w:szCs w:val="24"/>
              </w:rPr>
              <w:t>，占国土面积的26.15%；城镇重点管控单元7个</w:t>
            </w:r>
            <w:r>
              <w:rPr>
                <w:rFonts w:hint="eastAsia" w:cs="Times New Roman"/>
                <w:color w:val="auto"/>
                <w:sz w:val="24"/>
                <w:szCs w:val="24"/>
                <w:lang w:eastAsia="zh-CN"/>
              </w:rPr>
              <w:t>（</w:t>
            </w:r>
            <w:r>
              <w:rPr>
                <w:rFonts w:cs="Times New Roman"/>
                <w:color w:val="auto"/>
                <w:sz w:val="24"/>
                <w:szCs w:val="24"/>
              </w:rPr>
              <w:t>包括达川区中心城区、通川区中心城区宣汉县中心城区、大竹县中心城区、开江县中心城区、渠县中心城区、万源市中心城区</w:t>
            </w:r>
            <w:r>
              <w:rPr>
                <w:rFonts w:hint="eastAsia" w:cs="Times New Roman"/>
                <w:color w:val="auto"/>
                <w:sz w:val="24"/>
                <w:szCs w:val="24"/>
                <w:lang w:eastAsia="zh-CN"/>
              </w:rPr>
              <w:t>）</w:t>
            </w:r>
            <w:r>
              <w:rPr>
                <w:rFonts w:cs="Times New Roman"/>
                <w:color w:val="auto"/>
                <w:sz w:val="24"/>
                <w:szCs w:val="24"/>
              </w:rPr>
              <w:t>，单元面积429.53km</w:t>
            </w:r>
            <w:r>
              <w:rPr>
                <w:rFonts w:cs="Times New Roman"/>
                <w:color w:val="auto"/>
                <w:sz w:val="24"/>
                <w:szCs w:val="24"/>
                <w:vertAlign w:val="superscript"/>
              </w:rPr>
              <w:t>2</w:t>
            </w:r>
            <w:r>
              <w:rPr>
                <w:rFonts w:cs="Times New Roman"/>
                <w:color w:val="auto"/>
                <w:sz w:val="24"/>
                <w:szCs w:val="24"/>
              </w:rPr>
              <w:t>，占国土面积的2.58%；工业重点管控单元12个，单元面积116.92km</w:t>
            </w:r>
            <w:r>
              <w:rPr>
                <w:rFonts w:cs="Times New Roman"/>
                <w:color w:val="auto"/>
                <w:sz w:val="24"/>
                <w:szCs w:val="24"/>
                <w:vertAlign w:val="superscript"/>
              </w:rPr>
              <w:t>2</w:t>
            </w:r>
            <w:r>
              <w:rPr>
                <w:rFonts w:cs="Times New Roman"/>
                <w:color w:val="auto"/>
                <w:sz w:val="24"/>
                <w:szCs w:val="24"/>
              </w:rPr>
              <w:t>，占国土面积的0.71%；要素重点管控单元3个，单元面积2829.45km</w:t>
            </w:r>
            <w:r>
              <w:rPr>
                <w:rFonts w:cs="Times New Roman"/>
                <w:color w:val="auto"/>
                <w:sz w:val="24"/>
                <w:szCs w:val="24"/>
                <w:vertAlign w:val="superscript"/>
              </w:rPr>
              <w:t>2</w:t>
            </w:r>
            <w:r>
              <w:rPr>
                <w:rFonts w:cs="Times New Roman"/>
                <w:color w:val="auto"/>
                <w:sz w:val="24"/>
                <w:szCs w:val="24"/>
              </w:rPr>
              <w:t>，占国土面积的17.06%；一般管控单元7个，单元面积8867.6km</w:t>
            </w:r>
            <w:r>
              <w:rPr>
                <w:rFonts w:cs="Times New Roman"/>
                <w:color w:val="auto"/>
                <w:sz w:val="24"/>
                <w:szCs w:val="24"/>
                <w:vertAlign w:val="superscript"/>
              </w:rPr>
              <w:t>2</w:t>
            </w:r>
            <w:r>
              <w:rPr>
                <w:rFonts w:cs="Times New Roman"/>
                <w:color w:val="auto"/>
                <w:sz w:val="24"/>
                <w:szCs w:val="24"/>
              </w:rPr>
              <w:t>，占国土面积的53.49%。</w:t>
            </w:r>
          </w:p>
          <w:p w14:paraId="481A75C0">
            <w:pPr>
              <w:keepNext w:val="0"/>
              <w:keepLines w:val="0"/>
              <w:pageBreakBefore w:val="0"/>
              <w:widowControl w:val="0"/>
              <w:kinsoku/>
              <w:wordWrap/>
              <w:overflowPunct/>
              <w:topLinePunct w:val="0"/>
              <w:autoSpaceDE/>
              <w:autoSpaceDN/>
              <w:bidi w:val="0"/>
              <w:adjustRightInd/>
              <w:snapToGrid/>
              <w:spacing w:line="312" w:lineRule="auto"/>
              <w:ind w:firstLine="480" w:firstLineChars="200"/>
              <w:textAlignment w:val="auto"/>
              <w:rPr>
                <w:rFonts w:cs="Times New Roman"/>
                <w:color w:val="auto"/>
                <w:sz w:val="24"/>
                <w:szCs w:val="24"/>
              </w:rPr>
            </w:pPr>
            <w:r>
              <w:rPr>
                <w:rFonts w:cs="Times New Roman"/>
                <w:color w:val="auto"/>
                <w:sz w:val="24"/>
                <w:szCs w:val="24"/>
              </w:rPr>
              <w:t>优先保护单元。以生态环境保护为主的区域，全市划分优先保护单元18个，主要包括生态保护红线、自然保护地、饮用水水源保护区等。</w:t>
            </w:r>
          </w:p>
          <w:p w14:paraId="1FE59919">
            <w:pPr>
              <w:keepNext w:val="0"/>
              <w:keepLines w:val="0"/>
              <w:pageBreakBefore w:val="0"/>
              <w:widowControl w:val="0"/>
              <w:kinsoku/>
              <w:wordWrap/>
              <w:overflowPunct/>
              <w:topLinePunct w:val="0"/>
              <w:autoSpaceDE/>
              <w:autoSpaceDN/>
              <w:bidi w:val="0"/>
              <w:adjustRightInd/>
              <w:snapToGrid/>
              <w:spacing w:line="312" w:lineRule="auto"/>
              <w:ind w:firstLine="480" w:firstLineChars="200"/>
              <w:textAlignment w:val="auto"/>
              <w:rPr>
                <w:rFonts w:cs="Times New Roman"/>
                <w:color w:val="auto"/>
                <w:sz w:val="24"/>
                <w:szCs w:val="24"/>
              </w:rPr>
            </w:pPr>
            <w:r>
              <w:rPr>
                <w:rFonts w:cs="Times New Roman"/>
                <w:color w:val="auto"/>
                <w:sz w:val="24"/>
                <w:szCs w:val="24"/>
              </w:rPr>
              <w:t>重点管控单元。涉及水、大气、土壤、自然资源等资源环境要素重点管控的区域，全市划分重点管控单元22个，主要包括人口密集的城镇规划区和产业集聚的工业园区（工业集聚区）等。</w:t>
            </w:r>
          </w:p>
          <w:p w14:paraId="2B24CE97">
            <w:pPr>
              <w:keepNext w:val="0"/>
              <w:keepLines w:val="0"/>
              <w:pageBreakBefore w:val="0"/>
              <w:widowControl w:val="0"/>
              <w:kinsoku/>
              <w:wordWrap/>
              <w:overflowPunct/>
              <w:topLinePunct w:val="0"/>
              <w:autoSpaceDE/>
              <w:autoSpaceDN/>
              <w:bidi w:val="0"/>
              <w:adjustRightInd/>
              <w:snapToGrid/>
              <w:spacing w:line="312" w:lineRule="auto"/>
              <w:ind w:firstLine="480" w:firstLineChars="200"/>
              <w:textAlignment w:val="auto"/>
              <w:rPr>
                <w:rFonts w:cs="Times New Roman"/>
                <w:color w:val="auto"/>
                <w:sz w:val="24"/>
                <w:szCs w:val="24"/>
              </w:rPr>
            </w:pPr>
            <w:r>
              <w:rPr>
                <w:rFonts w:cs="Times New Roman"/>
                <w:color w:val="auto"/>
                <w:sz w:val="24"/>
                <w:szCs w:val="24"/>
              </w:rPr>
              <w:t>一般管控单元。除优先保护单元和重点管控单元之外的其他区域，全市共划分一般管控单元7个。</w:t>
            </w:r>
          </w:p>
          <w:p w14:paraId="1C2BDED7">
            <w:pPr>
              <w:spacing w:line="360" w:lineRule="auto"/>
              <w:ind w:left="-1" w:leftChars="-38" w:hanging="79" w:hangingChars="33"/>
              <w:jc w:val="center"/>
              <w:rPr>
                <w:rFonts w:cs="Times New Roman"/>
                <w:bCs/>
                <w:color w:val="auto"/>
                <w:sz w:val="24"/>
                <w:szCs w:val="24"/>
              </w:rPr>
            </w:pPr>
            <w:r>
              <w:rPr>
                <w:rFonts w:hint="default" w:ascii="Times New Roman" w:hAnsi="Times New Roman" w:eastAsia="宋体" w:cs="Times New Roman"/>
                <w:color w:val="auto"/>
                <w:sz w:val="24"/>
                <w:szCs w:val="24"/>
              </w:rPr>
              <mc:AlternateContent>
                <mc:Choice Requires="wps">
                  <w:drawing>
                    <wp:anchor distT="0" distB="0" distL="114300" distR="114300" simplePos="0" relativeHeight="251667456" behindDoc="0" locked="0" layoutInCell="1" allowOverlap="1">
                      <wp:simplePos x="0" y="0"/>
                      <wp:positionH relativeFrom="column">
                        <wp:posOffset>2145030</wp:posOffset>
                      </wp:positionH>
                      <wp:positionV relativeFrom="paragraph">
                        <wp:posOffset>2274570</wp:posOffset>
                      </wp:positionV>
                      <wp:extent cx="947420" cy="365760"/>
                      <wp:effectExtent l="178435" t="296545" r="17145" b="23495"/>
                      <wp:wrapNone/>
                      <wp:docPr id="3" name="圆角矩形标注 3"/>
                      <wp:cNvGraphicFramePr/>
                      <a:graphic xmlns:a="http://schemas.openxmlformats.org/drawingml/2006/main">
                        <a:graphicData uri="http://schemas.microsoft.com/office/word/2010/wordprocessingShape">
                          <wps:wsp>
                            <wps:cNvSpPr/>
                            <wps:spPr>
                              <a:xfrm>
                                <a:off x="0" y="0"/>
                                <a:ext cx="947420" cy="365760"/>
                              </a:xfrm>
                              <a:prstGeom prst="wedgeRoundRectCallout">
                                <a:avLst>
                                  <a:gd name="adj1" fmla="val -65683"/>
                                  <a:gd name="adj2" fmla="val -125520"/>
                                  <a:gd name="adj3" fmla="val 16667"/>
                                </a:avLst>
                              </a:prstGeom>
                              <a:noFill/>
                              <a:ln w="9525" cap="flat" cmpd="sng">
                                <a:solidFill>
                                  <a:srgbClr val="FF0000"/>
                                </a:solidFill>
                                <a:prstDash val="solid"/>
                                <a:miter/>
                                <a:headEnd type="none" w="med" len="med"/>
                                <a:tailEnd type="none" w="med" len="med"/>
                              </a:ln>
                            </wps:spPr>
                            <wps:txbx>
                              <w:txbxContent>
                                <w:p w14:paraId="67CDE2F6">
                                  <w:pPr>
                                    <w:rPr>
                                      <w:rFonts w:hint="eastAsia" w:ascii="宋体" w:hAnsi="Times New Roman" w:eastAsia="宋体"/>
                                      <w:b/>
                                      <w:color w:val="FF0000"/>
                                      <w:sz w:val="18"/>
                                      <w:szCs w:val="24"/>
                                      <w:lang w:val="en-US" w:eastAsia="zh-CN"/>
                                    </w:rPr>
                                  </w:pPr>
                                  <w:r>
                                    <w:rPr>
                                      <w:rFonts w:hint="eastAsia" w:ascii="宋体" w:hAnsi="Wingdings" w:eastAsia="宋体"/>
                                      <w:b/>
                                      <w:color w:val="FF0000"/>
                                      <w:sz w:val="18"/>
                                      <w:szCs w:val="24"/>
                                    </w:rPr>
                                    <w:t>本项目</w:t>
                                  </w:r>
                                  <w:r>
                                    <w:rPr>
                                      <w:rFonts w:hint="eastAsia" w:ascii="宋体" w:hAnsi="Wingdings" w:eastAsia="宋体"/>
                                      <w:b/>
                                      <w:color w:val="FF0000"/>
                                      <w:sz w:val="18"/>
                                      <w:szCs w:val="24"/>
                                      <w:lang w:val="en-US" w:eastAsia="zh-CN"/>
                                    </w:rPr>
                                    <w:t>所在地</w:t>
                                  </w:r>
                                </w:p>
                              </w:txbxContent>
                            </wps:txbx>
                            <wps:bodyPr upright="1"/>
                          </wps:wsp>
                        </a:graphicData>
                      </a:graphic>
                    </wp:anchor>
                  </w:drawing>
                </mc:Choice>
                <mc:Fallback>
                  <w:pict>
                    <v:shape id="_x0000_s1026" o:spid="_x0000_s1026" o:spt="62" type="#_x0000_t62" style="position:absolute;left:0pt;margin-left:168.9pt;margin-top:179.1pt;height:28.8pt;width:74.6pt;z-index:251667456;mso-width-relative:page;mso-height-relative:page;" filled="f" stroked="t" coordsize="21600,21600" o:gfxdata="UEsDBAoAAAAAAIdO4kAAAAAAAAAAAAAAAAAEAAAAZHJzL1BLAwQUAAAACACHTuJA6V6s29kAAAAL&#10;AQAADwAAAGRycy9kb3ducmV2LnhtbE2PwU7DMBBE70j8g7WVuFE7DW2sEKcHJDghVFqkXl17m0SN&#10;7Sh2mvL3LCe4zWhHs2+q7c317Ipj7IJXkC0FMPQm2M43Cr4Or48SWEzaW90Hjwq+McK2vr+rdGnD&#10;7D/xuk8NoxIfS62gTWkoOY+mRafjMgzo6XYOo9OJ7NhwO+qZyl3PV0JsuNOdpw+tHvClRXPZT07B&#10;Ub5Nm+OcDu/i/DEU+c7s5sYo9bDIxDOwhLf0F4ZffEKHmphOYfI2sl5BnheEnkis5QoYJZ5kQetO&#10;JLK1BF5X/P+G+gdQSwMEFAAAAAgAh07iQD9CZJFRAgAAlAQAAA4AAABkcnMvZTJvRG9jLnhtbK1U&#10;zXLTMBC+M8M7aHRvnDiNUzJxemgIFwY6LTyAYsm2GP2NpMTOC8CdMzN0uABnzjxOC4/BSjZJWi49&#10;kIOz8q6+/b5vJc/PWynQllnHtcrxaDDEiKlCU66qHL99szo5w8h5oigRWrEc75jD54unT+aNmbFU&#10;11pQZhGAKDdrTI5r780sSVxRM0ncQBumIFlqK4mHpa0SakkD6FIk6XCYJY221FhdMOfg7bJL4h7R&#10;PgZQlyUv2FIXG8mU71AtE8SDJFdz4/Aisi1LVvjXZemYRyLHoNTHJzSBeB2eyWJOZpUlpuZFT4E8&#10;hsIDTZJwBU33UEviCdpY/g+U5IXVTpd+UGiZdEKiI6BiNHzgzXVNDItawGpn9qa7/wdbvNpeWsRp&#10;jscYKSJh4Lef3v/++vHX5++3P7/c3Xy4+/ENjYNPjXEzKL82l7ZfOQiD6La0MvyDHNRGb3d7b1nr&#10;UQEvn51OT1NwvYDUOJtMs+h9cthsrPMvmJYoBDluGK3Yld4oegVDvCBC6I2PFpPtS+ej17RnTOi7&#10;EUalFDC6LRHoJJtkZ5EzDOSoKL1XNEonE2DUnYCjKjDiADXKsmwaaoBp3xiiv1wDC6VXXIiIIhRq&#10;QOkknYBOAnejhDMJoTTgr1NVpO+04DRsCZudrdYXwiJgnePVagi/vtm9stBvSVzd1cVUx1tyz2zs&#10;XTNCnyuK/M7ADBVcXRzISEYxEgxueohipSdcPKYSdAoFwsPcu0mHyLfrFmBCuNZ0B4dnYyyvahjZ&#10;KFIPGTis0bH+YoXbcLyOoIePyeIP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6V6s29kAAAALAQAA&#10;DwAAAAAAAAABACAAAAAiAAAAZHJzL2Rvd25yZXYueG1sUEsBAhQAFAAAAAgAh07iQD9CZJFRAgAA&#10;lAQAAA4AAAAAAAAAAQAgAAAAKAEAAGRycy9lMm9Eb2MueG1sUEsFBgAAAAAGAAYAWQEAAOsFAAAA&#10;AA==&#10;" adj="-3388,-16312,14400">
                      <v:fill on="f" focussize="0,0"/>
                      <v:stroke color="#FF0000" joinstyle="miter"/>
                      <v:imagedata o:title=""/>
                      <o:lock v:ext="edit" aspectratio="f"/>
                      <v:textbox>
                        <w:txbxContent>
                          <w:p w14:paraId="67CDE2F6">
                            <w:pPr>
                              <w:rPr>
                                <w:rFonts w:hint="eastAsia" w:ascii="宋体" w:hAnsi="Times New Roman" w:eastAsia="宋体"/>
                                <w:b/>
                                <w:color w:val="FF0000"/>
                                <w:sz w:val="18"/>
                                <w:szCs w:val="24"/>
                                <w:lang w:val="en-US" w:eastAsia="zh-CN"/>
                              </w:rPr>
                            </w:pPr>
                            <w:r>
                              <w:rPr>
                                <w:rFonts w:hint="eastAsia" w:ascii="宋体" w:hAnsi="Wingdings" w:eastAsia="宋体"/>
                                <w:b/>
                                <w:color w:val="FF0000"/>
                                <w:sz w:val="18"/>
                                <w:szCs w:val="24"/>
                              </w:rPr>
                              <w:t>本项目</w:t>
                            </w:r>
                            <w:r>
                              <w:rPr>
                                <w:rFonts w:hint="eastAsia" w:ascii="宋体" w:hAnsi="Wingdings" w:eastAsia="宋体"/>
                                <w:b/>
                                <w:color w:val="FF0000"/>
                                <w:sz w:val="18"/>
                                <w:szCs w:val="24"/>
                                <w:lang w:val="en-US" w:eastAsia="zh-CN"/>
                              </w:rPr>
                              <w:t>所在地</w:t>
                            </w:r>
                          </w:p>
                        </w:txbxContent>
                      </v:textbox>
                    </v:shape>
                  </w:pict>
                </mc:Fallback>
              </mc:AlternateContent>
            </w:r>
            <w:r>
              <w:rPr>
                <w:color w:val="auto"/>
                <w:position w:val="-1"/>
              </w:rPr>
              <w:drawing>
                <wp:anchor distT="0" distB="0" distL="0" distR="0" simplePos="0" relativeHeight="251666432" behindDoc="0" locked="0" layoutInCell="1" allowOverlap="1">
                  <wp:simplePos x="0" y="0"/>
                  <wp:positionH relativeFrom="column">
                    <wp:posOffset>1951990</wp:posOffset>
                  </wp:positionH>
                  <wp:positionV relativeFrom="paragraph">
                    <wp:posOffset>1936115</wp:posOffset>
                  </wp:positionV>
                  <wp:extent cx="60960" cy="60960"/>
                  <wp:effectExtent l="0" t="0" r="15240" b="15240"/>
                  <wp:wrapNone/>
                  <wp:docPr id="10" name="IM 16"/>
                  <wp:cNvGraphicFramePr/>
                  <a:graphic xmlns:a="http://schemas.openxmlformats.org/drawingml/2006/main">
                    <a:graphicData uri="http://schemas.openxmlformats.org/drawingml/2006/picture">
                      <pic:pic xmlns:pic="http://schemas.openxmlformats.org/drawingml/2006/picture">
                        <pic:nvPicPr>
                          <pic:cNvPr id="10" name="IM 16"/>
                          <pic:cNvPicPr/>
                        </pic:nvPicPr>
                        <pic:blipFill>
                          <a:blip r:embed="rId6"/>
                          <a:stretch>
                            <a:fillRect/>
                          </a:stretch>
                        </pic:blipFill>
                        <pic:spPr>
                          <a:xfrm>
                            <a:off x="0" y="0"/>
                            <a:ext cx="60960" cy="60960"/>
                          </a:xfrm>
                          <a:prstGeom prst="rect">
                            <a:avLst/>
                          </a:prstGeom>
                        </pic:spPr>
                      </pic:pic>
                    </a:graphicData>
                  </a:graphic>
                </wp:anchor>
              </w:drawing>
            </w:r>
            <w:r>
              <w:rPr>
                <w:rFonts w:hint="default" w:ascii="Times New Roman" w:hAnsi="Times New Roman" w:eastAsia="宋体" w:cs="Times New Roman"/>
                <w:color w:val="auto"/>
                <w:sz w:val="24"/>
                <w:szCs w:val="24"/>
                <w:lang w:eastAsia="zh-CN"/>
              </w:rPr>
              <w:drawing>
                <wp:inline distT="0" distB="0" distL="114300" distR="114300">
                  <wp:extent cx="4888230" cy="3498215"/>
                  <wp:effectExtent l="9525" t="9525" r="17145" b="16510"/>
                  <wp:docPr id="36" name="图片 13" descr="达州市生态环境管控单元分布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3" descr="达州市生态环境管控单元分布图"/>
                          <pic:cNvPicPr>
                            <a:picLocks noChangeAspect="1"/>
                          </pic:cNvPicPr>
                        </pic:nvPicPr>
                        <pic:blipFill>
                          <a:blip r:embed="rId9"/>
                          <a:stretch>
                            <a:fillRect/>
                          </a:stretch>
                        </pic:blipFill>
                        <pic:spPr>
                          <a:xfrm>
                            <a:off x="0" y="0"/>
                            <a:ext cx="4888230" cy="3498215"/>
                          </a:xfrm>
                          <a:prstGeom prst="rect">
                            <a:avLst/>
                          </a:prstGeom>
                          <a:noFill/>
                          <a:ln w="9525" cap="flat" cmpd="sng">
                            <a:solidFill>
                              <a:srgbClr val="000000"/>
                            </a:solidFill>
                            <a:prstDash val="solid"/>
                            <a:round/>
                            <a:headEnd type="none" w="med" len="med"/>
                            <a:tailEnd type="none" w="med" len="med"/>
                          </a:ln>
                        </pic:spPr>
                      </pic:pic>
                    </a:graphicData>
                  </a:graphic>
                </wp:inline>
              </w:drawing>
            </w:r>
          </w:p>
          <w:p w14:paraId="5FC499C4">
            <w:pPr>
              <w:spacing w:line="360" w:lineRule="auto"/>
              <w:jc w:val="center"/>
              <w:rPr>
                <w:rFonts w:cs="Times New Roman"/>
                <w:b/>
                <w:color w:val="auto"/>
                <w:sz w:val="24"/>
                <w:szCs w:val="24"/>
              </w:rPr>
            </w:pPr>
            <w:r>
              <w:rPr>
                <w:rFonts w:cs="Times New Roman"/>
                <w:b/>
                <w:color w:val="auto"/>
                <w:sz w:val="24"/>
                <w:szCs w:val="24"/>
              </w:rPr>
              <w:t>图1-3  达州市</w:t>
            </w:r>
            <w:r>
              <w:rPr>
                <w:rFonts w:hint="eastAsia" w:cs="Times New Roman"/>
                <w:b/>
                <w:color w:val="auto"/>
                <w:sz w:val="24"/>
                <w:szCs w:val="24"/>
                <w:lang w:eastAsia="zh-CN"/>
              </w:rPr>
              <w:t>生态</w:t>
            </w:r>
            <w:r>
              <w:rPr>
                <w:rFonts w:cs="Times New Roman"/>
                <w:b/>
                <w:color w:val="auto"/>
                <w:sz w:val="24"/>
                <w:szCs w:val="24"/>
              </w:rPr>
              <w:t>环境管控单元分布图</w:t>
            </w:r>
          </w:p>
          <w:p w14:paraId="7838A7D9">
            <w:pPr>
              <w:spacing w:line="360" w:lineRule="auto"/>
              <w:ind w:firstLine="480" w:firstLineChars="200"/>
              <w:rPr>
                <w:rFonts w:cs="Times New Roman"/>
                <w:color w:val="auto"/>
                <w:sz w:val="24"/>
                <w:szCs w:val="24"/>
              </w:rPr>
            </w:pPr>
            <w:r>
              <w:rPr>
                <w:rFonts w:cs="Times New Roman"/>
                <w:color w:val="auto"/>
                <w:sz w:val="24"/>
                <w:szCs w:val="24"/>
              </w:rPr>
              <w:t>根据四川政务服务网—四川省生态环境厅</w:t>
            </w:r>
            <w:r>
              <w:rPr>
                <w:rFonts w:hint="eastAsia" w:cs="Times New Roman"/>
                <w:color w:val="auto"/>
                <w:sz w:val="24"/>
                <w:szCs w:val="24"/>
                <w:lang w:eastAsia="zh-CN"/>
              </w:rPr>
              <w:t>“</w:t>
            </w:r>
            <w:r>
              <w:rPr>
                <w:rFonts w:cs="Times New Roman"/>
                <w:color w:val="auto"/>
                <w:sz w:val="24"/>
                <w:szCs w:val="24"/>
              </w:rPr>
              <w:t>生态环境分区管控符合性分析</w:t>
            </w:r>
            <w:r>
              <w:rPr>
                <w:rFonts w:hint="eastAsia" w:cs="Times New Roman"/>
                <w:color w:val="auto"/>
                <w:sz w:val="24"/>
                <w:szCs w:val="24"/>
                <w:lang w:eastAsia="zh-CN"/>
              </w:rPr>
              <w:t>”</w:t>
            </w:r>
            <w:r>
              <w:rPr>
                <w:rFonts w:cs="Times New Roman"/>
                <w:color w:val="auto"/>
                <w:sz w:val="24"/>
                <w:szCs w:val="24"/>
              </w:rPr>
              <w:t>应用平台</w:t>
            </w:r>
            <w:r>
              <w:rPr>
                <w:rFonts w:hint="eastAsia" w:cs="Times New Roman"/>
                <w:color w:val="auto"/>
                <w:sz w:val="24"/>
                <w:szCs w:val="24"/>
                <w:lang w:eastAsia="zh-CN"/>
              </w:rPr>
              <w:t>分析</w:t>
            </w:r>
            <w:r>
              <w:rPr>
                <w:rFonts w:cs="Times New Roman"/>
                <w:color w:val="auto"/>
                <w:sz w:val="24"/>
                <w:szCs w:val="24"/>
              </w:rPr>
              <w:t>：</w:t>
            </w:r>
            <w:r>
              <w:rPr>
                <w:rFonts w:hint="eastAsia" w:cs="Times New Roman"/>
                <w:color w:val="auto"/>
                <w:sz w:val="24"/>
                <w:szCs w:val="24"/>
                <w:lang w:eastAsia="zh-CN"/>
              </w:rPr>
              <w:t>达州鼎磊装饰用石切割雕刻生产线建设项目位于达州市通川区环境综合管控单元工业重点管控单元（管控单元名称：达州市通川区东岳新型工业集聚区，管控单元编号：ZH5117022000</w:t>
            </w:r>
            <w:r>
              <w:rPr>
                <w:rFonts w:hint="eastAsia" w:cs="Times New Roman"/>
                <w:color w:val="auto"/>
                <w:sz w:val="24"/>
                <w:szCs w:val="24"/>
                <w:highlight w:val="none"/>
                <w:lang w:eastAsia="zh-CN"/>
              </w:rPr>
              <w:t>3）</w:t>
            </w:r>
            <w:r>
              <w:rPr>
                <w:rFonts w:cs="Times New Roman"/>
                <w:color w:val="auto"/>
                <w:sz w:val="24"/>
                <w:szCs w:val="24"/>
                <w:highlight w:val="none"/>
              </w:rPr>
              <w:t>。</w:t>
            </w:r>
          </w:p>
          <w:p w14:paraId="3DE5F3EA">
            <w:pPr>
              <w:spacing w:line="360" w:lineRule="auto"/>
              <w:ind w:firstLine="480" w:firstLineChars="200"/>
              <w:jc w:val="left"/>
              <w:rPr>
                <w:rFonts w:cs="Times New Roman"/>
                <w:color w:val="auto"/>
                <w:sz w:val="24"/>
                <w:szCs w:val="24"/>
              </w:rPr>
            </w:pPr>
            <w:r>
              <w:rPr>
                <w:rFonts w:cs="Times New Roman"/>
                <w:color w:val="auto"/>
                <w:sz w:val="24"/>
                <w:szCs w:val="24"/>
              </w:rPr>
              <w:t>项目与管控单元相对位置如下图所示：（图中▼表示项目位置）</w:t>
            </w:r>
          </w:p>
          <w:p w14:paraId="0756FE97">
            <w:pPr>
              <w:spacing w:line="360" w:lineRule="auto"/>
              <w:jc w:val="center"/>
              <w:rPr>
                <w:rFonts w:cs="Times New Roman"/>
                <w:color w:val="auto"/>
                <w:sz w:val="24"/>
                <w:szCs w:val="24"/>
              </w:rPr>
            </w:pPr>
            <w:r>
              <w:rPr>
                <w:rFonts w:hint="default" w:ascii="Times New Roman" w:hAnsi="Times New Roman" w:eastAsia="宋体" w:cs="Times New Roman"/>
                <w:color w:val="auto"/>
                <w:sz w:val="24"/>
                <w:szCs w:val="24"/>
              </w:rPr>
              <mc:AlternateContent>
                <mc:Choice Requires="wps">
                  <w:drawing>
                    <wp:anchor distT="0" distB="0" distL="114300" distR="114300" simplePos="0" relativeHeight="251668480" behindDoc="0" locked="0" layoutInCell="1" allowOverlap="1">
                      <wp:simplePos x="0" y="0"/>
                      <wp:positionH relativeFrom="column">
                        <wp:posOffset>2820035</wp:posOffset>
                      </wp:positionH>
                      <wp:positionV relativeFrom="paragraph">
                        <wp:posOffset>2589530</wp:posOffset>
                      </wp:positionV>
                      <wp:extent cx="947420" cy="365760"/>
                      <wp:effectExtent l="178435" t="296545" r="17145" b="23495"/>
                      <wp:wrapNone/>
                      <wp:docPr id="8" name="圆角矩形标注 8"/>
                      <wp:cNvGraphicFramePr/>
                      <a:graphic xmlns:a="http://schemas.openxmlformats.org/drawingml/2006/main">
                        <a:graphicData uri="http://schemas.microsoft.com/office/word/2010/wordprocessingShape">
                          <wps:wsp>
                            <wps:cNvSpPr/>
                            <wps:spPr>
                              <a:xfrm>
                                <a:off x="0" y="0"/>
                                <a:ext cx="947420" cy="365760"/>
                              </a:xfrm>
                              <a:prstGeom prst="wedgeRoundRectCallout">
                                <a:avLst>
                                  <a:gd name="adj1" fmla="val -65683"/>
                                  <a:gd name="adj2" fmla="val -125520"/>
                                  <a:gd name="adj3" fmla="val 16667"/>
                                </a:avLst>
                              </a:prstGeom>
                              <a:noFill/>
                              <a:ln w="9525" cap="flat" cmpd="sng">
                                <a:solidFill>
                                  <a:srgbClr val="FF0000"/>
                                </a:solidFill>
                                <a:prstDash val="solid"/>
                                <a:miter/>
                                <a:headEnd type="none" w="med" len="med"/>
                                <a:tailEnd type="none" w="med" len="med"/>
                              </a:ln>
                            </wps:spPr>
                            <wps:txbx>
                              <w:txbxContent>
                                <w:p w14:paraId="71D6E487">
                                  <w:pPr>
                                    <w:rPr>
                                      <w:rFonts w:hint="eastAsia" w:ascii="宋体" w:hAnsi="Times New Roman" w:eastAsia="宋体"/>
                                      <w:b/>
                                      <w:color w:val="FF0000"/>
                                      <w:sz w:val="18"/>
                                      <w:szCs w:val="24"/>
                                      <w:lang w:val="en-US" w:eastAsia="zh-CN"/>
                                    </w:rPr>
                                  </w:pPr>
                                  <w:r>
                                    <w:rPr>
                                      <w:rFonts w:hint="eastAsia" w:ascii="宋体" w:hAnsi="Wingdings" w:eastAsia="宋体"/>
                                      <w:b/>
                                      <w:color w:val="FF0000"/>
                                      <w:sz w:val="18"/>
                                      <w:szCs w:val="24"/>
                                    </w:rPr>
                                    <w:t>本项目</w:t>
                                  </w:r>
                                  <w:r>
                                    <w:rPr>
                                      <w:rFonts w:hint="eastAsia" w:ascii="宋体" w:hAnsi="Wingdings" w:eastAsia="宋体"/>
                                      <w:b/>
                                      <w:color w:val="FF0000"/>
                                      <w:sz w:val="18"/>
                                      <w:szCs w:val="24"/>
                                      <w:lang w:val="en-US" w:eastAsia="zh-CN"/>
                                    </w:rPr>
                                    <w:t>所在地</w:t>
                                  </w:r>
                                </w:p>
                              </w:txbxContent>
                            </wps:txbx>
                            <wps:bodyPr upright="1"/>
                          </wps:wsp>
                        </a:graphicData>
                      </a:graphic>
                    </wp:anchor>
                  </w:drawing>
                </mc:Choice>
                <mc:Fallback>
                  <w:pict>
                    <v:shape id="_x0000_s1026" o:spid="_x0000_s1026" o:spt="62" type="#_x0000_t62" style="position:absolute;left:0pt;margin-left:222.05pt;margin-top:203.9pt;height:28.8pt;width:74.6pt;z-index:251668480;mso-width-relative:page;mso-height-relative:page;" filled="f" stroked="t" coordsize="21600,21600" o:gfxdata="UEsDBAoAAAAAAIdO4kAAAAAAAAAAAAAAAAAEAAAAZHJzL1BLAwQUAAAACACHTuJAkOXJ4doAAAAL&#10;AQAADwAAAGRycy9kb3ducmV2LnhtbE2PQU/DMAyF70j8h8hI3FhS2nWjNN0BCU4IjQ1p1yz12orG&#10;qZp0Hf8ec2I32+/p+Xvl5uJ6ccYxdJ40JAsFAsn6uqNGw9f+9WENIkRDtek9oYYfDLCpbm9KU9R+&#10;pk8872IjOIRCYTS0MQ6FlMG26ExY+AGJtZMfnYm8jo2sRzNzuOvlo1K5dKYj/tCaAV9atN+7yWk4&#10;rN+m/DDH/bs6fQyrdGu3c2O1vr9L1DOIiJf4b4Y/fEaHipmOfqI6iF5DlmUJW3lQK+7AjuVTmoI4&#10;8iVfZiCrUl53qH4BUEsDBBQAAAAIAIdO4kBwkp/pUAIAAJQEAAAOAAAAZHJzL2Uyb0RvYy54bWyt&#10;VM1y0zAQvjPDO2h0b5w4jRMycXpoCBcGOi08gGLJthj9jaTEzgvAnTMzdLgAZ848TguPwUo2aVou&#10;PZCDs/Kuvv2+byUvzlop0I5Zx7XK8WgwxIipQlOuqhy/fbM+mWHkPFGUCK1YjvfM4bPl0yeLxsxZ&#10;qmstKLMIQJSbNybHtfdmniSuqJkkbqANU5AstZXEw9JWCbWkAXQpknQ4zJJGW2qsLphz8HbVJXGP&#10;aB8DqMuSF2yli61kyneolgniQZKruXF4GdmWJSv867J0zCORY1Dq4xOaQLwJz2S5IPPKElPzoqdA&#10;HkPhgSZJuIKmB6gV8QRtLf8HSvLCaqdLPyi0TDoh0RFQMRo+8OaqJoZFLWC1MwfT3f+DLV7tLizi&#10;NMcwdkUkDPzm0/vfXz/++vz95ueX2+sPtz++oVnwqTFuDuVX5sL2KwdhEN2WVoZ/kIPa6O3+4C1r&#10;PSrg5bPT6WkKrheQGmeTaRa9T+42G+v8C6YlCkGOG0Yrdqm3il7CEM+JEHrro8Vk99L56DXtGRP6&#10;boRRKQWMbkcEOskm2Wzcz/aoKL1XNEonE2DUnYCjqvFx1SjLsmmoAaZ9Y4j+cg0slF5zISKKUKgB&#10;pZN0AjoJ3I0SziSE0oC/TlWRvtOC07AlbHa22pwLi4B1jtfrIfz6ZvfKQr8VcXVXF1Mdb8k9s7F3&#10;zQh9rijyewMzVHB1cSAjGcVIMLjpIYqVnnDxmErQKRQID3PvJh0i325agAnhRtM9HJ6tsbyqYWSj&#10;SD1k4LBGx/qLFW7D8TqC3n1Mln8A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kOXJ4doAAAALAQAA&#10;DwAAAAAAAAABACAAAAAiAAAAZHJzL2Rvd25yZXYueG1sUEsBAhQAFAAAAAgAh07iQHCSn+lQAgAA&#10;lAQAAA4AAAAAAAAAAQAgAAAAKQEAAGRycy9lMm9Eb2MueG1sUEsFBgAAAAAGAAYAWQEAAOsFAAAA&#10;AA==&#10;" adj="-3388,-16312,14400">
                      <v:fill on="f" focussize="0,0"/>
                      <v:stroke color="#FF0000" joinstyle="miter"/>
                      <v:imagedata o:title=""/>
                      <o:lock v:ext="edit" aspectratio="f"/>
                      <v:textbox>
                        <w:txbxContent>
                          <w:p w14:paraId="71D6E487">
                            <w:pPr>
                              <w:rPr>
                                <w:rFonts w:hint="eastAsia" w:ascii="宋体" w:hAnsi="Times New Roman" w:eastAsia="宋体"/>
                                <w:b/>
                                <w:color w:val="FF0000"/>
                                <w:sz w:val="18"/>
                                <w:szCs w:val="24"/>
                                <w:lang w:val="en-US" w:eastAsia="zh-CN"/>
                              </w:rPr>
                            </w:pPr>
                            <w:r>
                              <w:rPr>
                                <w:rFonts w:hint="eastAsia" w:ascii="宋体" w:hAnsi="Wingdings" w:eastAsia="宋体"/>
                                <w:b/>
                                <w:color w:val="FF0000"/>
                                <w:sz w:val="18"/>
                                <w:szCs w:val="24"/>
                              </w:rPr>
                              <w:t>本项目</w:t>
                            </w:r>
                            <w:r>
                              <w:rPr>
                                <w:rFonts w:hint="eastAsia" w:ascii="宋体" w:hAnsi="Wingdings" w:eastAsia="宋体"/>
                                <w:b/>
                                <w:color w:val="FF0000"/>
                                <w:sz w:val="18"/>
                                <w:szCs w:val="24"/>
                                <w:lang w:val="en-US" w:eastAsia="zh-CN"/>
                              </w:rPr>
                              <w:t>所在地</w:t>
                            </w:r>
                          </w:p>
                        </w:txbxContent>
                      </v:textbox>
                    </v:shape>
                  </w:pict>
                </mc:Fallback>
              </mc:AlternateContent>
            </w:r>
            <w:r>
              <w:rPr>
                <w:rFonts w:hint="default" w:ascii="Helvetica" w:hAnsi="Helvetica" w:eastAsia="Helvetica"/>
                <w:color w:val="auto"/>
                <w:sz w:val="28"/>
                <w:szCs w:val="24"/>
              </w:rPr>
              <w:drawing>
                <wp:inline distT="0" distB="0" distL="114300" distR="114300">
                  <wp:extent cx="5117465" cy="3618230"/>
                  <wp:effectExtent l="0" t="0" r="6985" b="1270"/>
                  <wp:docPr id="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
                          <pic:cNvPicPr>
                            <a:picLocks noChangeAspect="1"/>
                          </pic:cNvPicPr>
                        </pic:nvPicPr>
                        <pic:blipFill>
                          <a:blip r:embed="rId10"/>
                          <a:stretch>
                            <a:fillRect/>
                          </a:stretch>
                        </pic:blipFill>
                        <pic:spPr>
                          <a:xfrm>
                            <a:off x="0" y="0"/>
                            <a:ext cx="5117465" cy="3618230"/>
                          </a:xfrm>
                          <a:prstGeom prst="rect">
                            <a:avLst/>
                          </a:prstGeom>
                          <a:noFill/>
                          <a:ln>
                            <a:noFill/>
                          </a:ln>
                        </pic:spPr>
                      </pic:pic>
                    </a:graphicData>
                  </a:graphic>
                </wp:inline>
              </w:drawing>
            </w:r>
          </w:p>
          <w:p w14:paraId="77C7E64E">
            <w:pPr>
              <w:spacing w:line="360" w:lineRule="auto"/>
              <w:ind w:left="0" w:leftChars="0" w:firstLine="219" w:firstLineChars="91"/>
              <w:jc w:val="center"/>
              <w:rPr>
                <w:rFonts w:cs="Times New Roman"/>
                <w:b/>
                <w:bCs/>
                <w:color w:val="auto"/>
                <w:sz w:val="24"/>
                <w:szCs w:val="24"/>
              </w:rPr>
            </w:pPr>
            <w:r>
              <w:rPr>
                <w:rFonts w:cs="Times New Roman"/>
                <w:b/>
                <w:bCs/>
                <w:color w:val="auto"/>
                <w:sz w:val="24"/>
                <w:szCs w:val="24"/>
                <w:lang w:val="en-US" w:eastAsia="zh-CN"/>
              </w:rPr>
              <w:t>图</w:t>
            </w:r>
            <w:r>
              <w:rPr>
                <w:rFonts w:hint="eastAsia" w:cs="Times New Roman"/>
                <w:b/>
                <w:bCs/>
                <w:color w:val="auto"/>
                <w:sz w:val="24"/>
                <w:szCs w:val="24"/>
                <w:lang w:val="en-US" w:eastAsia="zh-CN"/>
              </w:rPr>
              <w:t>1-4 项目与环境综合管控单元的位置关系图</w:t>
            </w:r>
          </w:p>
          <w:p w14:paraId="64EC718C">
            <w:pPr>
              <w:spacing w:line="360" w:lineRule="auto"/>
              <w:ind w:firstLine="480" w:firstLineChars="200"/>
              <w:rPr>
                <w:rFonts w:cs="Times New Roman"/>
                <w:color w:val="auto"/>
                <w:sz w:val="24"/>
                <w:szCs w:val="24"/>
              </w:rPr>
            </w:pPr>
            <w:r>
              <w:rPr>
                <w:rFonts w:hint="eastAsia" w:cs="Times New Roman"/>
                <w:color w:val="auto"/>
                <w:sz w:val="24"/>
                <w:szCs w:val="24"/>
                <w:lang w:eastAsia="zh-CN"/>
              </w:rPr>
              <w:t>达州鼎磊装饰用石切割雕刻生产线建设项目</w:t>
            </w:r>
            <w:r>
              <w:rPr>
                <w:rFonts w:cs="Times New Roman"/>
                <w:color w:val="auto"/>
                <w:sz w:val="24"/>
                <w:szCs w:val="24"/>
              </w:rPr>
              <w:t>所属非金属矿物制品业中砖瓦、石材等建筑材料制造，共涉及3个管控单元。查询情况见下图，</w:t>
            </w:r>
            <w:r>
              <w:rPr>
                <w:rFonts w:hint="eastAsia" w:cs="Times New Roman"/>
                <w:color w:val="auto"/>
                <w:sz w:val="24"/>
                <w:szCs w:val="24"/>
                <w:lang w:eastAsia="zh-CN"/>
              </w:rPr>
              <w:t>涉及的</w:t>
            </w:r>
            <w:r>
              <w:rPr>
                <w:rFonts w:cs="Times New Roman"/>
                <w:color w:val="auto"/>
                <w:sz w:val="24"/>
                <w:szCs w:val="24"/>
              </w:rPr>
              <w:t>管控单元见表1-</w:t>
            </w:r>
            <w:r>
              <w:rPr>
                <w:rFonts w:hint="eastAsia" w:cs="Times New Roman"/>
                <w:color w:val="auto"/>
                <w:sz w:val="24"/>
                <w:szCs w:val="24"/>
                <w:lang w:val="en-US" w:eastAsia="zh-CN"/>
              </w:rPr>
              <w:t>6</w:t>
            </w:r>
            <w:r>
              <w:rPr>
                <w:rFonts w:cs="Times New Roman"/>
                <w:color w:val="auto"/>
                <w:sz w:val="24"/>
                <w:szCs w:val="24"/>
              </w:rPr>
              <w:t>。</w:t>
            </w:r>
          </w:p>
          <w:p w14:paraId="4851141F">
            <w:pPr>
              <w:spacing w:line="360" w:lineRule="auto"/>
              <w:jc w:val="center"/>
              <w:rPr>
                <w:rFonts w:cs="Times New Roman"/>
                <w:b/>
                <w:bCs/>
                <w:color w:val="auto"/>
                <w:sz w:val="24"/>
                <w:szCs w:val="24"/>
              </w:rPr>
            </w:pPr>
            <w:r>
              <w:rPr>
                <w:rFonts w:cs="Times New Roman"/>
                <w:b/>
                <w:bCs/>
                <w:color w:val="auto"/>
                <w:sz w:val="24"/>
                <w:szCs w:val="24"/>
              </w:rPr>
              <w:t>表1-</w:t>
            </w:r>
            <w:r>
              <w:rPr>
                <w:rFonts w:hint="eastAsia" w:cs="Times New Roman"/>
                <w:b/>
                <w:bCs/>
                <w:color w:val="auto"/>
                <w:sz w:val="24"/>
                <w:szCs w:val="24"/>
                <w:lang w:val="en-US" w:eastAsia="zh-CN"/>
              </w:rPr>
              <w:t>6</w:t>
            </w:r>
            <w:r>
              <w:rPr>
                <w:rFonts w:cs="Times New Roman"/>
                <w:b/>
                <w:bCs/>
                <w:color w:val="auto"/>
                <w:sz w:val="24"/>
                <w:szCs w:val="24"/>
              </w:rPr>
              <w:t xml:space="preserve"> 本项目涉及的环境管控单元一览表</w:t>
            </w:r>
          </w:p>
          <w:tbl>
            <w:tblPr>
              <w:tblStyle w:val="24"/>
              <w:tblW w:w="8018" w:type="dxa"/>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
            <w:tblGrid>
              <w:gridCol w:w="1950"/>
              <w:gridCol w:w="1877"/>
              <w:gridCol w:w="977"/>
              <w:gridCol w:w="1535"/>
              <w:gridCol w:w="1679"/>
            </w:tblGrid>
            <w:tr w14:paraId="6B1A994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628" w:hRule="atLeast"/>
              </w:trPr>
              <w:tc>
                <w:tcPr>
                  <w:tcW w:w="1216" w:type="pct"/>
                  <w:tcBorders>
                    <w:tl2br w:val="nil"/>
                    <w:tr2bl w:val="nil"/>
                  </w:tcBorders>
                  <w:shd w:val="clear" w:color="000000" w:themeColor="text1" w:fill="auto"/>
                  <w:vAlign w:val="center"/>
                </w:tcPr>
                <w:p w14:paraId="622BBABA">
                  <w:pPr>
                    <w:widowControl/>
                    <w:jc w:val="center"/>
                    <w:rPr>
                      <w:rFonts w:cs="Times New Roman"/>
                      <w:b/>
                      <w:bCs/>
                      <w:color w:val="auto"/>
                      <w:kern w:val="0"/>
                      <w:szCs w:val="21"/>
                      <w:lang w:bidi="ar"/>
                    </w:rPr>
                  </w:pPr>
                  <w:r>
                    <w:rPr>
                      <w:rFonts w:cs="Times New Roman"/>
                      <w:b/>
                      <w:bCs/>
                      <w:color w:val="auto"/>
                      <w:kern w:val="0"/>
                      <w:szCs w:val="21"/>
                      <w:lang w:bidi="ar"/>
                    </w:rPr>
                    <w:t>环境管控单元编码</w:t>
                  </w:r>
                </w:p>
              </w:tc>
              <w:tc>
                <w:tcPr>
                  <w:tcW w:w="1170" w:type="pct"/>
                  <w:tcBorders>
                    <w:tl2br w:val="nil"/>
                    <w:tr2bl w:val="nil"/>
                  </w:tcBorders>
                  <w:shd w:val="clear" w:color="000000" w:themeColor="text1" w:fill="auto"/>
                  <w:vAlign w:val="center"/>
                </w:tcPr>
                <w:p w14:paraId="5E78B7E9">
                  <w:pPr>
                    <w:widowControl/>
                    <w:jc w:val="center"/>
                    <w:rPr>
                      <w:rFonts w:cs="Times New Roman"/>
                      <w:b/>
                      <w:bCs/>
                      <w:color w:val="auto"/>
                      <w:kern w:val="0"/>
                      <w:szCs w:val="21"/>
                      <w:lang w:bidi="ar"/>
                    </w:rPr>
                  </w:pPr>
                  <w:r>
                    <w:rPr>
                      <w:rFonts w:cs="Times New Roman"/>
                      <w:b/>
                      <w:bCs/>
                      <w:color w:val="auto"/>
                      <w:kern w:val="0"/>
                      <w:szCs w:val="21"/>
                      <w:lang w:bidi="ar"/>
                    </w:rPr>
                    <w:t>环境管控单元名称</w:t>
                  </w:r>
                </w:p>
              </w:tc>
              <w:tc>
                <w:tcPr>
                  <w:tcW w:w="609" w:type="pct"/>
                  <w:tcBorders>
                    <w:tl2br w:val="nil"/>
                    <w:tr2bl w:val="nil"/>
                  </w:tcBorders>
                  <w:shd w:val="clear" w:color="000000" w:themeColor="text1" w:fill="auto"/>
                  <w:vAlign w:val="center"/>
                </w:tcPr>
                <w:p w14:paraId="6236E3F3">
                  <w:pPr>
                    <w:widowControl/>
                    <w:jc w:val="center"/>
                    <w:rPr>
                      <w:rFonts w:cs="Times New Roman"/>
                      <w:b/>
                      <w:bCs/>
                      <w:color w:val="auto"/>
                      <w:kern w:val="0"/>
                      <w:szCs w:val="21"/>
                      <w:lang w:bidi="ar"/>
                    </w:rPr>
                  </w:pPr>
                  <w:r>
                    <w:rPr>
                      <w:rFonts w:cs="Times New Roman"/>
                      <w:b/>
                      <w:bCs/>
                      <w:color w:val="auto"/>
                      <w:kern w:val="0"/>
                      <w:szCs w:val="21"/>
                      <w:lang w:bidi="ar"/>
                    </w:rPr>
                    <w:t>所属区（县）</w:t>
                  </w:r>
                </w:p>
              </w:tc>
              <w:tc>
                <w:tcPr>
                  <w:tcW w:w="957" w:type="pct"/>
                  <w:tcBorders>
                    <w:tl2br w:val="nil"/>
                    <w:tr2bl w:val="nil"/>
                  </w:tcBorders>
                  <w:shd w:val="clear" w:color="000000" w:themeColor="text1" w:fill="auto"/>
                  <w:vAlign w:val="center"/>
                </w:tcPr>
                <w:p w14:paraId="36239808">
                  <w:pPr>
                    <w:widowControl/>
                    <w:jc w:val="center"/>
                    <w:rPr>
                      <w:rFonts w:cs="Times New Roman"/>
                      <w:b/>
                      <w:bCs/>
                      <w:color w:val="auto"/>
                      <w:kern w:val="0"/>
                      <w:szCs w:val="21"/>
                      <w:lang w:bidi="ar"/>
                    </w:rPr>
                  </w:pPr>
                  <w:r>
                    <w:rPr>
                      <w:rFonts w:cs="Times New Roman"/>
                      <w:b/>
                      <w:bCs/>
                      <w:color w:val="auto"/>
                      <w:kern w:val="0"/>
                      <w:szCs w:val="21"/>
                      <w:lang w:bidi="ar"/>
                    </w:rPr>
                    <w:t>准入清单类型</w:t>
                  </w:r>
                </w:p>
              </w:tc>
              <w:tc>
                <w:tcPr>
                  <w:tcW w:w="1047" w:type="pct"/>
                  <w:tcBorders>
                    <w:tl2br w:val="nil"/>
                    <w:tr2bl w:val="nil"/>
                  </w:tcBorders>
                  <w:shd w:val="clear" w:color="000000" w:themeColor="text1" w:fill="auto"/>
                  <w:vAlign w:val="center"/>
                </w:tcPr>
                <w:p w14:paraId="4C214999">
                  <w:pPr>
                    <w:widowControl/>
                    <w:jc w:val="center"/>
                    <w:rPr>
                      <w:rFonts w:cs="Times New Roman"/>
                      <w:b/>
                      <w:bCs/>
                      <w:color w:val="auto"/>
                      <w:kern w:val="0"/>
                      <w:szCs w:val="21"/>
                      <w:lang w:bidi="ar"/>
                    </w:rPr>
                  </w:pPr>
                  <w:r>
                    <w:rPr>
                      <w:rFonts w:cs="Times New Roman"/>
                      <w:b/>
                      <w:bCs/>
                      <w:color w:val="auto"/>
                      <w:kern w:val="0"/>
                      <w:szCs w:val="21"/>
                      <w:lang w:bidi="ar"/>
                    </w:rPr>
                    <w:t>管控类型</w:t>
                  </w:r>
                </w:p>
              </w:tc>
            </w:tr>
            <w:tr w14:paraId="067A9EE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776" w:hRule="atLeast"/>
              </w:trPr>
              <w:tc>
                <w:tcPr>
                  <w:tcW w:w="1216" w:type="pct"/>
                  <w:tcBorders>
                    <w:tl2br w:val="nil"/>
                    <w:tr2bl w:val="nil"/>
                  </w:tcBorders>
                  <w:vAlign w:val="center"/>
                </w:tcPr>
                <w:p w14:paraId="462EA6CB">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ascii="Times New Roman" w:hAnsi="Times New Roman" w:eastAsia="宋体" w:cs="Times New Roman"/>
                      <w:color w:val="auto"/>
                      <w:kern w:val="0"/>
                      <w:sz w:val="21"/>
                      <w:szCs w:val="21"/>
                      <w:lang w:bidi="ar"/>
                    </w:rPr>
                  </w:pPr>
                  <w:r>
                    <w:rPr>
                      <w:rFonts w:ascii="Times New Roman" w:hAnsi="Times New Roman" w:eastAsia="宋体" w:cs="Times New Roman"/>
                      <w:color w:val="auto"/>
                      <w:kern w:val="0"/>
                      <w:sz w:val="21"/>
                      <w:szCs w:val="21"/>
                      <w:lang w:bidi="ar"/>
                    </w:rPr>
                    <w:t>YS5117022210002</w:t>
                  </w:r>
                </w:p>
              </w:tc>
              <w:tc>
                <w:tcPr>
                  <w:tcW w:w="1170" w:type="pct"/>
                  <w:tcBorders>
                    <w:tl2br w:val="nil"/>
                    <w:tr2bl w:val="nil"/>
                  </w:tcBorders>
                  <w:vAlign w:val="center"/>
                </w:tcPr>
                <w:p w14:paraId="37514E19">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ascii="Times New Roman" w:hAnsi="Times New Roman" w:eastAsia="宋体" w:cs="Times New Roman"/>
                      <w:color w:val="auto"/>
                      <w:kern w:val="0"/>
                      <w:sz w:val="21"/>
                      <w:szCs w:val="21"/>
                      <w:lang w:bidi="ar"/>
                    </w:rPr>
                  </w:pPr>
                  <w:r>
                    <w:rPr>
                      <w:rFonts w:ascii="Times New Roman" w:hAnsi="Times New Roman" w:eastAsia="宋体" w:cs="Times New Roman"/>
                      <w:color w:val="auto"/>
                      <w:kern w:val="0"/>
                      <w:sz w:val="21"/>
                      <w:szCs w:val="21"/>
                      <w:lang w:bidi="ar"/>
                    </w:rPr>
                    <w:t>州河-通川区-车家河-控制单元</w:t>
                  </w:r>
                </w:p>
              </w:tc>
              <w:tc>
                <w:tcPr>
                  <w:tcW w:w="609" w:type="pct"/>
                  <w:tcBorders>
                    <w:tl2br w:val="nil"/>
                    <w:tr2bl w:val="nil"/>
                  </w:tcBorders>
                  <w:vAlign w:val="center"/>
                </w:tcPr>
                <w:p w14:paraId="4B204BE8">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ascii="Times New Roman" w:hAnsi="Times New Roman" w:eastAsia="宋体" w:cs="Times New Roman"/>
                      <w:color w:val="auto"/>
                      <w:kern w:val="0"/>
                      <w:sz w:val="21"/>
                      <w:szCs w:val="21"/>
                      <w:lang w:bidi="ar"/>
                    </w:rPr>
                  </w:pPr>
                  <w:r>
                    <w:rPr>
                      <w:rFonts w:ascii="Times New Roman" w:hAnsi="Times New Roman" w:eastAsia="宋体" w:cs="Times New Roman"/>
                      <w:color w:val="auto"/>
                      <w:kern w:val="0"/>
                      <w:sz w:val="21"/>
                      <w:szCs w:val="21"/>
                      <w:lang w:bidi="ar"/>
                    </w:rPr>
                    <w:t>通川区</w:t>
                  </w:r>
                </w:p>
              </w:tc>
              <w:tc>
                <w:tcPr>
                  <w:tcW w:w="957" w:type="pct"/>
                  <w:tcBorders>
                    <w:tl2br w:val="nil"/>
                    <w:tr2bl w:val="nil"/>
                  </w:tcBorders>
                  <w:vAlign w:val="center"/>
                </w:tcPr>
                <w:p w14:paraId="4A3EA7E0">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ascii="Times New Roman" w:hAnsi="Times New Roman" w:eastAsia="宋体" w:cs="Times New Roman"/>
                      <w:color w:val="auto"/>
                      <w:kern w:val="0"/>
                      <w:sz w:val="21"/>
                      <w:szCs w:val="21"/>
                      <w:lang w:bidi="ar"/>
                    </w:rPr>
                  </w:pPr>
                  <w:r>
                    <w:rPr>
                      <w:rFonts w:ascii="Times New Roman" w:hAnsi="Times New Roman" w:eastAsia="宋体" w:cs="Times New Roman"/>
                      <w:color w:val="auto"/>
                      <w:kern w:val="0"/>
                      <w:sz w:val="21"/>
                      <w:szCs w:val="21"/>
                      <w:lang w:bidi="ar"/>
                    </w:rPr>
                    <w:t>水环境管控分区</w:t>
                  </w:r>
                </w:p>
              </w:tc>
              <w:tc>
                <w:tcPr>
                  <w:tcW w:w="1047" w:type="pct"/>
                  <w:tcBorders>
                    <w:tl2br w:val="nil"/>
                    <w:tr2bl w:val="nil"/>
                  </w:tcBorders>
                  <w:vAlign w:val="center"/>
                </w:tcPr>
                <w:p w14:paraId="5BEA902E">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ascii="Times New Roman" w:hAnsi="Times New Roman" w:eastAsia="宋体" w:cs="Times New Roman"/>
                      <w:color w:val="auto"/>
                      <w:kern w:val="0"/>
                      <w:sz w:val="21"/>
                      <w:szCs w:val="21"/>
                      <w:lang w:bidi="ar"/>
                    </w:rPr>
                  </w:pPr>
                  <w:r>
                    <w:rPr>
                      <w:rFonts w:ascii="Times New Roman" w:hAnsi="Times New Roman" w:eastAsia="宋体" w:cs="Times New Roman"/>
                      <w:color w:val="auto"/>
                      <w:kern w:val="0"/>
                      <w:sz w:val="21"/>
                      <w:szCs w:val="21"/>
                      <w:lang w:bidi="ar"/>
                    </w:rPr>
                    <w:t>水环境工业污染重点管控区</w:t>
                  </w:r>
                </w:p>
              </w:tc>
            </w:tr>
            <w:tr w14:paraId="4F0F471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776" w:hRule="atLeast"/>
              </w:trPr>
              <w:tc>
                <w:tcPr>
                  <w:tcW w:w="1216" w:type="pct"/>
                  <w:tcBorders>
                    <w:tl2br w:val="nil"/>
                    <w:tr2bl w:val="nil"/>
                  </w:tcBorders>
                  <w:vAlign w:val="center"/>
                </w:tcPr>
                <w:p w14:paraId="3AB30311">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ascii="Times New Roman" w:hAnsi="Times New Roman" w:eastAsia="宋体" w:cs="Times New Roman"/>
                      <w:color w:val="auto"/>
                      <w:kern w:val="0"/>
                      <w:sz w:val="21"/>
                      <w:szCs w:val="21"/>
                      <w:lang w:bidi="ar"/>
                    </w:rPr>
                  </w:pPr>
                  <w:r>
                    <w:rPr>
                      <w:rFonts w:ascii="Times New Roman" w:hAnsi="Times New Roman" w:eastAsia="宋体" w:cs="Times New Roman"/>
                      <w:color w:val="auto"/>
                      <w:kern w:val="0"/>
                      <w:sz w:val="21"/>
                      <w:szCs w:val="21"/>
                      <w:lang w:bidi="ar"/>
                    </w:rPr>
                    <w:t>YS5117022310002</w:t>
                  </w:r>
                </w:p>
              </w:tc>
              <w:tc>
                <w:tcPr>
                  <w:tcW w:w="1170" w:type="pct"/>
                  <w:tcBorders>
                    <w:tl2br w:val="nil"/>
                    <w:tr2bl w:val="nil"/>
                  </w:tcBorders>
                  <w:vAlign w:val="center"/>
                </w:tcPr>
                <w:p w14:paraId="3C9354B0">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ascii="Times New Roman" w:hAnsi="Times New Roman" w:eastAsia="宋体" w:cs="Times New Roman"/>
                      <w:color w:val="auto"/>
                      <w:kern w:val="0"/>
                      <w:sz w:val="21"/>
                      <w:szCs w:val="21"/>
                      <w:lang w:bidi="ar"/>
                    </w:rPr>
                  </w:pPr>
                  <w:r>
                    <w:rPr>
                      <w:rFonts w:ascii="Times New Roman" w:hAnsi="Times New Roman" w:eastAsia="宋体" w:cs="Times New Roman"/>
                      <w:color w:val="auto"/>
                      <w:kern w:val="0"/>
                      <w:sz w:val="21"/>
                      <w:szCs w:val="21"/>
                      <w:lang w:bidi="ar"/>
                    </w:rPr>
                    <w:t>东岳新型工业集聚区</w:t>
                  </w:r>
                </w:p>
              </w:tc>
              <w:tc>
                <w:tcPr>
                  <w:tcW w:w="609" w:type="pct"/>
                  <w:tcBorders>
                    <w:tl2br w:val="nil"/>
                    <w:tr2bl w:val="nil"/>
                  </w:tcBorders>
                  <w:vAlign w:val="center"/>
                </w:tcPr>
                <w:p w14:paraId="15709E1E">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ascii="Times New Roman" w:hAnsi="Times New Roman" w:eastAsia="宋体" w:cs="Times New Roman"/>
                      <w:color w:val="auto"/>
                      <w:kern w:val="0"/>
                      <w:sz w:val="21"/>
                      <w:szCs w:val="21"/>
                      <w:lang w:bidi="ar"/>
                    </w:rPr>
                  </w:pPr>
                  <w:r>
                    <w:rPr>
                      <w:rFonts w:ascii="Times New Roman" w:hAnsi="Times New Roman" w:eastAsia="宋体" w:cs="Times New Roman"/>
                      <w:color w:val="auto"/>
                      <w:kern w:val="0"/>
                      <w:sz w:val="21"/>
                      <w:szCs w:val="21"/>
                      <w:lang w:bidi="ar"/>
                    </w:rPr>
                    <w:t>通川区</w:t>
                  </w:r>
                </w:p>
              </w:tc>
              <w:tc>
                <w:tcPr>
                  <w:tcW w:w="957" w:type="pct"/>
                  <w:tcBorders>
                    <w:tl2br w:val="nil"/>
                    <w:tr2bl w:val="nil"/>
                  </w:tcBorders>
                  <w:vAlign w:val="center"/>
                </w:tcPr>
                <w:p w14:paraId="5437AC24">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ascii="Times New Roman" w:hAnsi="Times New Roman" w:eastAsia="宋体" w:cs="Times New Roman"/>
                      <w:color w:val="auto"/>
                      <w:kern w:val="0"/>
                      <w:sz w:val="21"/>
                      <w:szCs w:val="21"/>
                      <w:lang w:bidi="ar"/>
                    </w:rPr>
                  </w:pPr>
                  <w:r>
                    <w:rPr>
                      <w:rFonts w:ascii="Times New Roman" w:hAnsi="Times New Roman" w:eastAsia="宋体" w:cs="Times New Roman"/>
                      <w:color w:val="auto"/>
                      <w:kern w:val="0"/>
                      <w:sz w:val="21"/>
                      <w:szCs w:val="21"/>
                      <w:lang w:bidi="ar"/>
                    </w:rPr>
                    <w:t>大气环境管控分区</w:t>
                  </w:r>
                </w:p>
              </w:tc>
              <w:tc>
                <w:tcPr>
                  <w:tcW w:w="1047" w:type="pct"/>
                  <w:tcBorders>
                    <w:tl2br w:val="nil"/>
                    <w:tr2bl w:val="nil"/>
                  </w:tcBorders>
                  <w:vAlign w:val="center"/>
                </w:tcPr>
                <w:p w14:paraId="631176C4">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ascii="Times New Roman" w:hAnsi="Times New Roman" w:eastAsia="宋体" w:cs="Times New Roman"/>
                      <w:color w:val="auto"/>
                      <w:kern w:val="0"/>
                      <w:sz w:val="21"/>
                      <w:szCs w:val="21"/>
                      <w:lang w:bidi="ar"/>
                    </w:rPr>
                  </w:pPr>
                  <w:r>
                    <w:rPr>
                      <w:rFonts w:ascii="Times New Roman" w:hAnsi="Times New Roman" w:eastAsia="宋体" w:cs="Times New Roman"/>
                      <w:color w:val="auto"/>
                      <w:kern w:val="0"/>
                      <w:sz w:val="21"/>
                      <w:szCs w:val="21"/>
                      <w:lang w:bidi="ar"/>
                    </w:rPr>
                    <w:t>大气环境高排放重点管控区</w:t>
                  </w:r>
                </w:p>
              </w:tc>
            </w:tr>
            <w:tr w14:paraId="3B154FE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932" w:hRule="atLeast"/>
              </w:trPr>
              <w:tc>
                <w:tcPr>
                  <w:tcW w:w="1216" w:type="pct"/>
                  <w:tcBorders>
                    <w:tl2br w:val="nil"/>
                    <w:tr2bl w:val="nil"/>
                  </w:tcBorders>
                  <w:vAlign w:val="center"/>
                </w:tcPr>
                <w:p w14:paraId="7811B408">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ascii="Times New Roman" w:hAnsi="Times New Roman" w:eastAsia="宋体" w:cs="Times New Roman"/>
                      <w:color w:val="auto"/>
                      <w:kern w:val="0"/>
                      <w:sz w:val="21"/>
                      <w:szCs w:val="21"/>
                      <w:lang w:bidi="ar"/>
                    </w:rPr>
                  </w:pPr>
                  <w:r>
                    <w:rPr>
                      <w:rFonts w:ascii="Times New Roman" w:hAnsi="Times New Roman" w:eastAsia="宋体" w:cs="Times New Roman"/>
                      <w:color w:val="auto"/>
                      <w:kern w:val="0"/>
                      <w:sz w:val="21"/>
                      <w:szCs w:val="21"/>
                      <w:lang w:bidi="ar"/>
                    </w:rPr>
                    <w:t>ZH51170220003</w:t>
                  </w:r>
                </w:p>
              </w:tc>
              <w:tc>
                <w:tcPr>
                  <w:tcW w:w="1170" w:type="pct"/>
                  <w:tcBorders>
                    <w:tl2br w:val="nil"/>
                    <w:tr2bl w:val="nil"/>
                  </w:tcBorders>
                  <w:vAlign w:val="center"/>
                </w:tcPr>
                <w:p w14:paraId="213C2949">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ascii="Times New Roman" w:hAnsi="Times New Roman" w:eastAsia="宋体" w:cs="Times New Roman"/>
                      <w:color w:val="auto"/>
                      <w:kern w:val="0"/>
                      <w:sz w:val="21"/>
                      <w:szCs w:val="21"/>
                      <w:lang w:bidi="ar"/>
                    </w:rPr>
                  </w:pPr>
                  <w:r>
                    <w:rPr>
                      <w:rFonts w:ascii="Times New Roman" w:hAnsi="Times New Roman" w:eastAsia="宋体" w:cs="Times New Roman"/>
                      <w:color w:val="auto"/>
                      <w:kern w:val="0"/>
                      <w:sz w:val="21"/>
                      <w:szCs w:val="21"/>
                      <w:lang w:bidi="ar"/>
                    </w:rPr>
                    <w:t>达州市通川区东岳新型工业集聚区</w:t>
                  </w:r>
                </w:p>
              </w:tc>
              <w:tc>
                <w:tcPr>
                  <w:tcW w:w="609" w:type="pct"/>
                  <w:tcBorders>
                    <w:tl2br w:val="nil"/>
                    <w:tr2bl w:val="nil"/>
                  </w:tcBorders>
                  <w:vAlign w:val="center"/>
                </w:tcPr>
                <w:p w14:paraId="0D5073B6">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ascii="Times New Roman" w:hAnsi="Times New Roman" w:eastAsia="宋体" w:cs="Times New Roman"/>
                      <w:color w:val="auto"/>
                      <w:kern w:val="0"/>
                      <w:sz w:val="21"/>
                      <w:szCs w:val="21"/>
                      <w:lang w:bidi="ar"/>
                    </w:rPr>
                  </w:pPr>
                  <w:r>
                    <w:rPr>
                      <w:rFonts w:ascii="Times New Roman" w:hAnsi="Times New Roman" w:eastAsia="宋体" w:cs="Times New Roman"/>
                      <w:color w:val="auto"/>
                      <w:kern w:val="0"/>
                      <w:sz w:val="21"/>
                      <w:szCs w:val="21"/>
                      <w:lang w:bidi="ar"/>
                    </w:rPr>
                    <w:t>通川区</w:t>
                  </w:r>
                </w:p>
              </w:tc>
              <w:tc>
                <w:tcPr>
                  <w:tcW w:w="957" w:type="pct"/>
                  <w:tcBorders>
                    <w:tl2br w:val="nil"/>
                    <w:tr2bl w:val="nil"/>
                  </w:tcBorders>
                  <w:vAlign w:val="center"/>
                </w:tcPr>
                <w:p w14:paraId="0AF4D328">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ascii="Times New Roman" w:hAnsi="Times New Roman" w:eastAsia="宋体" w:cs="Times New Roman"/>
                      <w:color w:val="auto"/>
                      <w:kern w:val="0"/>
                      <w:sz w:val="21"/>
                      <w:szCs w:val="21"/>
                      <w:lang w:bidi="ar"/>
                    </w:rPr>
                  </w:pPr>
                  <w:r>
                    <w:rPr>
                      <w:rFonts w:ascii="Times New Roman" w:hAnsi="Times New Roman" w:eastAsia="宋体" w:cs="Times New Roman"/>
                      <w:color w:val="auto"/>
                      <w:kern w:val="0"/>
                      <w:sz w:val="21"/>
                      <w:szCs w:val="21"/>
                      <w:lang w:bidi="ar"/>
                    </w:rPr>
                    <w:t>环境综合管控单元</w:t>
                  </w:r>
                </w:p>
              </w:tc>
              <w:tc>
                <w:tcPr>
                  <w:tcW w:w="1047" w:type="pct"/>
                  <w:tcBorders>
                    <w:tl2br w:val="nil"/>
                    <w:tr2bl w:val="nil"/>
                  </w:tcBorders>
                  <w:vAlign w:val="center"/>
                </w:tcPr>
                <w:p w14:paraId="3430D155">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ascii="Times New Roman" w:hAnsi="Times New Roman" w:eastAsia="宋体" w:cs="Times New Roman"/>
                      <w:color w:val="auto"/>
                      <w:kern w:val="0"/>
                      <w:sz w:val="21"/>
                      <w:szCs w:val="21"/>
                      <w:lang w:bidi="ar"/>
                    </w:rPr>
                  </w:pPr>
                  <w:r>
                    <w:rPr>
                      <w:rFonts w:ascii="Times New Roman" w:hAnsi="Times New Roman" w:eastAsia="宋体" w:cs="Times New Roman"/>
                      <w:color w:val="auto"/>
                      <w:kern w:val="0"/>
                      <w:sz w:val="21"/>
                      <w:szCs w:val="21"/>
                      <w:lang w:bidi="ar"/>
                    </w:rPr>
                    <w:t>环境综合管控单元工业重点管控</w:t>
                  </w:r>
                </w:p>
                <w:p w14:paraId="7B4A94A7">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ascii="Times New Roman" w:hAnsi="Times New Roman" w:eastAsia="宋体" w:cs="Times New Roman"/>
                      <w:color w:val="auto"/>
                      <w:kern w:val="0"/>
                      <w:sz w:val="21"/>
                      <w:szCs w:val="21"/>
                      <w:lang w:bidi="ar"/>
                    </w:rPr>
                  </w:pPr>
                  <w:r>
                    <w:rPr>
                      <w:rFonts w:ascii="Times New Roman" w:hAnsi="Times New Roman" w:eastAsia="宋体" w:cs="Times New Roman"/>
                      <w:color w:val="auto"/>
                      <w:kern w:val="0"/>
                      <w:sz w:val="21"/>
                      <w:szCs w:val="21"/>
                      <w:lang w:bidi="ar"/>
                    </w:rPr>
                    <w:t>单元</w:t>
                  </w:r>
                </w:p>
              </w:tc>
            </w:tr>
          </w:tbl>
          <w:p w14:paraId="416D3189">
            <w:pPr>
              <w:spacing w:line="360" w:lineRule="auto"/>
              <w:jc w:val="center"/>
              <w:rPr>
                <w:color w:val="auto"/>
              </w:rPr>
            </w:pPr>
            <w:r>
              <w:rPr>
                <w:color w:val="auto"/>
              </w:rPr>
              <w:drawing>
                <wp:inline distT="0" distB="0" distL="114300" distR="114300">
                  <wp:extent cx="5081905" cy="3648710"/>
                  <wp:effectExtent l="0" t="0" r="4445" b="8890"/>
                  <wp:docPr id="1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7"/>
                          <pic:cNvPicPr>
                            <a:picLocks noChangeAspect="1"/>
                          </pic:cNvPicPr>
                        </pic:nvPicPr>
                        <pic:blipFill>
                          <a:blip r:embed="rId11"/>
                          <a:stretch>
                            <a:fillRect/>
                          </a:stretch>
                        </pic:blipFill>
                        <pic:spPr>
                          <a:xfrm>
                            <a:off x="0" y="0"/>
                            <a:ext cx="5081905" cy="3648710"/>
                          </a:xfrm>
                          <a:prstGeom prst="rect">
                            <a:avLst/>
                          </a:prstGeom>
                          <a:noFill/>
                          <a:ln>
                            <a:noFill/>
                          </a:ln>
                        </pic:spPr>
                      </pic:pic>
                    </a:graphicData>
                  </a:graphic>
                </wp:inline>
              </w:drawing>
            </w:r>
          </w:p>
          <w:p w14:paraId="52255B49">
            <w:pPr>
              <w:spacing w:line="360" w:lineRule="auto"/>
              <w:ind w:firstLine="482" w:firstLineChars="200"/>
              <w:jc w:val="center"/>
              <w:rPr>
                <w:rFonts w:ascii="Times New Roman" w:hAnsi="Times New Roman" w:eastAsia="宋体" w:cs="Times New Roman"/>
                <w:b/>
                <w:bCs/>
                <w:color w:val="auto"/>
                <w:sz w:val="24"/>
                <w:szCs w:val="24"/>
              </w:rPr>
            </w:pPr>
            <w:r>
              <w:rPr>
                <w:rFonts w:ascii="Times New Roman" w:hAnsi="Times New Roman" w:eastAsia="宋体" w:cs="Times New Roman"/>
                <w:b/>
                <w:bCs/>
                <w:color w:val="auto"/>
                <w:sz w:val="24"/>
                <w:szCs w:val="24"/>
                <w:lang w:val="en-US" w:eastAsia="zh-CN"/>
              </w:rPr>
              <w:t>图</w:t>
            </w:r>
            <w:r>
              <w:rPr>
                <w:rFonts w:hint="eastAsia" w:cs="Times New Roman"/>
                <w:b/>
                <w:bCs/>
                <w:color w:val="auto"/>
                <w:sz w:val="24"/>
                <w:szCs w:val="24"/>
                <w:lang w:val="en-US" w:eastAsia="zh-CN"/>
              </w:rPr>
              <w:t xml:space="preserve">1-5  </w:t>
            </w:r>
            <w:r>
              <w:rPr>
                <w:rFonts w:hint="eastAsia" w:ascii="Times New Roman" w:hAnsi="Times New Roman" w:eastAsia="宋体" w:cs="Times New Roman"/>
                <w:b/>
                <w:bCs/>
                <w:color w:val="auto"/>
                <w:sz w:val="24"/>
                <w:szCs w:val="24"/>
                <w:lang w:val="en-US" w:eastAsia="zh-CN"/>
              </w:rPr>
              <w:t>项目“生态环境分区管控”应用平台分析截图</w:t>
            </w:r>
          </w:p>
          <w:p w14:paraId="5D14372B">
            <w:pPr>
              <w:spacing w:line="360" w:lineRule="auto"/>
              <w:ind w:firstLine="420" w:firstLineChars="200"/>
              <w:jc w:val="left"/>
              <w:rPr>
                <w:rFonts w:hint="eastAsia" w:eastAsia="宋体"/>
                <w:color w:val="auto"/>
                <w:lang w:eastAsia="zh-CN"/>
              </w:rPr>
            </w:pPr>
          </w:p>
        </w:tc>
      </w:tr>
    </w:tbl>
    <w:p w14:paraId="7EA8575E">
      <w:pPr>
        <w:spacing w:line="360" w:lineRule="auto"/>
        <w:rPr>
          <w:rFonts w:cs="Times New Roman"/>
          <w:b/>
          <w:color w:val="auto"/>
          <w:sz w:val="28"/>
          <w:szCs w:val="28"/>
        </w:rPr>
        <w:sectPr>
          <w:footerReference r:id="rId4" w:type="default"/>
          <w:pgSz w:w="11906" w:h="16838"/>
          <w:pgMar w:top="1134" w:right="1134" w:bottom="1134" w:left="1418" w:header="851" w:footer="992" w:gutter="0"/>
          <w:pgBorders>
            <w:top w:val="none" w:sz="0" w:space="0"/>
            <w:left w:val="none" w:sz="0" w:space="0"/>
            <w:bottom w:val="none" w:sz="0" w:space="0"/>
            <w:right w:val="none" w:sz="0" w:space="0"/>
          </w:pgBorders>
          <w:pgNumType w:fmt="numberInDash" w:start="1"/>
          <w:cols w:space="720" w:num="1"/>
          <w:docGrid w:type="lines" w:linePitch="312" w:charSpace="0"/>
        </w:sectPr>
      </w:pPr>
    </w:p>
    <w:tbl>
      <w:tblPr>
        <w:tblStyle w:val="2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86"/>
      </w:tblGrid>
      <w:tr w14:paraId="42FACA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786" w:type="dxa"/>
          </w:tcPr>
          <w:p w14:paraId="176C8D99">
            <w:pPr>
              <w:spacing w:line="360" w:lineRule="auto"/>
              <w:ind w:firstLine="480" w:firstLineChars="200"/>
              <w:rPr>
                <w:rFonts w:cs="Times New Roman"/>
                <w:color w:val="auto"/>
                <w:sz w:val="24"/>
                <w:szCs w:val="24"/>
              </w:rPr>
            </w:pPr>
            <w:r>
              <w:rPr>
                <w:rFonts w:cs="Times New Roman"/>
                <w:color w:val="auto"/>
                <w:sz w:val="24"/>
                <w:szCs w:val="24"/>
              </w:rPr>
              <w:t>本项目与上述环境管控单元符合性分析见下表。</w:t>
            </w:r>
          </w:p>
          <w:p w14:paraId="5B240BDC">
            <w:pPr>
              <w:spacing w:line="360" w:lineRule="auto"/>
              <w:jc w:val="center"/>
              <w:rPr>
                <w:rFonts w:cs="Times New Roman"/>
                <w:b/>
                <w:color w:val="auto"/>
                <w:sz w:val="24"/>
                <w:szCs w:val="24"/>
              </w:rPr>
            </w:pPr>
            <w:r>
              <w:rPr>
                <w:rFonts w:cs="Times New Roman"/>
                <w:b/>
                <w:color w:val="auto"/>
                <w:sz w:val="24"/>
                <w:szCs w:val="24"/>
              </w:rPr>
              <w:t>表1-</w:t>
            </w:r>
            <w:r>
              <w:rPr>
                <w:rFonts w:hint="eastAsia" w:cs="Times New Roman"/>
                <w:b/>
                <w:color w:val="auto"/>
                <w:sz w:val="24"/>
                <w:szCs w:val="24"/>
                <w:lang w:val="en-US" w:eastAsia="zh-CN"/>
              </w:rPr>
              <w:t>7</w:t>
            </w:r>
            <w:r>
              <w:rPr>
                <w:rFonts w:cs="Times New Roman"/>
                <w:b/>
                <w:color w:val="auto"/>
                <w:sz w:val="24"/>
                <w:szCs w:val="24"/>
              </w:rPr>
              <w:t xml:space="preserve"> 本项目与所涉及环境管控单元符合性分析一览表</w:t>
            </w:r>
          </w:p>
          <w:tbl>
            <w:tblPr>
              <w:tblStyle w:val="84"/>
              <w:tblW w:w="14772" w:type="dxa"/>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28"/>
              <w:gridCol w:w="880"/>
              <w:gridCol w:w="6029"/>
              <w:gridCol w:w="812"/>
              <w:gridCol w:w="3353"/>
              <w:gridCol w:w="2597"/>
              <w:gridCol w:w="573"/>
            </w:tblGrid>
            <w:tr w14:paraId="3ADD69A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927" w:type="pct"/>
                  <w:gridSpan w:val="5"/>
                  <w:tcBorders>
                    <w:tl2br w:val="nil"/>
                    <w:tr2bl w:val="nil"/>
                  </w:tcBorders>
                  <w:vAlign w:val="center"/>
                </w:tcPr>
                <w:p w14:paraId="4817AC09">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sz w:val="21"/>
                      <w:szCs w:val="21"/>
                      <w:lang w:eastAsia="zh-CN"/>
                    </w:rPr>
                    <w:t>“</w:t>
                  </w:r>
                  <w:r>
                    <w:rPr>
                      <w:rFonts w:hint="default" w:ascii="Times New Roman" w:hAnsi="Times New Roman" w:eastAsia="宋体" w:cs="Times New Roman"/>
                      <w:b/>
                      <w:bCs/>
                      <w:color w:val="auto"/>
                      <w:sz w:val="21"/>
                      <w:szCs w:val="21"/>
                    </w:rPr>
                    <w:t>生态环境准入清单</w:t>
                  </w:r>
                  <w:r>
                    <w:rPr>
                      <w:rFonts w:hint="default" w:ascii="Times New Roman" w:hAnsi="Times New Roman" w:eastAsia="宋体" w:cs="Times New Roman"/>
                      <w:b/>
                      <w:bCs/>
                      <w:color w:val="auto"/>
                      <w:sz w:val="21"/>
                      <w:szCs w:val="21"/>
                      <w:lang w:eastAsia="zh-CN"/>
                    </w:rPr>
                    <w:t>”</w:t>
                  </w:r>
                  <w:r>
                    <w:rPr>
                      <w:rFonts w:hint="default" w:ascii="Times New Roman" w:hAnsi="Times New Roman" w:eastAsia="宋体" w:cs="Times New Roman"/>
                      <w:b/>
                      <w:bCs/>
                      <w:color w:val="auto"/>
                      <w:sz w:val="21"/>
                      <w:szCs w:val="21"/>
                    </w:rPr>
                    <w:t>的具体要求</w:t>
                  </w:r>
                </w:p>
              </w:tc>
              <w:tc>
                <w:tcPr>
                  <w:tcW w:w="879" w:type="pct"/>
                  <w:vMerge w:val="restart"/>
                  <w:tcBorders>
                    <w:tl2br w:val="nil"/>
                    <w:tr2bl w:val="nil"/>
                  </w:tcBorders>
                  <w:vAlign w:val="center"/>
                </w:tcPr>
                <w:p w14:paraId="538162D6">
                  <w:pPr>
                    <w:keepNext w:val="0"/>
                    <w:keepLines w:val="0"/>
                    <w:pageBreakBefore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sz w:val="21"/>
                      <w:szCs w:val="21"/>
                    </w:rPr>
                    <w:t>项目对应情况介绍</w:t>
                  </w:r>
                </w:p>
              </w:tc>
              <w:tc>
                <w:tcPr>
                  <w:tcW w:w="193" w:type="pct"/>
                  <w:vMerge w:val="restart"/>
                  <w:tcBorders>
                    <w:tl2br w:val="nil"/>
                    <w:tr2bl w:val="nil"/>
                  </w:tcBorders>
                  <w:vAlign w:val="center"/>
                </w:tcPr>
                <w:p w14:paraId="637C8082">
                  <w:pPr>
                    <w:keepNext w:val="0"/>
                    <w:keepLines w:val="0"/>
                    <w:pageBreakBefore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sz w:val="21"/>
                      <w:szCs w:val="21"/>
                    </w:rPr>
                    <w:t>符合性分析</w:t>
                  </w:r>
                </w:p>
              </w:tc>
            </w:tr>
            <w:tr w14:paraId="5111FFC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78" w:type="pct"/>
                  <w:tcBorders>
                    <w:tl2br w:val="nil"/>
                    <w:tr2bl w:val="nil"/>
                  </w:tcBorders>
                  <w:vAlign w:val="center"/>
                </w:tcPr>
                <w:p w14:paraId="76FE4D64">
                  <w:pPr>
                    <w:pStyle w:val="83"/>
                    <w:keepNext w:val="0"/>
                    <w:keepLines w:val="0"/>
                    <w:pageBreakBefore w:val="0"/>
                    <w:widowControl/>
                    <w:kinsoku/>
                    <w:wordWrap/>
                    <w:overflowPunct/>
                    <w:topLinePunct w:val="0"/>
                    <w:autoSpaceDE/>
                    <w:autoSpaceDN/>
                    <w:bidi w:val="0"/>
                    <w:adjustRightInd/>
                    <w:snapToGrid/>
                    <w:spacing w:line="240" w:lineRule="exact"/>
                    <w:ind w:left="-120" w:leftChars="-57" w:right="-97" w:rightChars="-46"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环境管控单元编码</w:t>
                  </w:r>
                </w:p>
              </w:tc>
              <w:tc>
                <w:tcPr>
                  <w:tcW w:w="297" w:type="pct"/>
                  <w:tcBorders>
                    <w:tl2br w:val="nil"/>
                    <w:tr2bl w:val="nil"/>
                  </w:tcBorders>
                  <w:vAlign w:val="center"/>
                </w:tcPr>
                <w:p w14:paraId="05FFBA16">
                  <w:pPr>
                    <w:pStyle w:val="83"/>
                    <w:keepNext w:val="0"/>
                    <w:keepLines w:val="0"/>
                    <w:pageBreakBefore w:val="0"/>
                    <w:widowControl/>
                    <w:kinsoku/>
                    <w:wordWrap/>
                    <w:overflowPunct/>
                    <w:topLinePunct w:val="0"/>
                    <w:autoSpaceDE/>
                    <w:autoSpaceDN/>
                    <w:bidi w:val="0"/>
                    <w:adjustRightInd/>
                    <w:snapToGrid/>
                    <w:spacing w:line="240" w:lineRule="exact"/>
                    <w:ind w:left="-120" w:leftChars="-57" w:right="-97" w:rightChars="-46"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环境管</w:t>
                  </w:r>
                </w:p>
                <w:p w14:paraId="1E839CBE">
                  <w:pPr>
                    <w:pStyle w:val="83"/>
                    <w:keepNext w:val="0"/>
                    <w:keepLines w:val="0"/>
                    <w:pageBreakBefore w:val="0"/>
                    <w:widowControl/>
                    <w:kinsoku/>
                    <w:wordWrap/>
                    <w:overflowPunct/>
                    <w:topLinePunct w:val="0"/>
                    <w:autoSpaceDE/>
                    <w:autoSpaceDN/>
                    <w:bidi w:val="0"/>
                    <w:adjustRightInd/>
                    <w:snapToGrid/>
                    <w:spacing w:line="240" w:lineRule="exact"/>
                    <w:ind w:left="-120" w:leftChars="-57" w:right="-97" w:rightChars="-46"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控单元</w:t>
                  </w:r>
                </w:p>
                <w:p w14:paraId="42C4C408">
                  <w:pPr>
                    <w:pStyle w:val="83"/>
                    <w:keepNext w:val="0"/>
                    <w:keepLines w:val="0"/>
                    <w:pageBreakBefore w:val="0"/>
                    <w:widowControl/>
                    <w:kinsoku/>
                    <w:wordWrap/>
                    <w:overflowPunct/>
                    <w:topLinePunct w:val="0"/>
                    <w:autoSpaceDE/>
                    <w:autoSpaceDN/>
                    <w:bidi w:val="0"/>
                    <w:adjustRightInd/>
                    <w:snapToGrid/>
                    <w:spacing w:line="240" w:lineRule="exact"/>
                    <w:ind w:left="-120" w:leftChars="-57" w:right="-97" w:rightChars="-46"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名称</w:t>
                  </w:r>
                </w:p>
              </w:tc>
              <w:tc>
                <w:tcPr>
                  <w:tcW w:w="2040" w:type="pct"/>
                  <w:tcBorders>
                    <w:tl2br w:val="nil"/>
                    <w:tr2bl w:val="nil"/>
                  </w:tcBorders>
                  <w:vAlign w:val="center"/>
                </w:tcPr>
                <w:p w14:paraId="2F923174">
                  <w:pPr>
                    <w:keepNext w:val="0"/>
                    <w:keepLines w:val="0"/>
                    <w:pageBreakBefore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达州市普适性清单</w:t>
                  </w:r>
                </w:p>
              </w:tc>
              <w:tc>
                <w:tcPr>
                  <w:tcW w:w="274" w:type="pct"/>
                  <w:tcBorders>
                    <w:tl2br w:val="nil"/>
                    <w:tr2bl w:val="nil"/>
                  </w:tcBorders>
                  <w:vAlign w:val="center"/>
                </w:tcPr>
                <w:p w14:paraId="2E6106E0">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kern w:val="0"/>
                      <w:sz w:val="21"/>
                      <w:szCs w:val="21"/>
                    </w:rPr>
                    <w:t>管控类别</w:t>
                  </w:r>
                </w:p>
              </w:tc>
              <w:tc>
                <w:tcPr>
                  <w:tcW w:w="1134" w:type="pct"/>
                  <w:tcBorders>
                    <w:tl2br w:val="nil"/>
                    <w:tr2bl w:val="nil"/>
                  </w:tcBorders>
                  <w:vAlign w:val="center"/>
                </w:tcPr>
                <w:p w14:paraId="5B450946">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kern w:val="0"/>
                      <w:sz w:val="21"/>
                      <w:szCs w:val="21"/>
                    </w:rPr>
                    <w:t>单元特性管控要求</w:t>
                  </w:r>
                </w:p>
              </w:tc>
              <w:tc>
                <w:tcPr>
                  <w:tcW w:w="879" w:type="pct"/>
                  <w:vMerge w:val="continue"/>
                  <w:tcBorders>
                    <w:tl2br w:val="nil"/>
                    <w:tr2bl w:val="nil"/>
                  </w:tcBorders>
                  <w:vAlign w:val="center"/>
                </w:tcPr>
                <w:p w14:paraId="57BE4222">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bCs/>
                      <w:color w:val="auto"/>
                      <w:kern w:val="0"/>
                      <w:sz w:val="21"/>
                      <w:szCs w:val="21"/>
                    </w:rPr>
                  </w:pPr>
                </w:p>
              </w:tc>
              <w:tc>
                <w:tcPr>
                  <w:tcW w:w="193" w:type="pct"/>
                  <w:vMerge w:val="continue"/>
                  <w:tcBorders>
                    <w:tl2br w:val="nil"/>
                    <w:tr2bl w:val="nil"/>
                  </w:tcBorders>
                  <w:vAlign w:val="center"/>
                </w:tcPr>
                <w:p w14:paraId="4E9A1076">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bCs/>
                      <w:color w:val="auto"/>
                      <w:kern w:val="0"/>
                      <w:sz w:val="21"/>
                      <w:szCs w:val="21"/>
                    </w:rPr>
                  </w:pPr>
                </w:p>
              </w:tc>
            </w:tr>
            <w:tr w14:paraId="156B16A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764" w:hRule="atLeast"/>
              </w:trPr>
              <w:tc>
                <w:tcPr>
                  <w:tcW w:w="178" w:type="pct"/>
                  <w:vMerge w:val="restart"/>
                  <w:tcBorders>
                    <w:tl2br w:val="nil"/>
                    <w:tr2bl w:val="nil"/>
                  </w:tcBorders>
                  <w:vAlign w:val="center"/>
                </w:tcPr>
                <w:p w14:paraId="5078C6A6">
                  <w:pPr>
                    <w:pStyle w:val="83"/>
                    <w:keepNext w:val="0"/>
                    <w:keepLines w:val="0"/>
                    <w:pageBreakBefore w:val="0"/>
                    <w:widowControl w:val="0"/>
                    <w:kinsoku/>
                    <w:wordWrap/>
                    <w:overflowPunct/>
                    <w:topLinePunct w:val="0"/>
                    <w:autoSpaceDE/>
                    <w:autoSpaceDN/>
                    <w:bidi w:val="0"/>
                    <w:adjustRightInd/>
                    <w:snapToGrid/>
                    <w:spacing w:line="240" w:lineRule="exact"/>
                    <w:ind w:firstLine="0" w:firstLineChars="0"/>
                    <w:jc w:val="both"/>
                    <w:textAlignment w:val="auto"/>
                    <w:rPr>
                      <w:rStyle w:val="26"/>
                      <w:rFonts w:hint="default" w:ascii="Times New Roman" w:hAnsi="Times New Roman" w:eastAsia="宋体" w:cs="Times New Roman"/>
                      <w:color w:val="auto"/>
                      <w:kern w:val="0"/>
                      <w:sz w:val="21"/>
                      <w:szCs w:val="21"/>
                      <w:lang w:val="en-US" w:eastAsia="zh-CN" w:bidi="ar-SA"/>
                    </w:rPr>
                  </w:pPr>
                  <w:r>
                    <w:rPr>
                      <w:rStyle w:val="26"/>
                      <w:rFonts w:hint="default" w:ascii="Times New Roman" w:hAnsi="Times New Roman" w:eastAsia="宋体" w:cs="Times New Roman"/>
                      <w:color w:val="auto"/>
                      <w:kern w:val="0"/>
                      <w:sz w:val="21"/>
                      <w:szCs w:val="21"/>
                      <w:lang w:val="en-US" w:eastAsia="zh-CN" w:bidi="ar-SA"/>
                    </w:rPr>
                    <w:t>ZH51170220003</w:t>
                  </w:r>
                </w:p>
              </w:tc>
              <w:tc>
                <w:tcPr>
                  <w:tcW w:w="297" w:type="pct"/>
                  <w:vMerge w:val="restart"/>
                  <w:tcBorders>
                    <w:tl2br w:val="nil"/>
                    <w:tr2bl w:val="nil"/>
                  </w:tcBorders>
                  <w:vAlign w:val="center"/>
                </w:tcPr>
                <w:p w14:paraId="78C3002B">
                  <w:pPr>
                    <w:pStyle w:val="83"/>
                    <w:keepNext w:val="0"/>
                    <w:keepLines w:val="0"/>
                    <w:pageBreakBefore w:val="0"/>
                    <w:widowControl w:val="0"/>
                    <w:kinsoku/>
                    <w:wordWrap/>
                    <w:overflowPunct/>
                    <w:topLinePunct w:val="0"/>
                    <w:autoSpaceDE/>
                    <w:autoSpaceDN/>
                    <w:bidi w:val="0"/>
                    <w:adjustRightInd/>
                    <w:snapToGrid/>
                    <w:spacing w:line="240" w:lineRule="exact"/>
                    <w:ind w:firstLine="0" w:firstLineChars="0"/>
                    <w:jc w:val="both"/>
                    <w:textAlignment w:val="auto"/>
                    <w:rPr>
                      <w:rStyle w:val="26"/>
                      <w:rFonts w:hint="default" w:ascii="Times New Roman" w:hAnsi="Times New Roman" w:eastAsia="宋体" w:cs="Times New Roman"/>
                      <w:color w:val="auto"/>
                      <w:kern w:val="0"/>
                      <w:sz w:val="21"/>
                      <w:szCs w:val="21"/>
                      <w:lang w:val="en-US" w:eastAsia="zh-CN" w:bidi="ar-SA"/>
                    </w:rPr>
                  </w:pPr>
                  <w:r>
                    <w:rPr>
                      <w:rStyle w:val="26"/>
                      <w:rFonts w:hint="default" w:ascii="Times New Roman" w:hAnsi="Times New Roman" w:eastAsia="宋体" w:cs="Times New Roman"/>
                      <w:color w:val="auto"/>
                      <w:kern w:val="0"/>
                      <w:sz w:val="21"/>
                      <w:szCs w:val="21"/>
                      <w:lang w:val="en-US" w:eastAsia="zh-CN" w:bidi="ar-SA"/>
                    </w:rPr>
                    <w:t>达州市通川区东岳新型工业集聚区</w:t>
                  </w:r>
                </w:p>
              </w:tc>
              <w:tc>
                <w:tcPr>
                  <w:tcW w:w="2040" w:type="pct"/>
                  <w:vMerge w:val="restart"/>
                  <w:tcBorders>
                    <w:tl2br w:val="nil"/>
                    <w:tr2bl w:val="nil"/>
                  </w:tcBorders>
                  <w:shd w:val="clear" w:color="auto" w:fill="auto"/>
                  <w:vAlign w:val="top"/>
                </w:tcPr>
                <w:p w14:paraId="376251A8">
                  <w:pPr>
                    <w:pStyle w:val="83"/>
                    <w:keepNext w:val="0"/>
                    <w:keepLines w:val="0"/>
                    <w:pageBreakBefore w:val="0"/>
                    <w:widowControl w:val="0"/>
                    <w:kinsoku/>
                    <w:wordWrap/>
                    <w:overflowPunct/>
                    <w:topLinePunct w:val="0"/>
                    <w:autoSpaceDE/>
                    <w:autoSpaceDN/>
                    <w:bidi w:val="0"/>
                    <w:adjustRightInd/>
                    <w:snapToGrid/>
                    <w:spacing w:line="220" w:lineRule="exact"/>
                    <w:ind w:firstLine="0" w:firstLineChars="0"/>
                    <w:jc w:val="both"/>
                    <w:textAlignment w:val="auto"/>
                    <w:rPr>
                      <w:rStyle w:val="26"/>
                      <w:rFonts w:hint="default" w:ascii="Times New Roman" w:hAnsi="Times New Roman" w:eastAsia="宋体" w:cs="Times New Roman"/>
                      <w:color w:val="auto"/>
                      <w:kern w:val="0"/>
                      <w:sz w:val="21"/>
                      <w:szCs w:val="21"/>
                      <w:lang w:val="en-US" w:eastAsia="zh-CN" w:bidi="ar-SA"/>
                    </w:rPr>
                  </w:pPr>
                  <w:r>
                    <w:rPr>
                      <w:rStyle w:val="26"/>
                      <w:rFonts w:hint="default" w:ascii="Times New Roman" w:hAnsi="Times New Roman" w:eastAsia="宋体" w:cs="Times New Roman"/>
                      <w:color w:val="auto"/>
                      <w:kern w:val="0"/>
                      <w:sz w:val="21"/>
                      <w:szCs w:val="21"/>
                      <w:lang w:val="en-US" w:eastAsia="zh-CN" w:bidi="ar-SA"/>
                    </w:rPr>
                    <w:t>空间布局约束：</w:t>
                  </w:r>
                </w:p>
                <w:p w14:paraId="1B9AA9AA">
                  <w:pPr>
                    <w:pStyle w:val="83"/>
                    <w:keepNext w:val="0"/>
                    <w:keepLines w:val="0"/>
                    <w:pageBreakBefore w:val="0"/>
                    <w:widowControl w:val="0"/>
                    <w:kinsoku/>
                    <w:wordWrap/>
                    <w:overflowPunct/>
                    <w:topLinePunct w:val="0"/>
                    <w:autoSpaceDE/>
                    <w:autoSpaceDN/>
                    <w:bidi w:val="0"/>
                    <w:adjustRightInd/>
                    <w:snapToGrid/>
                    <w:spacing w:line="220" w:lineRule="exact"/>
                    <w:ind w:firstLine="0" w:firstLineChars="0"/>
                    <w:jc w:val="both"/>
                    <w:textAlignment w:val="auto"/>
                    <w:rPr>
                      <w:rStyle w:val="26"/>
                      <w:rFonts w:hint="default" w:ascii="Times New Roman" w:hAnsi="Times New Roman" w:eastAsia="宋体" w:cs="Times New Roman"/>
                      <w:color w:val="auto"/>
                      <w:kern w:val="0"/>
                      <w:sz w:val="21"/>
                      <w:szCs w:val="21"/>
                      <w:lang w:val="en-US" w:eastAsia="zh-CN" w:bidi="ar-SA"/>
                    </w:rPr>
                  </w:pPr>
                  <w:r>
                    <w:rPr>
                      <w:rStyle w:val="26"/>
                      <w:rFonts w:hint="default" w:ascii="Times New Roman" w:hAnsi="Times New Roman" w:eastAsia="宋体" w:cs="Times New Roman"/>
                      <w:color w:val="auto"/>
                      <w:kern w:val="0"/>
                      <w:sz w:val="21"/>
                      <w:szCs w:val="21"/>
                      <w:lang w:val="en-US" w:eastAsia="zh-CN" w:bidi="ar-SA"/>
                    </w:rPr>
                    <w:t>禁止开发建设活动的要求</w:t>
                  </w:r>
                </w:p>
                <w:p w14:paraId="06E34BB0">
                  <w:pPr>
                    <w:pStyle w:val="83"/>
                    <w:keepNext w:val="0"/>
                    <w:keepLines w:val="0"/>
                    <w:pageBreakBefore w:val="0"/>
                    <w:widowControl w:val="0"/>
                    <w:kinsoku/>
                    <w:wordWrap/>
                    <w:overflowPunct/>
                    <w:topLinePunct w:val="0"/>
                    <w:autoSpaceDE/>
                    <w:autoSpaceDN/>
                    <w:bidi w:val="0"/>
                    <w:adjustRightInd/>
                    <w:snapToGrid/>
                    <w:spacing w:line="220" w:lineRule="exact"/>
                    <w:ind w:firstLine="0" w:firstLineChars="0"/>
                    <w:jc w:val="both"/>
                    <w:textAlignment w:val="auto"/>
                    <w:rPr>
                      <w:rStyle w:val="26"/>
                      <w:rFonts w:hint="default" w:ascii="Times New Roman" w:hAnsi="Times New Roman" w:eastAsia="宋体" w:cs="Times New Roman"/>
                      <w:color w:val="auto"/>
                      <w:kern w:val="0"/>
                      <w:sz w:val="21"/>
                      <w:szCs w:val="21"/>
                      <w:lang w:val="en-US" w:eastAsia="zh-CN" w:bidi="ar-SA"/>
                    </w:rPr>
                  </w:pPr>
                  <w:r>
                    <w:rPr>
                      <w:rStyle w:val="26"/>
                      <w:rFonts w:hint="default" w:ascii="Times New Roman" w:hAnsi="Times New Roman" w:eastAsia="宋体" w:cs="Times New Roman"/>
                      <w:color w:val="auto"/>
                      <w:kern w:val="0"/>
                      <w:sz w:val="21"/>
                      <w:szCs w:val="21"/>
                      <w:lang w:val="en-US" w:eastAsia="zh-CN" w:bidi="ar-SA"/>
                    </w:rPr>
                    <w:t>-禁止在长江干支流、重要湖泊岸线一公里范围内新建、扩建化工园区和化工项目，严控新建石油化工、煤化工、涉磷、造纸、印染、制革等项目。</w:t>
                  </w:r>
                </w:p>
                <w:p w14:paraId="371EE21F">
                  <w:pPr>
                    <w:pStyle w:val="83"/>
                    <w:keepNext w:val="0"/>
                    <w:keepLines w:val="0"/>
                    <w:pageBreakBefore w:val="0"/>
                    <w:widowControl w:val="0"/>
                    <w:kinsoku/>
                    <w:wordWrap/>
                    <w:overflowPunct/>
                    <w:topLinePunct w:val="0"/>
                    <w:autoSpaceDE/>
                    <w:autoSpaceDN/>
                    <w:bidi w:val="0"/>
                    <w:adjustRightInd/>
                    <w:snapToGrid/>
                    <w:spacing w:line="220" w:lineRule="exact"/>
                    <w:ind w:firstLine="0" w:firstLineChars="0"/>
                    <w:jc w:val="both"/>
                    <w:textAlignment w:val="auto"/>
                    <w:rPr>
                      <w:rStyle w:val="26"/>
                      <w:rFonts w:hint="default" w:ascii="Times New Roman" w:hAnsi="Times New Roman" w:eastAsia="宋体" w:cs="Times New Roman"/>
                      <w:color w:val="auto"/>
                      <w:kern w:val="0"/>
                      <w:sz w:val="21"/>
                      <w:szCs w:val="21"/>
                      <w:lang w:val="en-US" w:eastAsia="zh-CN" w:bidi="ar-SA"/>
                    </w:rPr>
                  </w:pPr>
                  <w:r>
                    <w:rPr>
                      <w:rStyle w:val="26"/>
                      <w:rFonts w:hint="default" w:ascii="Times New Roman" w:hAnsi="Times New Roman" w:eastAsia="宋体" w:cs="Times New Roman"/>
                      <w:color w:val="auto"/>
                      <w:kern w:val="0"/>
                      <w:sz w:val="21"/>
                      <w:szCs w:val="21"/>
                      <w:lang w:val="en-US" w:eastAsia="zh-CN" w:bidi="ar-SA"/>
                    </w:rPr>
                    <w:t>-禁止从事《长江经济带发展负面清单指南（试行）》禁止准入类事项。</w:t>
                  </w:r>
                </w:p>
                <w:p w14:paraId="0C834DCF">
                  <w:pPr>
                    <w:pStyle w:val="83"/>
                    <w:keepNext w:val="0"/>
                    <w:keepLines w:val="0"/>
                    <w:pageBreakBefore w:val="0"/>
                    <w:widowControl w:val="0"/>
                    <w:kinsoku/>
                    <w:wordWrap/>
                    <w:overflowPunct/>
                    <w:topLinePunct w:val="0"/>
                    <w:autoSpaceDE/>
                    <w:autoSpaceDN/>
                    <w:bidi w:val="0"/>
                    <w:adjustRightInd/>
                    <w:snapToGrid/>
                    <w:spacing w:line="220" w:lineRule="exact"/>
                    <w:ind w:firstLine="0" w:firstLineChars="0"/>
                    <w:jc w:val="both"/>
                    <w:textAlignment w:val="auto"/>
                    <w:rPr>
                      <w:rStyle w:val="26"/>
                      <w:rFonts w:hint="default" w:ascii="Times New Roman" w:hAnsi="Times New Roman" w:eastAsia="宋体" w:cs="Times New Roman"/>
                      <w:color w:val="auto"/>
                      <w:kern w:val="0"/>
                      <w:sz w:val="21"/>
                      <w:szCs w:val="21"/>
                      <w:lang w:val="en-US" w:eastAsia="zh-CN" w:bidi="ar-SA"/>
                    </w:rPr>
                  </w:pPr>
                  <w:r>
                    <w:rPr>
                      <w:rStyle w:val="26"/>
                      <w:rFonts w:hint="default" w:ascii="Times New Roman" w:hAnsi="Times New Roman" w:eastAsia="宋体" w:cs="Times New Roman"/>
                      <w:color w:val="auto"/>
                      <w:kern w:val="0"/>
                      <w:sz w:val="21"/>
                      <w:szCs w:val="21"/>
                      <w:lang w:val="en-US" w:eastAsia="zh-CN" w:bidi="ar-SA"/>
                    </w:rPr>
                    <w:t>-引进项目应符合园区规划环评和区域产业准入及负面清单要求。</w:t>
                  </w:r>
                </w:p>
                <w:p w14:paraId="1A1D9377">
                  <w:pPr>
                    <w:pStyle w:val="83"/>
                    <w:keepNext w:val="0"/>
                    <w:keepLines w:val="0"/>
                    <w:pageBreakBefore w:val="0"/>
                    <w:widowControl w:val="0"/>
                    <w:kinsoku/>
                    <w:wordWrap/>
                    <w:overflowPunct/>
                    <w:topLinePunct w:val="0"/>
                    <w:autoSpaceDE/>
                    <w:autoSpaceDN/>
                    <w:bidi w:val="0"/>
                    <w:adjustRightInd/>
                    <w:snapToGrid/>
                    <w:spacing w:line="220" w:lineRule="exact"/>
                    <w:ind w:firstLine="0" w:firstLineChars="0"/>
                    <w:jc w:val="both"/>
                    <w:textAlignment w:val="auto"/>
                    <w:rPr>
                      <w:rStyle w:val="26"/>
                      <w:rFonts w:hint="default" w:ascii="Times New Roman" w:hAnsi="Times New Roman" w:eastAsia="宋体" w:cs="Times New Roman"/>
                      <w:color w:val="auto"/>
                      <w:kern w:val="0"/>
                      <w:sz w:val="21"/>
                      <w:szCs w:val="21"/>
                      <w:lang w:val="en-US" w:eastAsia="zh-CN" w:bidi="ar-SA"/>
                    </w:rPr>
                  </w:pPr>
                  <w:r>
                    <w:rPr>
                      <w:rStyle w:val="26"/>
                      <w:rFonts w:hint="default" w:ascii="Times New Roman" w:hAnsi="Times New Roman" w:eastAsia="宋体" w:cs="Times New Roman"/>
                      <w:color w:val="auto"/>
                      <w:kern w:val="0"/>
                      <w:sz w:val="21"/>
                      <w:szCs w:val="21"/>
                      <w:lang w:val="en-US" w:eastAsia="zh-CN" w:bidi="ar-SA"/>
                    </w:rPr>
                    <w:t>-禁止新建不符合国家产业政策和行业准入条件的高污染项目。</w:t>
                  </w:r>
                </w:p>
                <w:p w14:paraId="75233D25">
                  <w:pPr>
                    <w:pStyle w:val="83"/>
                    <w:keepNext w:val="0"/>
                    <w:keepLines w:val="0"/>
                    <w:pageBreakBefore w:val="0"/>
                    <w:widowControl w:val="0"/>
                    <w:kinsoku/>
                    <w:wordWrap/>
                    <w:overflowPunct/>
                    <w:topLinePunct w:val="0"/>
                    <w:autoSpaceDE/>
                    <w:autoSpaceDN/>
                    <w:bidi w:val="0"/>
                    <w:adjustRightInd/>
                    <w:snapToGrid/>
                    <w:spacing w:line="220" w:lineRule="exact"/>
                    <w:ind w:firstLine="0" w:firstLineChars="0"/>
                    <w:jc w:val="both"/>
                    <w:textAlignment w:val="auto"/>
                    <w:rPr>
                      <w:rStyle w:val="26"/>
                      <w:rFonts w:hint="default" w:ascii="Times New Roman" w:hAnsi="Times New Roman" w:eastAsia="宋体" w:cs="Times New Roman"/>
                      <w:color w:val="auto"/>
                      <w:kern w:val="0"/>
                      <w:sz w:val="21"/>
                      <w:szCs w:val="21"/>
                      <w:lang w:val="en-US" w:eastAsia="zh-CN" w:bidi="ar-SA"/>
                    </w:rPr>
                  </w:pPr>
                  <w:r>
                    <w:rPr>
                      <w:rStyle w:val="26"/>
                      <w:rFonts w:hint="default" w:ascii="Times New Roman" w:hAnsi="Times New Roman" w:eastAsia="宋体" w:cs="Times New Roman"/>
                      <w:color w:val="auto"/>
                      <w:kern w:val="0"/>
                      <w:sz w:val="21"/>
                      <w:szCs w:val="21"/>
                      <w:lang w:val="en-US" w:eastAsia="zh-CN" w:bidi="ar-SA"/>
                    </w:rPr>
                    <w:t>-工业园区禁止新建高污染燃料锅炉。</w:t>
                  </w:r>
                </w:p>
                <w:p w14:paraId="549116A8">
                  <w:pPr>
                    <w:pStyle w:val="83"/>
                    <w:keepNext w:val="0"/>
                    <w:keepLines w:val="0"/>
                    <w:pageBreakBefore w:val="0"/>
                    <w:widowControl w:val="0"/>
                    <w:kinsoku/>
                    <w:wordWrap/>
                    <w:overflowPunct/>
                    <w:topLinePunct w:val="0"/>
                    <w:autoSpaceDE/>
                    <w:autoSpaceDN/>
                    <w:bidi w:val="0"/>
                    <w:adjustRightInd/>
                    <w:snapToGrid/>
                    <w:spacing w:line="220" w:lineRule="exact"/>
                    <w:ind w:firstLine="0" w:firstLineChars="0"/>
                    <w:jc w:val="both"/>
                    <w:textAlignment w:val="auto"/>
                    <w:rPr>
                      <w:rStyle w:val="26"/>
                      <w:rFonts w:hint="default" w:ascii="Times New Roman" w:hAnsi="Times New Roman" w:eastAsia="宋体" w:cs="Times New Roman"/>
                      <w:color w:val="auto"/>
                      <w:kern w:val="0"/>
                      <w:sz w:val="21"/>
                      <w:szCs w:val="21"/>
                      <w:lang w:val="en-US" w:eastAsia="zh-CN" w:bidi="ar-SA"/>
                    </w:rPr>
                  </w:pPr>
                  <w:r>
                    <w:rPr>
                      <w:rStyle w:val="26"/>
                      <w:rFonts w:hint="default" w:ascii="Times New Roman" w:hAnsi="Times New Roman" w:eastAsia="宋体" w:cs="Times New Roman"/>
                      <w:color w:val="auto"/>
                      <w:kern w:val="0"/>
                      <w:sz w:val="21"/>
                      <w:szCs w:val="21"/>
                      <w:lang w:val="en-US" w:eastAsia="zh-CN" w:bidi="ar-SA"/>
                    </w:rPr>
                    <w:t>-禁止在长江流域河湖管理范围内倾倒、填埋、堆放、弃置、处理固体废物。</w:t>
                  </w:r>
                </w:p>
                <w:p w14:paraId="6A59A194">
                  <w:pPr>
                    <w:pStyle w:val="83"/>
                    <w:keepNext w:val="0"/>
                    <w:keepLines w:val="0"/>
                    <w:pageBreakBefore w:val="0"/>
                    <w:widowControl w:val="0"/>
                    <w:kinsoku/>
                    <w:wordWrap/>
                    <w:overflowPunct/>
                    <w:topLinePunct w:val="0"/>
                    <w:autoSpaceDE/>
                    <w:autoSpaceDN/>
                    <w:bidi w:val="0"/>
                    <w:adjustRightInd/>
                    <w:snapToGrid/>
                    <w:spacing w:line="220" w:lineRule="exact"/>
                    <w:ind w:firstLine="0" w:firstLineChars="0"/>
                    <w:jc w:val="both"/>
                    <w:textAlignment w:val="auto"/>
                    <w:rPr>
                      <w:rStyle w:val="26"/>
                      <w:rFonts w:hint="default" w:ascii="Times New Roman" w:hAnsi="Times New Roman" w:eastAsia="宋体" w:cs="Times New Roman"/>
                      <w:color w:val="auto"/>
                      <w:kern w:val="0"/>
                      <w:sz w:val="21"/>
                      <w:szCs w:val="21"/>
                      <w:lang w:val="en-US" w:eastAsia="zh-CN" w:bidi="ar-SA"/>
                    </w:rPr>
                  </w:pPr>
                  <w:r>
                    <w:rPr>
                      <w:rStyle w:val="26"/>
                      <w:rFonts w:hint="default" w:ascii="Times New Roman" w:hAnsi="Times New Roman" w:eastAsia="宋体" w:cs="Times New Roman"/>
                      <w:color w:val="auto"/>
                      <w:kern w:val="0"/>
                      <w:sz w:val="21"/>
                      <w:szCs w:val="21"/>
                      <w:lang w:val="en-US" w:eastAsia="zh-CN" w:bidi="ar-SA"/>
                    </w:rPr>
                    <w:t>-未通过认定的化工园区，不得新建、改扩建化工项目（安全、环保、节能和智能化改造项目除外），按属地原则依法依规妥善做好未通过认定化工园区及园内企业的转型、关闭、处置及监管工作。</w:t>
                  </w:r>
                </w:p>
                <w:p w14:paraId="62E10B81">
                  <w:pPr>
                    <w:pStyle w:val="83"/>
                    <w:keepNext w:val="0"/>
                    <w:keepLines w:val="0"/>
                    <w:pageBreakBefore w:val="0"/>
                    <w:widowControl w:val="0"/>
                    <w:kinsoku/>
                    <w:wordWrap/>
                    <w:overflowPunct/>
                    <w:topLinePunct w:val="0"/>
                    <w:autoSpaceDE/>
                    <w:autoSpaceDN/>
                    <w:bidi w:val="0"/>
                    <w:adjustRightInd/>
                    <w:snapToGrid/>
                    <w:spacing w:line="220" w:lineRule="exact"/>
                    <w:ind w:firstLine="0" w:firstLineChars="0"/>
                    <w:jc w:val="both"/>
                    <w:textAlignment w:val="auto"/>
                    <w:rPr>
                      <w:rStyle w:val="26"/>
                      <w:rFonts w:hint="default" w:ascii="Times New Roman" w:hAnsi="Times New Roman" w:eastAsia="宋体" w:cs="Times New Roman"/>
                      <w:color w:val="auto"/>
                      <w:kern w:val="0"/>
                      <w:sz w:val="21"/>
                      <w:szCs w:val="21"/>
                      <w:lang w:val="en-US" w:eastAsia="zh-CN" w:bidi="ar-SA"/>
                    </w:rPr>
                  </w:pPr>
                </w:p>
                <w:p w14:paraId="020342BF">
                  <w:pPr>
                    <w:pStyle w:val="83"/>
                    <w:keepNext w:val="0"/>
                    <w:keepLines w:val="0"/>
                    <w:pageBreakBefore w:val="0"/>
                    <w:widowControl w:val="0"/>
                    <w:kinsoku/>
                    <w:wordWrap/>
                    <w:overflowPunct/>
                    <w:topLinePunct w:val="0"/>
                    <w:autoSpaceDE/>
                    <w:autoSpaceDN/>
                    <w:bidi w:val="0"/>
                    <w:adjustRightInd/>
                    <w:snapToGrid/>
                    <w:spacing w:line="220" w:lineRule="exact"/>
                    <w:ind w:firstLine="0" w:firstLineChars="0"/>
                    <w:jc w:val="both"/>
                    <w:textAlignment w:val="auto"/>
                    <w:rPr>
                      <w:rStyle w:val="26"/>
                      <w:rFonts w:hint="default" w:ascii="Times New Roman" w:hAnsi="Times New Roman" w:eastAsia="宋体" w:cs="Times New Roman"/>
                      <w:color w:val="auto"/>
                      <w:kern w:val="0"/>
                      <w:sz w:val="21"/>
                      <w:szCs w:val="21"/>
                      <w:lang w:val="en-US" w:eastAsia="zh-CN" w:bidi="ar-SA"/>
                    </w:rPr>
                  </w:pPr>
                  <w:r>
                    <w:rPr>
                      <w:rStyle w:val="26"/>
                      <w:rFonts w:hint="default" w:ascii="Times New Roman" w:hAnsi="Times New Roman" w:eastAsia="宋体" w:cs="Times New Roman"/>
                      <w:color w:val="auto"/>
                      <w:kern w:val="0"/>
                      <w:sz w:val="21"/>
                      <w:szCs w:val="21"/>
                      <w:lang w:val="en-US" w:eastAsia="zh-CN" w:bidi="ar-SA"/>
                    </w:rPr>
                    <w:t>限制开发建设活动的要求</w:t>
                  </w:r>
                </w:p>
                <w:p w14:paraId="671EDC79">
                  <w:pPr>
                    <w:pStyle w:val="83"/>
                    <w:keepNext w:val="0"/>
                    <w:keepLines w:val="0"/>
                    <w:pageBreakBefore w:val="0"/>
                    <w:widowControl w:val="0"/>
                    <w:kinsoku/>
                    <w:wordWrap/>
                    <w:overflowPunct/>
                    <w:topLinePunct w:val="0"/>
                    <w:autoSpaceDE/>
                    <w:autoSpaceDN/>
                    <w:bidi w:val="0"/>
                    <w:adjustRightInd/>
                    <w:snapToGrid/>
                    <w:spacing w:line="220" w:lineRule="exact"/>
                    <w:ind w:firstLine="0" w:firstLineChars="0"/>
                    <w:jc w:val="both"/>
                    <w:textAlignment w:val="auto"/>
                    <w:rPr>
                      <w:rStyle w:val="26"/>
                      <w:rFonts w:hint="default" w:ascii="Times New Roman" w:hAnsi="Times New Roman" w:eastAsia="宋体" w:cs="Times New Roman"/>
                      <w:color w:val="auto"/>
                      <w:kern w:val="0"/>
                      <w:sz w:val="21"/>
                      <w:szCs w:val="21"/>
                      <w:lang w:val="en-US" w:eastAsia="zh-CN" w:bidi="ar-SA"/>
                    </w:rPr>
                  </w:pPr>
                  <w:r>
                    <w:rPr>
                      <w:rStyle w:val="26"/>
                      <w:rFonts w:hint="default" w:ascii="Times New Roman" w:hAnsi="Times New Roman" w:eastAsia="宋体" w:cs="Times New Roman"/>
                      <w:color w:val="auto"/>
                      <w:kern w:val="0"/>
                      <w:sz w:val="21"/>
                      <w:szCs w:val="21"/>
                      <w:lang w:val="en-US" w:eastAsia="zh-CN" w:bidi="ar-SA"/>
                    </w:rPr>
                    <w:t>-严格控制污染物新增排放量，对新建排放二氧化硫、氮氧化物、工业烟粉尘和VOCS的项目实施现役源2倍削减量替代。</w:t>
                  </w:r>
                </w:p>
                <w:p w14:paraId="20B3159C">
                  <w:pPr>
                    <w:pStyle w:val="83"/>
                    <w:keepNext w:val="0"/>
                    <w:keepLines w:val="0"/>
                    <w:pageBreakBefore w:val="0"/>
                    <w:widowControl w:val="0"/>
                    <w:kinsoku/>
                    <w:wordWrap/>
                    <w:overflowPunct/>
                    <w:topLinePunct w:val="0"/>
                    <w:autoSpaceDE/>
                    <w:autoSpaceDN/>
                    <w:bidi w:val="0"/>
                    <w:adjustRightInd/>
                    <w:snapToGrid/>
                    <w:spacing w:line="220" w:lineRule="exact"/>
                    <w:ind w:firstLine="0" w:firstLineChars="0"/>
                    <w:jc w:val="both"/>
                    <w:textAlignment w:val="auto"/>
                    <w:rPr>
                      <w:rStyle w:val="26"/>
                      <w:rFonts w:hint="default" w:ascii="Times New Roman" w:hAnsi="Times New Roman" w:eastAsia="宋体" w:cs="Times New Roman"/>
                      <w:color w:val="auto"/>
                      <w:kern w:val="0"/>
                      <w:sz w:val="21"/>
                      <w:szCs w:val="21"/>
                      <w:lang w:val="en-US" w:eastAsia="zh-CN" w:bidi="ar-SA"/>
                    </w:rPr>
                  </w:pPr>
                  <w:r>
                    <w:rPr>
                      <w:rStyle w:val="26"/>
                      <w:rFonts w:hint="default" w:ascii="Times New Roman" w:hAnsi="Times New Roman" w:eastAsia="宋体" w:cs="Times New Roman"/>
                      <w:color w:val="auto"/>
                      <w:kern w:val="0"/>
                      <w:sz w:val="21"/>
                      <w:szCs w:val="21"/>
                      <w:lang w:val="en-US" w:eastAsia="zh-CN" w:bidi="ar-SA"/>
                    </w:rPr>
                    <w:t>-严格实施环评制度，将细颗粒物达标情况纳入规划环评和相关项目环评内容，加快制定颗粒物、VOCS排放总量管理配套政策。</w:t>
                  </w:r>
                </w:p>
                <w:p w14:paraId="21E15C01">
                  <w:pPr>
                    <w:pStyle w:val="83"/>
                    <w:keepNext w:val="0"/>
                    <w:keepLines w:val="0"/>
                    <w:pageBreakBefore w:val="0"/>
                    <w:widowControl w:val="0"/>
                    <w:kinsoku/>
                    <w:wordWrap/>
                    <w:overflowPunct/>
                    <w:topLinePunct w:val="0"/>
                    <w:autoSpaceDE/>
                    <w:autoSpaceDN/>
                    <w:bidi w:val="0"/>
                    <w:adjustRightInd/>
                    <w:snapToGrid/>
                    <w:spacing w:line="220" w:lineRule="exact"/>
                    <w:ind w:firstLine="0" w:firstLineChars="0"/>
                    <w:jc w:val="both"/>
                    <w:textAlignment w:val="auto"/>
                    <w:rPr>
                      <w:rStyle w:val="26"/>
                      <w:rFonts w:hint="default" w:ascii="Times New Roman" w:hAnsi="Times New Roman" w:eastAsia="宋体" w:cs="Times New Roman"/>
                      <w:color w:val="auto"/>
                      <w:kern w:val="0"/>
                      <w:sz w:val="21"/>
                      <w:szCs w:val="21"/>
                      <w:lang w:val="en-US" w:eastAsia="zh-CN" w:bidi="ar-SA"/>
                    </w:rPr>
                  </w:pPr>
                  <w:r>
                    <w:rPr>
                      <w:rStyle w:val="26"/>
                      <w:rFonts w:hint="default" w:ascii="Times New Roman" w:hAnsi="Times New Roman" w:eastAsia="宋体" w:cs="Times New Roman"/>
                      <w:color w:val="auto"/>
                      <w:kern w:val="0"/>
                      <w:sz w:val="21"/>
                      <w:szCs w:val="21"/>
                      <w:lang w:val="en-US" w:eastAsia="zh-CN" w:bidi="ar-SA"/>
                    </w:rPr>
                    <w:t>-严格控制新建、扩建燃煤发电项目。</w:t>
                  </w:r>
                </w:p>
                <w:p w14:paraId="1298D361">
                  <w:pPr>
                    <w:pStyle w:val="83"/>
                    <w:keepNext w:val="0"/>
                    <w:keepLines w:val="0"/>
                    <w:pageBreakBefore w:val="0"/>
                    <w:widowControl w:val="0"/>
                    <w:kinsoku/>
                    <w:wordWrap/>
                    <w:overflowPunct/>
                    <w:topLinePunct w:val="0"/>
                    <w:autoSpaceDE/>
                    <w:autoSpaceDN/>
                    <w:bidi w:val="0"/>
                    <w:adjustRightInd/>
                    <w:snapToGrid/>
                    <w:spacing w:line="220" w:lineRule="exact"/>
                    <w:ind w:firstLine="0" w:firstLineChars="0"/>
                    <w:jc w:val="both"/>
                    <w:textAlignment w:val="auto"/>
                    <w:rPr>
                      <w:rStyle w:val="26"/>
                      <w:rFonts w:hint="default" w:ascii="Times New Roman" w:hAnsi="Times New Roman" w:eastAsia="宋体" w:cs="Times New Roman"/>
                      <w:color w:val="auto"/>
                      <w:kern w:val="0"/>
                      <w:sz w:val="21"/>
                      <w:szCs w:val="21"/>
                      <w:lang w:val="en-US" w:eastAsia="zh-CN" w:bidi="ar-SA"/>
                    </w:rPr>
                  </w:pPr>
                  <w:r>
                    <w:rPr>
                      <w:rStyle w:val="26"/>
                      <w:rFonts w:hint="default" w:ascii="Times New Roman" w:hAnsi="Times New Roman" w:eastAsia="宋体" w:cs="Times New Roman"/>
                      <w:color w:val="auto"/>
                      <w:kern w:val="0"/>
                      <w:sz w:val="21"/>
                      <w:szCs w:val="21"/>
                      <w:lang w:val="en-US" w:eastAsia="zh-CN" w:bidi="ar-SA"/>
                    </w:rPr>
                    <w:t>-严控达州市主城区上游沿岸地区新建石油化工、煤化工、涉磷、造纸、印染、制革等项目。</w:t>
                  </w:r>
                </w:p>
                <w:p w14:paraId="2C15642E">
                  <w:pPr>
                    <w:pStyle w:val="83"/>
                    <w:keepNext w:val="0"/>
                    <w:keepLines w:val="0"/>
                    <w:pageBreakBefore w:val="0"/>
                    <w:widowControl w:val="0"/>
                    <w:kinsoku/>
                    <w:wordWrap/>
                    <w:overflowPunct/>
                    <w:topLinePunct w:val="0"/>
                    <w:autoSpaceDE/>
                    <w:autoSpaceDN/>
                    <w:bidi w:val="0"/>
                    <w:adjustRightInd/>
                    <w:snapToGrid/>
                    <w:spacing w:line="220" w:lineRule="exact"/>
                    <w:ind w:firstLine="0" w:firstLineChars="0"/>
                    <w:jc w:val="both"/>
                    <w:textAlignment w:val="auto"/>
                    <w:rPr>
                      <w:rStyle w:val="26"/>
                      <w:rFonts w:hint="default" w:ascii="Times New Roman" w:hAnsi="Times New Roman" w:eastAsia="宋体" w:cs="Times New Roman"/>
                      <w:color w:val="auto"/>
                      <w:kern w:val="0"/>
                      <w:sz w:val="21"/>
                      <w:szCs w:val="21"/>
                      <w:lang w:val="en-US" w:eastAsia="zh-CN" w:bidi="ar-SA"/>
                    </w:rPr>
                  </w:pPr>
                </w:p>
                <w:p w14:paraId="704A5851">
                  <w:pPr>
                    <w:pStyle w:val="83"/>
                    <w:keepNext w:val="0"/>
                    <w:keepLines w:val="0"/>
                    <w:pageBreakBefore w:val="0"/>
                    <w:widowControl w:val="0"/>
                    <w:kinsoku/>
                    <w:wordWrap/>
                    <w:overflowPunct/>
                    <w:topLinePunct w:val="0"/>
                    <w:autoSpaceDE/>
                    <w:autoSpaceDN/>
                    <w:bidi w:val="0"/>
                    <w:adjustRightInd/>
                    <w:snapToGrid/>
                    <w:spacing w:line="220" w:lineRule="exact"/>
                    <w:ind w:firstLine="0" w:firstLineChars="0"/>
                    <w:jc w:val="both"/>
                    <w:textAlignment w:val="auto"/>
                    <w:rPr>
                      <w:rStyle w:val="26"/>
                      <w:rFonts w:hint="default" w:ascii="Times New Roman" w:hAnsi="Times New Roman" w:eastAsia="宋体" w:cs="Times New Roman"/>
                      <w:color w:val="auto"/>
                      <w:kern w:val="0"/>
                      <w:sz w:val="21"/>
                      <w:szCs w:val="21"/>
                      <w:lang w:val="en-US" w:eastAsia="zh-CN" w:bidi="ar-SA"/>
                    </w:rPr>
                  </w:pPr>
                  <w:r>
                    <w:rPr>
                      <w:rStyle w:val="26"/>
                      <w:rFonts w:hint="default" w:ascii="Times New Roman" w:hAnsi="Times New Roman" w:eastAsia="宋体" w:cs="Times New Roman"/>
                      <w:color w:val="auto"/>
                      <w:kern w:val="0"/>
                      <w:sz w:val="21"/>
                      <w:szCs w:val="21"/>
                      <w:lang w:val="en-US" w:eastAsia="zh-CN" w:bidi="ar-SA"/>
                    </w:rPr>
                    <w:t>不符合空间布局要求活动的退出要求</w:t>
                  </w:r>
                </w:p>
                <w:p w14:paraId="6F991AAF">
                  <w:pPr>
                    <w:pStyle w:val="83"/>
                    <w:keepNext w:val="0"/>
                    <w:keepLines w:val="0"/>
                    <w:pageBreakBefore w:val="0"/>
                    <w:widowControl w:val="0"/>
                    <w:kinsoku/>
                    <w:wordWrap/>
                    <w:overflowPunct/>
                    <w:topLinePunct w:val="0"/>
                    <w:autoSpaceDE/>
                    <w:autoSpaceDN/>
                    <w:bidi w:val="0"/>
                    <w:adjustRightInd/>
                    <w:snapToGrid/>
                    <w:spacing w:line="220" w:lineRule="exact"/>
                    <w:ind w:firstLine="0" w:firstLineChars="0"/>
                    <w:jc w:val="both"/>
                    <w:textAlignment w:val="auto"/>
                    <w:rPr>
                      <w:rStyle w:val="26"/>
                      <w:rFonts w:hint="default" w:ascii="Times New Roman" w:hAnsi="Times New Roman" w:eastAsia="宋体" w:cs="Times New Roman"/>
                      <w:color w:val="auto"/>
                      <w:kern w:val="0"/>
                      <w:sz w:val="21"/>
                      <w:szCs w:val="21"/>
                      <w:lang w:val="en-US" w:eastAsia="zh-CN" w:bidi="ar-SA"/>
                    </w:rPr>
                  </w:pPr>
                  <w:r>
                    <w:rPr>
                      <w:rStyle w:val="26"/>
                      <w:rFonts w:hint="default" w:ascii="Times New Roman" w:hAnsi="Times New Roman" w:eastAsia="宋体" w:cs="Times New Roman"/>
                      <w:color w:val="auto"/>
                      <w:kern w:val="0"/>
                      <w:sz w:val="21"/>
                      <w:szCs w:val="21"/>
                      <w:lang w:val="en-US" w:eastAsia="zh-CN" w:bidi="ar-SA"/>
                    </w:rPr>
                    <w:t>-现有属于禁止引入产业门类的企业，应按相关规定限期整治或退出。</w:t>
                  </w:r>
                </w:p>
                <w:p w14:paraId="329E0F28">
                  <w:pPr>
                    <w:pStyle w:val="83"/>
                    <w:keepNext w:val="0"/>
                    <w:keepLines w:val="0"/>
                    <w:pageBreakBefore w:val="0"/>
                    <w:widowControl w:val="0"/>
                    <w:kinsoku/>
                    <w:wordWrap/>
                    <w:overflowPunct/>
                    <w:topLinePunct w:val="0"/>
                    <w:autoSpaceDE/>
                    <w:autoSpaceDN/>
                    <w:bidi w:val="0"/>
                    <w:adjustRightInd/>
                    <w:snapToGrid/>
                    <w:spacing w:line="220" w:lineRule="exact"/>
                    <w:ind w:firstLine="0" w:firstLineChars="0"/>
                    <w:jc w:val="both"/>
                    <w:textAlignment w:val="auto"/>
                    <w:rPr>
                      <w:rStyle w:val="26"/>
                      <w:rFonts w:hint="default" w:ascii="Times New Roman" w:hAnsi="Times New Roman" w:eastAsia="宋体" w:cs="Times New Roman"/>
                      <w:color w:val="auto"/>
                      <w:kern w:val="0"/>
                      <w:sz w:val="21"/>
                      <w:szCs w:val="21"/>
                      <w:lang w:val="en-US" w:eastAsia="zh-CN" w:bidi="ar-SA"/>
                    </w:rPr>
                  </w:pPr>
                  <w:r>
                    <w:rPr>
                      <w:rStyle w:val="26"/>
                      <w:rFonts w:hint="default" w:ascii="Times New Roman" w:hAnsi="Times New Roman" w:eastAsia="宋体" w:cs="Times New Roman"/>
                      <w:color w:val="auto"/>
                      <w:kern w:val="0"/>
                      <w:sz w:val="21"/>
                      <w:szCs w:val="21"/>
                      <w:lang w:val="en-US" w:eastAsia="zh-CN" w:bidi="ar-SA"/>
                    </w:rPr>
                    <w:t>-重点区域城市钢铁企业要切实采取彻底关停、转型发展、就地改造、域外搬迁等方式。四川省达州钢铁集团有限责任公司处于四川省大气污染防治重点区域，属于“彻底关停、转型发展、就地改造、域外搬迁”企业；</w:t>
                  </w:r>
                </w:p>
                <w:p w14:paraId="12BB3D5C">
                  <w:pPr>
                    <w:pStyle w:val="83"/>
                    <w:keepNext w:val="0"/>
                    <w:keepLines w:val="0"/>
                    <w:pageBreakBefore w:val="0"/>
                    <w:widowControl w:val="0"/>
                    <w:kinsoku/>
                    <w:wordWrap/>
                    <w:overflowPunct/>
                    <w:topLinePunct w:val="0"/>
                    <w:autoSpaceDE/>
                    <w:autoSpaceDN/>
                    <w:bidi w:val="0"/>
                    <w:adjustRightInd/>
                    <w:snapToGrid/>
                    <w:spacing w:line="220" w:lineRule="exact"/>
                    <w:ind w:firstLine="0" w:firstLineChars="0"/>
                    <w:jc w:val="both"/>
                    <w:textAlignment w:val="auto"/>
                    <w:rPr>
                      <w:rStyle w:val="26"/>
                      <w:rFonts w:hint="default" w:ascii="Times New Roman" w:hAnsi="Times New Roman" w:eastAsia="宋体" w:cs="Times New Roman"/>
                      <w:color w:val="auto"/>
                      <w:kern w:val="0"/>
                      <w:sz w:val="21"/>
                      <w:szCs w:val="21"/>
                      <w:lang w:val="en-US" w:eastAsia="zh-CN" w:bidi="ar-SA"/>
                    </w:rPr>
                  </w:pPr>
                  <w:r>
                    <w:rPr>
                      <w:rStyle w:val="26"/>
                      <w:rFonts w:hint="default" w:ascii="Times New Roman" w:hAnsi="Times New Roman" w:eastAsia="宋体" w:cs="Times New Roman"/>
                      <w:color w:val="auto"/>
                      <w:kern w:val="0"/>
                      <w:sz w:val="21"/>
                      <w:szCs w:val="21"/>
                      <w:lang w:val="en-US" w:eastAsia="zh-CN" w:bidi="ar-SA"/>
                    </w:rPr>
                    <w:t>-引导重污染产业退出或搬迁、企业分类退城入园，逐步打破近水靠城的历史工业布局。加大城市区域现有装备水平低、环保设施差的微小企业“关、停、并、转”实施力度，清理建成区上风向重点涉气项目。</w:t>
                  </w:r>
                </w:p>
                <w:p w14:paraId="1F2376C0">
                  <w:pPr>
                    <w:pStyle w:val="83"/>
                    <w:keepNext w:val="0"/>
                    <w:keepLines w:val="0"/>
                    <w:pageBreakBefore w:val="0"/>
                    <w:widowControl w:val="0"/>
                    <w:kinsoku/>
                    <w:wordWrap/>
                    <w:overflowPunct/>
                    <w:topLinePunct w:val="0"/>
                    <w:autoSpaceDE/>
                    <w:autoSpaceDN/>
                    <w:bidi w:val="0"/>
                    <w:adjustRightInd/>
                    <w:snapToGrid/>
                    <w:spacing w:line="220" w:lineRule="exact"/>
                    <w:ind w:firstLine="0" w:firstLineChars="0"/>
                    <w:jc w:val="both"/>
                    <w:textAlignment w:val="auto"/>
                    <w:rPr>
                      <w:rStyle w:val="26"/>
                      <w:rFonts w:hint="default" w:ascii="Times New Roman" w:hAnsi="Times New Roman" w:eastAsia="宋体" w:cs="Times New Roman"/>
                      <w:color w:val="auto"/>
                      <w:kern w:val="0"/>
                      <w:sz w:val="21"/>
                      <w:szCs w:val="21"/>
                      <w:lang w:val="en-US" w:eastAsia="zh-CN" w:bidi="ar-SA"/>
                    </w:rPr>
                  </w:pPr>
                  <w:r>
                    <w:rPr>
                      <w:rStyle w:val="26"/>
                      <w:rFonts w:hint="default" w:ascii="Times New Roman" w:hAnsi="Times New Roman" w:eastAsia="宋体" w:cs="Times New Roman"/>
                      <w:color w:val="auto"/>
                      <w:kern w:val="0"/>
                      <w:sz w:val="21"/>
                      <w:szCs w:val="21"/>
                      <w:lang w:val="en-US" w:eastAsia="zh-CN" w:bidi="ar-SA"/>
                    </w:rPr>
                    <w:t>-石化、现代煤化工项目应纳入国家产业规划。新建、扩建石化、化工、焦化、有色金属冶炼、平板玻璃项目应布设在依法合规设立并经规划环评的产业园区。</w:t>
                  </w:r>
                </w:p>
                <w:p w14:paraId="06CFF951">
                  <w:pPr>
                    <w:pStyle w:val="83"/>
                    <w:keepNext w:val="0"/>
                    <w:keepLines w:val="0"/>
                    <w:pageBreakBefore w:val="0"/>
                    <w:widowControl w:val="0"/>
                    <w:kinsoku/>
                    <w:wordWrap/>
                    <w:overflowPunct/>
                    <w:topLinePunct w:val="0"/>
                    <w:autoSpaceDE/>
                    <w:autoSpaceDN/>
                    <w:bidi w:val="0"/>
                    <w:adjustRightInd/>
                    <w:snapToGrid/>
                    <w:spacing w:line="220" w:lineRule="exact"/>
                    <w:ind w:firstLine="0" w:firstLineChars="0"/>
                    <w:jc w:val="both"/>
                    <w:textAlignment w:val="auto"/>
                    <w:rPr>
                      <w:rStyle w:val="26"/>
                      <w:rFonts w:hint="default" w:ascii="Times New Roman" w:hAnsi="Times New Roman" w:eastAsia="宋体" w:cs="Times New Roman"/>
                      <w:color w:val="auto"/>
                      <w:kern w:val="0"/>
                      <w:sz w:val="21"/>
                      <w:szCs w:val="21"/>
                      <w:lang w:val="en-US" w:eastAsia="zh-CN" w:bidi="ar-SA"/>
                    </w:rPr>
                  </w:pPr>
                </w:p>
                <w:p w14:paraId="4000123B">
                  <w:pPr>
                    <w:pStyle w:val="83"/>
                    <w:keepNext w:val="0"/>
                    <w:keepLines w:val="0"/>
                    <w:pageBreakBefore w:val="0"/>
                    <w:widowControl w:val="0"/>
                    <w:kinsoku/>
                    <w:wordWrap/>
                    <w:overflowPunct/>
                    <w:topLinePunct w:val="0"/>
                    <w:autoSpaceDE/>
                    <w:autoSpaceDN/>
                    <w:bidi w:val="0"/>
                    <w:adjustRightInd/>
                    <w:snapToGrid/>
                    <w:spacing w:line="220" w:lineRule="exact"/>
                    <w:ind w:firstLine="0" w:firstLineChars="0"/>
                    <w:jc w:val="both"/>
                    <w:textAlignment w:val="auto"/>
                    <w:rPr>
                      <w:rStyle w:val="26"/>
                      <w:rFonts w:hint="default" w:ascii="Times New Roman" w:hAnsi="Times New Roman" w:eastAsia="宋体" w:cs="Times New Roman"/>
                      <w:color w:val="auto"/>
                      <w:kern w:val="0"/>
                      <w:sz w:val="21"/>
                      <w:szCs w:val="21"/>
                      <w:lang w:val="en-US" w:eastAsia="zh-CN" w:bidi="ar-SA"/>
                    </w:rPr>
                  </w:pPr>
                  <w:r>
                    <w:rPr>
                      <w:rStyle w:val="26"/>
                      <w:rFonts w:hint="default" w:ascii="Times New Roman" w:hAnsi="Times New Roman" w:eastAsia="宋体" w:cs="Times New Roman"/>
                      <w:color w:val="auto"/>
                      <w:kern w:val="0"/>
                      <w:sz w:val="21"/>
                      <w:szCs w:val="21"/>
                      <w:lang w:val="en-US" w:eastAsia="zh-CN" w:bidi="ar-SA"/>
                    </w:rPr>
                    <w:t>其他空间布局约束要求/</w:t>
                  </w:r>
                </w:p>
                <w:p w14:paraId="4BD63B63">
                  <w:pPr>
                    <w:pStyle w:val="83"/>
                    <w:keepNext w:val="0"/>
                    <w:keepLines w:val="0"/>
                    <w:pageBreakBefore w:val="0"/>
                    <w:widowControl w:val="0"/>
                    <w:kinsoku/>
                    <w:wordWrap/>
                    <w:overflowPunct/>
                    <w:topLinePunct w:val="0"/>
                    <w:autoSpaceDE/>
                    <w:autoSpaceDN/>
                    <w:bidi w:val="0"/>
                    <w:adjustRightInd/>
                    <w:snapToGrid/>
                    <w:spacing w:line="220" w:lineRule="exact"/>
                    <w:ind w:firstLine="0" w:firstLineChars="0"/>
                    <w:jc w:val="both"/>
                    <w:textAlignment w:val="auto"/>
                    <w:rPr>
                      <w:rStyle w:val="26"/>
                      <w:rFonts w:hint="default" w:ascii="Times New Roman" w:hAnsi="Times New Roman" w:eastAsia="宋体" w:cs="Times New Roman"/>
                      <w:color w:val="auto"/>
                      <w:kern w:val="0"/>
                      <w:sz w:val="21"/>
                      <w:szCs w:val="21"/>
                      <w:lang w:val="en-US" w:eastAsia="zh-CN" w:bidi="ar-SA"/>
                    </w:rPr>
                  </w:pPr>
                  <w:r>
                    <w:rPr>
                      <w:rStyle w:val="26"/>
                      <w:rFonts w:hint="default" w:ascii="Times New Roman" w:hAnsi="Times New Roman" w:eastAsia="宋体" w:cs="Times New Roman"/>
                      <w:color w:val="auto"/>
                      <w:kern w:val="0"/>
                      <w:sz w:val="21"/>
                      <w:szCs w:val="21"/>
                      <w:lang w:val="en-US" w:eastAsia="zh-CN" w:bidi="ar-SA"/>
                    </w:rPr>
                    <w:t>污染物排放管控：</w:t>
                  </w:r>
                </w:p>
                <w:p w14:paraId="2FD83F45">
                  <w:pPr>
                    <w:pStyle w:val="83"/>
                    <w:keepNext w:val="0"/>
                    <w:keepLines w:val="0"/>
                    <w:pageBreakBefore w:val="0"/>
                    <w:widowControl w:val="0"/>
                    <w:kinsoku/>
                    <w:wordWrap/>
                    <w:overflowPunct/>
                    <w:topLinePunct w:val="0"/>
                    <w:autoSpaceDE/>
                    <w:autoSpaceDN/>
                    <w:bidi w:val="0"/>
                    <w:adjustRightInd/>
                    <w:snapToGrid/>
                    <w:spacing w:line="220" w:lineRule="exact"/>
                    <w:ind w:firstLine="0" w:firstLineChars="0"/>
                    <w:jc w:val="both"/>
                    <w:textAlignment w:val="auto"/>
                    <w:rPr>
                      <w:rStyle w:val="26"/>
                      <w:rFonts w:hint="default" w:ascii="Times New Roman" w:hAnsi="Times New Roman" w:eastAsia="宋体" w:cs="Times New Roman"/>
                      <w:color w:val="auto"/>
                      <w:kern w:val="0"/>
                      <w:sz w:val="21"/>
                      <w:szCs w:val="21"/>
                      <w:lang w:val="en-US" w:eastAsia="zh-CN" w:bidi="ar-SA"/>
                    </w:rPr>
                  </w:pPr>
                  <w:r>
                    <w:rPr>
                      <w:rStyle w:val="26"/>
                      <w:rFonts w:hint="default" w:ascii="Times New Roman" w:hAnsi="Times New Roman" w:eastAsia="宋体" w:cs="Times New Roman"/>
                      <w:color w:val="auto"/>
                      <w:kern w:val="0"/>
                      <w:sz w:val="21"/>
                      <w:szCs w:val="21"/>
                      <w:lang w:val="en-US" w:eastAsia="zh-CN" w:bidi="ar-SA"/>
                    </w:rPr>
                    <w:t>允许排放量要求</w:t>
                  </w:r>
                </w:p>
                <w:p w14:paraId="4732484D">
                  <w:pPr>
                    <w:pStyle w:val="83"/>
                    <w:keepNext w:val="0"/>
                    <w:keepLines w:val="0"/>
                    <w:pageBreakBefore w:val="0"/>
                    <w:widowControl w:val="0"/>
                    <w:kinsoku/>
                    <w:wordWrap/>
                    <w:overflowPunct/>
                    <w:topLinePunct w:val="0"/>
                    <w:autoSpaceDE/>
                    <w:autoSpaceDN/>
                    <w:bidi w:val="0"/>
                    <w:adjustRightInd/>
                    <w:snapToGrid/>
                    <w:spacing w:line="220" w:lineRule="exact"/>
                    <w:ind w:firstLine="0" w:firstLineChars="0"/>
                    <w:jc w:val="both"/>
                    <w:textAlignment w:val="auto"/>
                    <w:rPr>
                      <w:rStyle w:val="26"/>
                      <w:rFonts w:hint="default" w:ascii="Times New Roman" w:hAnsi="Times New Roman" w:eastAsia="宋体" w:cs="Times New Roman"/>
                      <w:color w:val="auto"/>
                      <w:kern w:val="0"/>
                      <w:sz w:val="21"/>
                      <w:szCs w:val="21"/>
                      <w:lang w:val="en-US" w:eastAsia="zh-CN" w:bidi="ar-SA"/>
                    </w:rPr>
                  </w:pPr>
                  <w:r>
                    <w:rPr>
                      <w:rStyle w:val="26"/>
                      <w:rFonts w:hint="default" w:ascii="Times New Roman" w:hAnsi="Times New Roman" w:eastAsia="宋体" w:cs="Times New Roman"/>
                      <w:color w:val="auto"/>
                      <w:kern w:val="0"/>
                      <w:sz w:val="21"/>
                      <w:szCs w:val="21"/>
                      <w:lang w:val="en-US" w:eastAsia="zh-CN" w:bidi="ar-SA"/>
                    </w:rPr>
                    <w:t>达州市2025年水污染物允许排放量COD4396.41t，氨氮418.7t，TP45.36t；达州市2025年大气污染物一次PM2.55805t、SO212773t、NOx11892t、VOCs13969t</w:t>
                  </w:r>
                </w:p>
                <w:p w14:paraId="3EC2046E">
                  <w:pPr>
                    <w:pStyle w:val="83"/>
                    <w:keepNext w:val="0"/>
                    <w:keepLines w:val="0"/>
                    <w:pageBreakBefore w:val="0"/>
                    <w:widowControl w:val="0"/>
                    <w:kinsoku/>
                    <w:wordWrap/>
                    <w:overflowPunct/>
                    <w:topLinePunct w:val="0"/>
                    <w:autoSpaceDE/>
                    <w:autoSpaceDN/>
                    <w:bidi w:val="0"/>
                    <w:adjustRightInd/>
                    <w:snapToGrid/>
                    <w:spacing w:line="220" w:lineRule="exact"/>
                    <w:ind w:firstLine="0" w:firstLineChars="0"/>
                    <w:jc w:val="both"/>
                    <w:textAlignment w:val="auto"/>
                    <w:rPr>
                      <w:rStyle w:val="26"/>
                      <w:rFonts w:hint="default" w:ascii="Times New Roman" w:hAnsi="Times New Roman" w:eastAsia="宋体" w:cs="Times New Roman"/>
                      <w:color w:val="auto"/>
                      <w:kern w:val="0"/>
                      <w:sz w:val="21"/>
                      <w:szCs w:val="21"/>
                      <w:lang w:val="en-US" w:eastAsia="zh-CN" w:bidi="ar-SA"/>
                    </w:rPr>
                  </w:pPr>
                  <w:r>
                    <w:rPr>
                      <w:rStyle w:val="26"/>
                      <w:rFonts w:hint="default" w:ascii="Times New Roman" w:hAnsi="Times New Roman" w:eastAsia="宋体" w:cs="Times New Roman"/>
                      <w:color w:val="auto"/>
                      <w:kern w:val="0"/>
                      <w:sz w:val="21"/>
                      <w:szCs w:val="21"/>
                      <w:lang w:val="en-US" w:eastAsia="zh-CN" w:bidi="ar-SA"/>
                    </w:rPr>
                    <w:t>现有源提标升级改造</w:t>
                  </w:r>
                </w:p>
                <w:p w14:paraId="7FA0EAAB">
                  <w:pPr>
                    <w:pStyle w:val="83"/>
                    <w:keepNext w:val="0"/>
                    <w:keepLines w:val="0"/>
                    <w:pageBreakBefore w:val="0"/>
                    <w:widowControl w:val="0"/>
                    <w:kinsoku/>
                    <w:wordWrap/>
                    <w:overflowPunct/>
                    <w:topLinePunct w:val="0"/>
                    <w:autoSpaceDE/>
                    <w:autoSpaceDN/>
                    <w:bidi w:val="0"/>
                    <w:adjustRightInd/>
                    <w:snapToGrid/>
                    <w:spacing w:line="220" w:lineRule="exact"/>
                    <w:ind w:firstLine="0" w:firstLineChars="0"/>
                    <w:jc w:val="both"/>
                    <w:textAlignment w:val="auto"/>
                    <w:rPr>
                      <w:rStyle w:val="26"/>
                      <w:rFonts w:hint="default" w:ascii="Times New Roman" w:hAnsi="Times New Roman" w:eastAsia="宋体" w:cs="Times New Roman"/>
                      <w:color w:val="auto"/>
                      <w:kern w:val="0"/>
                      <w:sz w:val="21"/>
                      <w:szCs w:val="21"/>
                      <w:lang w:val="en-US" w:eastAsia="zh-CN" w:bidi="ar-SA"/>
                    </w:rPr>
                  </w:pPr>
                  <w:r>
                    <w:rPr>
                      <w:rStyle w:val="26"/>
                      <w:rFonts w:hint="default" w:ascii="Times New Roman" w:hAnsi="Times New Roman" w:eastAsia="宋体" w:cs="Times New Roman"/>
                      <w:color w:val="auto"/>
                      <w:kern w:val="0"/>
                      <w:sz w:val="21"/>
                      <w:szCs w:val="21"/>
                      <w:lang w:val="en-US" w:eastAsia="zh-CN" w:bidi="ar-SA"/>
                    </w:rPr>
                    <w:t>-污水收集处理率达100%；</w:t>
                  </w:r>
                </w:p>
                <w:p w14:paraId="6FEE123D">
                  <w:pPr>
                    <w:pStyle w:val="83"/>
                    <w:keepNext w:val="0"/>
                    <w:keepLines w:val="0"/>
                    <w:pageBreakBefore w:val="0"/>
                    <w:widowControl w:val="0"/>
                    <w:kinsoku/>
                    <w:wordWrap/>
                    <w:overflowPunct/>
                    <w:topLinePunct w:val="0"/>
                    <w:autoSpaceDE/>
                    <w:autoSpaceDN/>
                    <w:bidi w:val="0"/>
                    <w:adjustRightInd/>
                    <w:snapToGrid/>
                    <w:spacing w:line="220" w:lineRule="exact"/>
                    <w:ind w:firstLine="0" w:firstLineChars="0"/>
                    <w:jc w:val="both"/>
                    <w:textAlignment w:val="auto"/>
                    <w:rPr>
                      <w:rStyle w:val="26"/>
                      <w:rFonts w:hint="default" w:ascii="Times New Roman" w:hAnsi="Times New Roman" w:eastAsia="宋体" w:cs="Times New Roman"/>
                      <w:color w:val="auto"/>
                      <w:kern w:val="0"/>
                      <w:sz w:val="21"/>
                      <w:szCs w:val="21"/>
                      <w:lang w:val="en-US" w:eastAsia="zh-CN" w:bidi="ar-SA"/>
                    </w:rPr>
                  </w:pPr>
                  <w:r>
                    <w:rPr>
                      <w:rStyle w:val="26"/>
                      <w:rFonts w:hint="default" w:ascii="Times New Roman" w:hAnsi="Times New Roman" w:eastAsia="宋体" w:cs="Times New Roman"/>
                      <w:color w:val="auto"/>
                      <w:kern w:val="0"/>
                      <w:sz w:val="21"/>
                      <w:szCs w:val="21"/>
                      <w:lang w:val="en-US" w:eastAsia="zh-CN" w:bidi="ar-SA"/>
                    </w:rPr>
                    <w:t>-到2025年底前，现有钢铁行业80%以上产能完成超低排放改造，烧结机机头、球团焙烧烟气颗粒物、二氧化硫、氮氧化物排放浓度小时均值分别不高于10、35、50毫克/立方米；其他主要污染源颗粒物、二氧化硫、氮氧化物排放浓度小时均值原则上分别不高于10、50、200毫克/立方米。</w:t>
                  </w:r>
                </w:p>
                <w:p w14:paraId="12DA2D26">
                  <w:pPr>
                    <w:pStyle w:val="83"/>
                    <w:keepNext w:val="0"/>
                    <w:keepLines w:val="0"/>
                    <w:pageBreakBefore w:val="0"/>
                    <w:widowControl w:val="0"/>
                    <w:kinsoku/>
                    <w:wordWrap/>
                    <w:overflowPunct/>
                    <w:topLinePunct w:val="0"/>
                    <w:autoSpaceDE/>
                    <w:autoSpaceDN/>
                    <w:bidi w:val="0"/>
                    <w:adjustRightInd/>
                    <w:snapToGrid/>
                    <w:spacing w:line="220" w:lineRule="exact"/>
                    <w:ind w:firstLine="0" w:firstLineChars="0"/>
                    <w:jc w:val="both"/>
                    <w:textAlignment w:val="auto"/>
                    <w:rPr>
                      <w:rStyle w:val="26"/>
                      <w:rFonts w:hint="default" w:ascii="Times New Roman" w:hAnsi="Times New Roman" w:eastAsia="宋体" w:cs="Times New Roman"/>
                      <w:color w:val="auto"/>
                      <w:kern w:val="0"/>
                      <w:sz w:val="21"/>
                      <w:szCs w:val="21"/>
                      <w:lang w:val="en-US" w:eastAsia="zh-CN" w:bidi="ar-SA"/>
                    </w:rPr>
                  </w:pPr>
                  <w:r>
                    <w:rPr>
                      <w:rStyle w:val="26"/>
                      <w:rFonts w:hint="default" w:ascii="Times New Roman" w:hAnsi="Times New Roman" w:eastAsia="宋体" w:cs="Times New Roman"/>
                      <w:color w:val="auto"/>
                      <w:kern w:val="0"/>
                      <w:sz w:val="21"/>
                      <w:szCs w:val="21"/>
                      <w:lang w:val="en-US" w:eastAsia="zh-CN" w:bidi="ar-SA"/>
                    </w:rPr>
                    <w:t>-有行业标准的工业炉窑，要求严格执行已有的行业排放标准，配套建设高效除尘脱硫脱硝设施，确保稳定达标排放。有排污许可证的，应严格执行许可要求。暂没有行业标准的，要求参照有关行业标准执行，其中，铸造行业烧结、高炉工序污染排放控制按照钢铁行业相关标准要求执行；颗粒物、二氧化硫、氮氧化物排放限值分别不高于30、200、300毫克/立方米实施改造，其中，日用玻璃、玻璃棉氮氧化物排放限值不高于400毫克/立方米。</w:t>
                  </w:r>
                </w:p>
                <w:p w14:paraId="669CC692">
                  <w:pPr>
                    <w:pStyle w:val="83"/>
                    <w:keepNext w:val="0"/>
                    <w:keepLines w:val="0"/>
                    <w:pageBreakBefore w:val="0"/>
                    <w:widowControl w:val="0"/>
                    <w:kinsoku/>
                    <w:wordWrap/>
                    <w:overflowPunct/>
                    <w:topLinePunct w:val="0"/>
                    <w:autoSpaceDE/>
                    <w:autoSpaceDN/>
                    <w:bidi w:val="0"/>
                    <w:adjustRightInd/>
                    <w:snapToGrid/>
                    <w:spacing w:line="220" w:lineRule="exact"/>
                    <w:ind w:firstLine="0" w:firstLineChars="0"/>
                    <w:jc w:val="both"/>
                    <w:textAlignment w:val="auto"/>
                    <w:rPr>
                      <w:rStyle w:val="26"/>
                      <w:rFonts w:hint="default" w:ascii="Times New Roman" w:hAnsi="Times New Roman" w:eastAsia="宋体" w:cs="Times New Roman"/>
                      <w:color w:val="auto"/>
                      <w:kern w:val="0"/>
                      <w:sz w:val="21"/>
                      <w:szCs w:val="21"/>
                      <w:lang w:val="en-US" w:eastAsia="zh-CN" w:bidi="ar-SA"/>
                    </w:rPr>
                  </w:pPr>
                  <w:r>
                    <w:rPr>
                      <w:rStyle w:val="26"/>
                      <w:rFonts w:hint="default" w:ascii="Times New Roman" w:hAnsi="Times New Roman" w:eastAsia="宋体" w:cs="Times New Roman"/>
                      <w:color w:val="auto"/>
                      <w:kern w:val="0"/>
                      <w:sz w:val="21"/>
                      <w:szCs w:val="21"/>
                      <w:lang w:val="en-US" w:eastAsia="zh-CN" w:bidi="ar-SA"/>
                    </w:rPr>
                    <w:t>-完善园区及企业雨污分流系统，全面推进医药、化工等行业初期雨水收集处理，推动有条件的园区实施入园企业“一企一管、明管输送、实时监测”。加强企业废水预处理和排水管理，鼓励纳管企业与园区污水处理厂运营单位通过签订委托处理合同等方式协同处理废水。</w:t>
                  </w:r>
                </w:p>
                <w:p w14:paraId="054C9987">
                  <w:pPr>
                    <w:pStyle w:val="83"/>
                    <w:keepNext w:val="0"/>
                    <w:keepLines w:val="0"/>
                    <w:pageBreakBefore w:val="0"/>
                    <w:widowControl w:val="0"/>
                    <w:kinsoku/>
                    <w:wordWrap/>
                    <w:overflowPunct/>
                    <w:topLinePunct w:val="0"/>
                    <w:autoSpaceDE/>
                    <w:autoSpaceDN/>
                    <w:bidi w:val="0"/>
                    <w:adjustRightInd/>
                    <w:snapToGrid/>
                    <w:spacing w:line="220" w:lineRule="exact"/>
                    <w:ind w:firstLine="0" w:firstLineChars="0"/>
                    <w:jc w:val="both"/>
                    <w:textAlignment w:val="auto"/>
                    <w:rPr>
                      <w:rStyle w:val="26"/>
                      <w:rFonts w:hint="default" w:ascii="Times New Roman" w:hAnsi="Times New Roman" w:eastAsia="宋体" w:cs="Times New Roman"/>
                      <w:color w:val="auto"/>
                      <w:kern w:val="0"/>
                      <w:sz w:val="21"/>
                      <w:szCs w:val="21"/>
                      <w:lang w:val="en-US" w:eastAsia="zh-CN" w:bidi="ar-SA"/>
                    </w:rPr>
                  </w:pPr>
                  <w:r>
                    <w:rPr>
                      <w:rStyle w:val="26"/>
                      <w:rFonts w:hint="default" w:ascii="Times New Roman" w:hAnsi="Times New Roman" w:eastAsia="宋体" w:cs="Times New Roman"/>
                      <w:color w:val="auto"/>
                      <w:kern w:val="0"/>
                      <w:sz w:val="21"/>
                      <w:szCs w:val="21"/>
                      <w:lang w:val="en-US" w:eastAsia="zh-CN" w:bidi="ar-SA"/>
                    </w:rPr>
                    <w:t>其他污染物排放管控要求</w:t>
                  </w:r>
                </w:p>
                <w:p w14:paraId="31FE8D1C">
                  <w:pPr>
                    <w:pStyle w:val="83"/>
                    <w:keepNext w:val="0"/>
                    <w:keepLines w:val="0"/>
                    <w:pageBreakBefore w:val="0"/>
                    <w:widowControl w:val="0"/>
                    <w:kinsoku/>
                    <w:wordWrap/>
                    <w:overflowPunct/>
                    <w:topLinePunct w:val="0"/>
                    <w:autoSpaceDE/>
                    <w:autoSpaceDN/>
                    <w:bidi w:val="0"/>
                    <w:adjustRightInd/>
                    <w:snapToGrid/>
                    <w:spacing w:line="220" w:lineRule="exact"/>
                    <w:ind w:firstLine="0" w:firstLineChars="0"/>
                    <w:jc w:val="both"/>
                    <w:textAlignment w:val="auto"/>
                    <w:rPr>
                      <w:rStyle w:val="26"/>
                      <w:rFonts w:hint="default" w:ascii="Times New Roman" w:hAnsi="Times New Roman" w:eastAsia="宋体" w:cs="Times New Roman"/>
                      <w:color w:val="auto"/>
                      <w:kern w:val="0"/>
                      <w:sz w:val="21"/>
                      <w:szCs w:val="21"/>
                      <w:lang w:val="en-US" w:eastAsia="zh-CN" w:bidi="ar-SA"/>
                    </w:rPr>
                  </w:pPr>
                  <w:r>
                    <w:rPr>
                      <w:rStyle w:val="26"/>
                      <w:rFonts w:hint="default" w:ascii="Times New Roman" w:hAnsi="Times New Roman" w:eastAsia="宋体" w:cs="Times New Roman"/>
                      <w:color w:val="auto"/>
                      <w:kern w:val="0"/>
                      <w:sz w:val="21"/>
                      <w:szCs w:val="21"/>
                      <w:lang w:val="en-US" w:eastAsia="zh-CN" w:bidi="ar-SA"/>
                    </w:rPr>
                    <w:t>新增源等量或倍量替代</w:t>
                  </w:r>
                  <w:r>
                    <w:rPr>
                      <w:rStyle w:val="26"/>
                      <w:rFonts w:hint="eastAsia" w:eastAsia="宋体" w:cs="Times New Roman"/>
                      <w:color w:val="auto"/>
                      <w:kern w:val="0"/>
                      <w:sz w:val="21"/>
                      <w:szCs w:val="21"/>
                      <w:lang w:val="en-US" w:eastAsia="zh-CN" w:bidi="ar-SA"/>
                    </w:rPr>
                    <w:t>：</w:t>
                  </w:r>
                  <w:r>
                    <w:rPr>
                      <w:rStyle w:val="26"/>
                      <w:rFonts w:hint="default" w:ascii="Times New Roman" w:hAnsi="Times New Roman" w:eastAsia="宋体" w:cs="Times New Roman"/>
                      <w:color w:val="auto"/>
                      <w:kern w:val="0"/>
                      <w:sz w:val="21"/>
                      <w:szCs w:val="21"/>
                      <w:lang w:val="en-US" w:eastAsia="zh-CN" w:bidi="ar-SA"/>
                    </w:rPr>
                    <w:t>上一年度水环境质量未完成目标的，新建排放水污染的建设项目按照总量管控要求进行倍量削减替代。</w:t>
                  </w:r>
                </w:p>
                <w:p w14:paraId="116A103C">
                  <w:pPr>
                    <w:pStyle w:val="83"/>
                    <w:keepNext w:val="0"/>
                    <w:keepLines w:val="0"/>
                    <w:pageBreakBefore w:val="0"/>
                    <w:widowControl w:val="0"/>
                    <w:kinsoku/>
                    <w:wordWrap/>
                    <w:overflowPunct/>
                    <w:topLinePunct w:val="0"/>
                    <w:autoSpaceDE/>
                    <w:autoSpaceDN/>
                    <w:bidi w:val="0"/>
                    <w:adjustRightInd/>
                    <w:snapToGrid/>
                    <w:spacing w:line="220" w:lineRule="exact"/>
                    <w:ind w:firstLine="0" w:firstLineChars="0"/>
                    <w:jc w:val="both"/>
                    <w:textAlignment w:val="auto"/>
                    <w:rPr>
                      <w:rStyle w:val="26"/>
                      <w:rFonts w:hint="default" w:ascii="Times New Roman" w:hAnsi="Times New Roman" w:eastAsia="宋体" w:cs="Times New Roman"/>
                      <w:color w:val="auto"/>
                      <w:kern w:val="0"/>
                      <w:sz w:val="21"/>
                      <w:szCs w:val="21"/>
                      <w:lang w:val="en-US" w:eastAsia="zh-CN" w:bidi="ar-SA"/>
                    </w:rPr>
                  </w:pPr>
                  <w:r>
                    <w:rPr>
                      <w:rStyle w:val="26"/>
                      <w:rFonts w:hint="default" w:ascii="Times New Roman" w:hAnsi="Times New Roman" w:eastAsia="宋体" w:cs="Times New Roman"/>
                      <w:color w:val="auto"/>
                      <w:kern w:val="0"/>
                      <w:sz w:val="21"/>
                      <w:szCs w:val="21"/>
                      <w:lang w:val="en-US" w:eastAsia="zh-CN" w:bidi="ar-SA"/>
                    </w:rPr>
                    <w:t>上一年度空气质量年平均浓度不达标的城市，建设项目新增相关污染物按照总量管控要求进行倍量削减替代。</w:t>
                  </w:r>
                </w:p>
                <w:p w14:paraId="0855E259">
                  <w:pPr>
                    <w:pStyle w:val="83"/>
                    <w:keepNext w:val="0"/>
                    <w:keepLines w:val="0"/>
                    <w:pageBreakBefore w:val="0"/>
                    <w:widowControl w:val="0"/>
                    <w:kinsoku/>
                    <w:wordWrap/>
                    <w:overflowPunct/>
                    <w:topLinePunct w:val="0"/>
                    <w:autoSpaceDE/>
                    <w:autoSpaceDN/>
                    <w:bidi w:val="0"/>
                    <w:adjustRightInd/>
                    <w:snapToGrid/>
                    <w:spacing w:line="220" w:lineRule="exact"/>
                    <w:ind w:firstLine="0" w:firstLineChars="0"/>
                    <w:jc w:val="both"/>
                    <w:textAlignment w:val="auto"/>
                    <w:rPr>
                      <w:rStyle w:val="26"/>
                      <w:rFonts w:hint="default" w:ascii="Times New Roman" w:hAnsi="Times New Roman" w:eastAsia="宋体" w:cs="Times New Roman"/>
                      <w:color w:val="auto"/>
                      <w:kern w:val="0"/>
                      <w:sz w:val="21"/>
                      <w:szCs w:val="21"/>
                      <w:lang w:val="en-US" w:eastAsia="zh-CN" w:bidi="ar-SA"/>
                    </w:rPr>
                  </w:pPr>
                  <w:r>
                    <w:rPr>
                      <w:rStyle w:val="26"/>
                      <w:rFonts w:hint="default" w:ascii="Times New Roman" w:hAnsi="Times New Roman" w:eastAsia="宋体" w:cs="Times New Roman"/>
                      <w:color w:val="auto"/>
                      <w:kern w:val="0"/>
                      <w:sz w:val="21"/>
                      <w:szCs w:val="21"/>
                      <w:lang w:val="en-US" w:eastAsia="zh-CN" w:bidi="ar-SA"/>
                    </w:rPr>
                    <w:t>对新建排放二氧化硫、氮氧化物、工业烟粉尘和VOCs的项目实施现役源倍量削减量替代。严禁钢铁、水泥、电解铝、平板玻璃等行业新增产能，对确有必要新建的必须实施等量或减量置换，防范过剩和落后产能跨地区转移</w:t>
                  </w:r>
                  <w:r>
                    <w:rPr>
                      <w:rStyle w:val="26"/>
                      <w:rFonts w:hint="eastAsia" w:eastAsia="宋体" w:cs="Times New Roman"/>
                      <w:color w:val="auto"/>
                      <w:kern w:val="0"/>
                      <w:sz w:val="21"/>
                      <w:szCs w:val="21"/>
                      <w:lang w:val="en-US" w:eastAsia="zh-CN" w:bidi="ar-SA"/>
                    </w:rPr>
                    <w:t>。</w:t>
                  </w:r>
                  <w:r>
                    <w:rPr>
                      <w:rStyle w:val="26"/>
                      <w:rFonts w:hint="default" w:ascii="Times New Roman" w:hAnsi="Times New Roman" w:eastAsia="宋体" w:cs="Times New Roman"/>
                      <w:color w:val="auto"/>
                      <w:kern w:val="0"/>
                      <w:sz w:val="21"/>
                      <w:szCs w:val="21"/>
                      <w:lang w:val="en-US" w:eastAsia="zh-CN" w:bidi="ar-SA"/>
                    </w:rPr>
                    <w:t xml:space="preserve">              </w:t>
                  </w:r>
                </w:p>
                <w:p w14:paraId="412BF1F6">
                  <w:pPr>
                    <w:pStyle w:val="83"/>
                    <w:keepNext w:val="0"/>
                    <w:keepLines w:val="0"/>
                    <w:pageBreakBefore w:val="0"/>
                    <w:widowControl w:val="0"/>
                    <w:kinsoku/>
                    <w:wordWrap/>
                    <w:overflowPunct/>
                    <w:topLinePunct w:val="0"/>
                    <w:autoSpaceDE/>
                    <w:autoSpaceDN/>
                    <w:bidi w:val="0"/>
                    <w:adjustRightInd/>
                    <w:snapToGrid/>
                    <w:spacing w:line="220" w:lineRule="exact"/>
                    <w:ind w:firstLine="0" w:firstLineChars="0"/>
                    <w:jc w:val="both"/>
                    <w:textAlignment w:val="auto"/>
                    <w:rPr>
                      <w:rStyle w:val="26"/>
                      <w:rFonts w:hint="default" w:ascii="Times New Roman" w:hAnsi="Times New Roman" w:eastAsia="宋体" w:cs="Times New Roman"/>
                      <w:color w:val="auto"/>
                      <w:kern w:val="0"/>
                      <w:sz w:val="21"/>
                      <w:szCs w:val="21"/>
                      <w:lang w:val="en-US" w:eastAsia="zh-CN" w:bidi="ar-SA"/>
                    </w:rPr>
                  </w:pPr>
                  <w:r>
                    <w:rPr>
                      <w:rStyle w:val="26"/>
                      <w:rFonts w:hint="default" w:ascii="Times New Roman" w:hAnsi="Times New Roman" w:eastAsia="宋体" w:cs="Times New Roman"/>
                      <w:color w:val="auto"/>
                      <w:kern w:val="0"/>
                      <w:sz w:val="21"/>
                      <w:szCs w:val="21"/>
                      <w:lang w:val="en-US" w:eastAsia="zh-CN" w:bidi="ar-SA"/>
                    </w:rPr>
                    <w:t>污染物排放绩效水平准入要求</w:t>
                  </w:r>
                  <w:r>
                    <w:rPr>
                      <w:rStyle w:val="26"/>
                      <w:rFonts w:hint="eastAsia" w:eastAsia="宋体" w:cs="Times New Roman"/>
                      <w:color w:val="auto"/>
                      <w:kern w:val="0"/>
                      <w:sz w:val="21"/>
                      <w:szCs w:val="21"/>
                      <w:lang w:val="en-US" w:eastAsia="zh-CN" w:bidi="ar-SA"/>
                    </w:rPr>
                    <w:t>：</w:t>
                  </w:r>
                  <w:r>
                    <w:rPr>
                      <w:rStyle w:val="26"/>
                      <w:rFonts w:hint="default" w:ascii="Times New Roman" w:hAnsi="Times New Roman" w:eastAsia="宋体" w:cs="Times New Roman"/>
                      <w:color w:val="auto"/>
                      <w:kern w:val="0"/>
                      <w:sz w:val="21"/>
                      <w:szCs w:val="21"/>
                      <w:lang w:val="en-US" w:eastAsia="zh-CN" w:bidi="ar-SA"/>
                    </w:rPr>
                    <w:t xml:space="preserve">新、改扩建项目污染排放指标满足《四川省省级生态工业园区指标》综合类生态工业园区要求。工业固体废弃物利用处置率达100%，危险废物处置率达100%。          </w:t>
                  </w:r>
                </w:p>
                <w:p w14:paraId="216F71BF">
                  <w:pPr>
                    <w:pStyle w:val="83"/>
                    <w:keepNext w:val="0"/>
                    <w:keepLines w:val="0"/>
                    <w:pageBreakBefore w:val="0"/>
                    <w:widowControl w:val="0"/>
                    <w:kinsoku/>
                    <w:wordWrap/>
                    <w:overflowPunct/>
                    <w:topLinePunct w:val="0"/>
                    <w:autoSpaceDE/>
                    <w:autoSpaceDN/>
                    <w:bidi w:val="0"/>
                    <w:adjustRightInd/>
                    <w:snapToGrid/>
                    <w:spacing w:line="220" w:lineRule="exact"/>
                    <w:ind w:firstLine="0" w:firstLineChars="0"/>
                    <w:jc w:val="both"/>
                    <w:textAlignment w:val="auto"/>
                    <w:rPr>
                      <w:rStyle w:val="26"/>
                      <w:rFonts w:hint="default" w:ascii="Times New Roman" w:hAnsi="Times New Roman" w:eastAsia="宋体" w:cs="Times New Roman"/>
                      <w:color w:val="auto"/>
                      <w:kern w:val="0"/>
                      <w:sz w:val="21"/>
                      <w:szCs w:val="21"/>
                      <w:lang w:val="en-US" w:eastAsia="zh-CN" w:bidi="ar-SA"/>
                    </w:rPr>
                  </w:pPr>
                  <w:r>
                    <w:rPr>
                      <w:rStyle w:val="26"/>
                      <w:rFonts w:hint="default" w:ascii="Times New Roman" w:hAnsi="Times New Roman" w:eastAsia="宋体" w:cs="Times New Roman"/>
                      <w:color w:val="auto"/>
                      <w:kern w:val="0"/>
                      <w:sz w:val="21"/>
                      <w:szCs w:val="21"/>
                      <w:lang w:val="en-US" w:eastAsia="zh-CN" w:bidi="ar-SA"/>
                    </w:rPr>
                    <w:t>国家大气污染防治重点区域</w:t>
                  </w:r>
                  <w:r>
                    <w:rPr>
                      <w:rStyle w:val="26"/>
                      <w:rFonts w:hint="eastAsia" w:eastAsia="宋体" w:cs="Times New Roman"/>
                      <w:color w:val="auto"/>
                      <w:kern w:val="0"/>
                      <w:sz w:val="21"/>
                      <w:szCs w:val="21"/>
                      <w:lang w:val="en-US" w:eastAsia="zh-CN" w:bidi="ar-SA"/>
                    </w:rPr>
                    <w:t>（</w:t>
                  </w:r>
                  <w:r>
                    <w:rPr>
                      <w:rStyle w:val="26"/>
                      <w:rFonts w:hint="default" w:ascii="Times New Roman" w:hAnsi="Times New Roman" w:eastAsia="宋体" w:cs="Times New Roman"/>
                      <w:color w:val="auto"/>
                      <w:kern w:val="0"/>
                      <w:sz w:val="21"/>
                      <w:szCs w:val="21"/>
                      <w:lang w:val="en-US" w:eastAsia="zh-CN" w:bidi="ar-SA"/>
                    </w:rPr>
                    <w:t>以下称重点区域</w:t>
                  </w:r>
                  <w:r>
                    <w:rPr>
                      <w:rStyle w:val="26"/>
                      <w:rFonts w:hint="eastAsia" w:eastAsia="宋体" w:cs="Times New Roman"/>
                      <w:color w:val="auto"/>
                      <w:kern w:val="0"/>
                      <w:sz w:val="21"/>
                      <w:szCs w:val="21"/>
                      <w:lang w:val="en-US" w:eastAsia="zh-CN" w:bidi="ar-SA"/>
                    </w:rPr>
                    <w:t>）</w:t>
                  </w:r>
                  <w:r>
                    <w:rPr>
                      <w:rStyle w:val="26"/>
                      <w:rFonts w:hint="default" w:ascii="Times New Roman" w:hAnsi="Times New Roman" w:eastAsia="宋体" w:cs="Times New Roman"/>
                      <w:color w:val="auto"/>
                      <w:kern w:val="0"/>
                      <w:sz w:val="21"/>
                      <w:szCs w:val="21"/>
                      <w:lang w:val="en-US" w:eastAsia="zh-CN" w:bidi="ar-SA"/>
                    </w:rPr>
                    <w:t>内新建耗煤项目还应严格按规定采取煤炭消费减量替代措施，不得使用高污染燃料作为煤炭减量替代措施</w:t>
                  </w:r>
                  <w:r>
                    <w:rPr>
                      <w:rStyle w:val="26"/>
                      <w:rFonts w:hint="eastAsia" w:eastAsia="宋体" w:cs="Times New Roman"/>
                      <w:color w:val="auto"/>
                      <w:kern w:val="0"/>
                      <w:sz w:val="21"/>
                      <w:szCs w:val="21"/>
                      <w:lang w:val="en-US" w:eastAsia="zh-CN" w:bidi="ar-SA"/>
                    </w:rPr>
                    <w:t>；</w:t>
                  </w:r>
                  <w:r>
                    <w:rPr>
                      <w:rStyle w:val="26"/>
                      <w:rFonts w:hint="default" w:ascii="Times New Roman" w:hAnsi="Times New Roman" w:eastAsia="宋体" w:cs="Times New Roman"/>
                      <w:color w:val="auto"/>
                      <w:kern w:val="0"/>
                      <w:sz w:val="21"/>
                      <w:szCs w:val="21"/>
                      <w:lang w:val="en-US" w:eastAsia="zh-CN" w:bidi="ar-SA"/>
                    </w:rPr>
                    <w:t xml:space="preserve">重点区域执行大气污染物特别排放限值，严禁新增钢铁、电力、水泥、玻璃、砖瓦、陶瓷、焦化、电解铝、有色等重点行业大气污染物排放。                                                                         </w:t>
                  </w:r>
                </w:p>
                <w:p w14:paraId="196D4D93">
                  <w:pPr>
                    <w:pStyle w:val="83"/>
                    <w:keepNext w:val="0"/>
                    <w:keepLines w:val="0"/>
                    <w:pageBreakBefore w:val="0"/>
                    <w:widowControl w:val="0"/>
                    <w:kinsoku/>
                    <w:wordWrap/>
                    <w:overflowPunct/>
                    <w:topLinePunct w:val="0"/>
                    <w:autoSpaceDE/>
                    <w:autoSpaceDN/>
                    <w:bidi w:val="0"/>
                    <w:adjustRightInd/>
                    <w:snapToGrid/>
                    <w:spacing w:line="220" w:lineRule="exact"/>
                    <w:ind w:firstLine="0" w:firstLineChars="0"/>
                    <w:jc w:val="both"/>
                    <w:textAlignment w:val="auto"/>
                    <w:rPr>
                      <w:rStyle w:val="26"/>
                      <w:rFonts w:hint="default" w:ascii="Times New Roman" w:hAnsi="Times New Roman" w:eastAsia="宋体" w:cs="Times New Roman"/>
                      <w:color w:val="auto"/>
                      <w:kern w:val="0"/>
                      <w:sz w:val="21"/>
                      <w:szCs w:val="21"/>
                      <w:lang w:val="en-US" w:eastAsia="zh-CN" w:bidi="ar-SA"/>
                    </w:rPr>
                  </w:pPr>
                  <w:r>
                    <w:rPr>
                      <w:rStyle w:val="26"/>
                      <w:rFonts w:hint="default" w:ascii="Times New Roman" w:hAnsi="Times New Roman" w:eastAsia="宋体" w:cs="Times New Roman"/>
                      <w:color w:val="auto"/>
                      <w:kern w:val="0"/>
                      <w:sz w:val="21"/>
                      <w:szCs w:val="21"/>
                      <w:lang w:val="en-US" w:eastAsia="zh-CN" w:bidi="ar-SA"/>
                    </w:rPr>
                    <w:t xml:space="preserve">钢铁行业新建应参考达州市“三线一单”生态环境分区管控中钢铁行业资源环境绩效准入门槛。                         </w:t>
                  </w:r>
                </w:p>
                <w:p w14:paraId="573B89F4">
                  <w:pPr>
                    <w:pStyle w:val="83"/>
                    <w:keepNext w:val="0"/>
                    <w:keepLines w:val="0"/>
                    <w:pageBreakBefore w:val="0"/>
                    <w:widowControl w:val="0"/>
                    <w:kinsoku/>
                    <w:wordWrap/>
                    <w:overflowPunct/>
                    <w:topLinePunct w:val="0"/>
                    <w:autoSpaceDE/>
                    <w:autoSpaceDN/>
                    <w:bidi w:val="0"/>
                    <w:adjustRightInd/>
                    <w:snapToGrid/>
                    <w:spacing w:line="220" w:lineRule="exact"/>
                    <w:ind w:firstLine="0" w:firstLineChars="0"/>
                    <w:jc w:val="both"/>
                    <w:textAlignment w:val="auto"/>
                    <w:rPr>
                      <w:rStyle w:val="26"/>
                      <w:rFonts w:hint="default" w:ascii="Times New Roman" w:hAnsi="Times New Roman" w:eastAsia="宋体" w:cs="Times New Roman"/>
                      <w:color w:val="auto"/>
                      <w:kern w:val="0"/>
                      <w:sz w:val="21"/>
                      <w:szCs w:val="21"/>
                      <w:lang w:val="en-US" w:eastAsia="zh-CN" w:bidi="ar-SA"/>
                    </w:rPr>
                  </w:pPr>
                  <w:r>
                    <w:rPr>
                      <w:rStyle w:val="26"/>
                      <w:rFonts w:hint="default" w:ascii="Times New Roman" w:hAnsi="Times New Roman" w:eastAsia="宋体" w:cs="Times New Roman"/>
                      <w:color w:val="auto"/>
                      <w:kern w:val="0"/>
                      <w:sz w:val="21"/>
                      <w:szCs w:val="21"/>
                      <w:lang w:val="en-US" w:eastAsia="zh-CN" w:bidi="ar-SA"/>
                    </w:rPr>
                    <w:t xml:space="preserve"> 2030年，渠江流域用水总量控制在31.61亿立方米以内，渠江干流COD排放总量限制在4.89万t/a内、氨氮排放总量限制在0.54万t/a内。全面推进节水型社会建设，加强河湖（库）水域岸线保护及管理，加强入河排污口规范化建设，加强工业污染、农业农村污染、船舶港口污染防治。对流域内饮用水源地进行有效保护及规范化建设。</w:t>
                  </w:r>
                </w:p>
                <w:p w14:paraId="5EF13F2C">
                  <w:pPr>
                    <w:pStyle w:val="83"/>
                    <w:keepNext w:val="0"/>
                    <w:keepLines w:val="0"/>
                    <w:pageBreakBefore w:val="0"/>
                    <w:widowControl w:val="0"/>
                    <w:kinsoku/>
                    <w:wordWrap/>
                    <w:overflowPunct/>
                    <w:topLinePunct w:val="0"/>
                    <w:autoSpaceDE/>
                    <w:autoSpaceDN/>
                    <w:bidi w:val="0"/>
                    <w:adjustRightInd/>
                    <w:snapToGrid/>
                    <w:spacing w:line="220" w:lineRule="exact"/>
                    <w:ind w:firstLine="0" w:firstLineChars="0"/>
                    <w:jc w:val="both"/>
                    <w:textAlignment w:val="auto"/>
                    <w:rPr>
                      <w:rStyle w:val="26"/>
                      <w:rFonts w:hint="default" w:ascii="Times New Roman" w:hAnsi="Times New Roman" w:eastAsia="宋体" w:cs="Times New Roman"/>
                      <w:color w:val="auto"/>
                      <w:kern w:val="0"/>
                      <w:sz w:val="21"/>
                      <w:szCs w:val="21"/>
                      <w:lang w:val="en-US" w:eastAsia="zh-CN" w:bidi="ar-SA"/>
                    </w:rPr>
                  </w:pPr>
                  <w:r>
                    <w:rPr>
                      <w:rStyle w:val="26"/>
                      <w:rFonts w:hint="default" w:ascii="Times New Roman" w:hAnsi="Times New Roman" w:eastAsia="宋体" w:cs="Times New Roman"/>
                      <w:color w:val="auto"/>
                      <w:kern w:val="0"/>
                      <w:sz w:val="21"/>
                      <w:szCs w:val="21"/>
                      <w:lang w:val="en-US" w:eastAsia="zh-CN" w:bidi="ar-SA"/>
                    </w:rPr>
                    <w:t>化工园区应按照分类收集，分质处理的要求，配备专业化工生产废水集中处理设施（独立建设或依托骨干企业）及专管或明管输送的配套管网，化工生产废水纳管率达到100%。入河排污口设置应符合相关规定。</w:t>
                  </w:r>
                </w:p>
                <w:p w14:paraId="7C06A12C">
                  <w:pPr>
                    <w:pStyle w:val="83"/>
                    <w:keepNext w:val="0"/>
                    <w:keepLines w:val="0"/>
                    <w:pageBreakBefore w:val="0"/>
                    <w:widowControl w:val="0"/>
                    <w:kinsoku/>
                    <w:wordWrap/>
                    <w:overflowPunct/>
                    <w:topLinePunct w:val="0"/>
                    <w:autoSpaceDE/>
                    <w:autoSpaceDN/>
                    <w:bidi w:val="0"/>
                    <w:adjustRightInd/>
                    <w:snapToGrid/>
                    <w:spacing w:line="220" w:lineRule="exact"/>
                    <w:ind w:firstLine="0" w:firstLineChars="0"/>
                    <w:jc w:val="both"/>
                    <w:textAlignment w:val="auto"/>
                    <w:rPr>
                      <w:rStyle w:val="26"/>
                      <w:rFonts w:hint="default" w:ascii="Times New Roman" w:hAnsi="Times New Roman" w:eastAsia="宋体" w:cs="Times New Roman"/>
                      <w:color w:val="auto"/>
                      <w:kern w:val="0"/>
                      <w:sz w:val="21"/>
                      <w:szCs w:val="21"/>
                      <w:lang w:val="en-US" w:eastAsia="zh-CN" w:bidi="ar-SA"/>
                    </w:rPr>
                  </w:pPr>
                  <w:r>
                    <w:rPr>
                      <w:rStyle w:val="26"/>
                      <w:rFonts w:hint="default" w:ascii="Times New Roman" w:hAnsi="Times New Roman" w:eastAsia="宋体" w:cs="Times New Roman"/>
                      <w:color w:val="auto"/>
                      <w:kern w:val="0"/>
                      <w:sz w:val="21"/>
                      <w:szCs w:val="21"/>
                      <w:lang w:val="en-US" w:eastAsia="zh-CN" w:bidi="ar-SA"/>
                    </w:rPr>
                    <w:t>重点行业建设项目应遵循重点重金属污染物排放“等量替代”原则。按国家规定，建设单位在提交环境影响评价文件时应明确重点重金属污染物排放总量及来源，无明确具体总量来源的，各级生态环境部门不得批准相关环境影响评价文件。重金属污染物排放总量替代管理豁免的情形参见《四川省“十四五”重金属污染防控工作方案》；重点行业、重点重金属的界定参见《四川省“十四五”重金属污染防控工作方案》。</w:t>
                  </w:r>
                </w:p>
                <w:p w14:paraId="625BD404">
                  <w:pPr>
                    <w:pStyle w:val="83"/>
                    <w:keepNext w:val="0"/>
                    <w:keepLines w:val="0"/>
                    <w:pageBreakBefore w:val="0"/>
                    <w:widowControl w:val="0"/>
                    <w:kinsoku/>
                    <w:wordWrap/>
                    <w:overflowPunct/>
                    <w:topLinePunct w:val="0"/>
                    <w:autoSpaceDE/>
                    <w:autoSpaceDN/>
                    <w:bidi w:val="0"/>
                    <w:adjustRightInd/>
                    <w:snapToGrid/>
                    <w:spacing w:line="220" w:lineRule="exact"/>
                    <w:ind w:firstLine="0" w:firstLineChars="0"/>
                    <w:jc w:val="both"/>
                    <w:textAlignment w:val="auto"/>
                    <w:rPr>
                      <w:rStyle w:val="26"/>
                      <w:rFonts w:hint="default" w:ascii="Times New Roman" w:hAnsi="Times New Roman" w:eastAsia="宋体" w:cs="Times New Roman"/>
                      <w:color w:val="auto"/>
                      <w:kern w:val="0"/>
                      <w:sz w:val="21"/>
                      <w:szCs w:val="21"/>
                      <w:lang w:val="en-US" w:eastAsia="zh-CN" w:bidi="ar-SA"/>
                    </w:rPr>
                  </w:pPr>
                  <w:r>
                    <w:rPr>
                      <w:rStyle w:val="26"/>
                      <w:rFonts w:hint="default" w:ascii="Times New Roman" w:hAnsi="Times New Roman" w:eastAsia="宋体" w:cs="Times New Roman"/>
                      <w:color w:val="auto"/>
                      <w:kern w:val="0"/>
                      <w:sz w:val="21"/>
                      <w:szCs w:val="21"/>
                      <w:lang w:val="en-US" w:eastAsia="zh-CN" w:bidi="ar-SA"/>
                    </w:rPr>
                    <w:t>落实《四川省深入打好重污染天气消除、臭氧污染防治和柴油货车污染防治攻坚战实施方案》要求，推进重点行业超低排放改造和深度治理，加快实施低VOCs含量原辅材料替代，持续开展VOCs治理设施提级增效，强化VOCs无组织排放整治，加强非正常工况废气排放管控，推进涉VOCs产业集群治理提升，推进油品VOCs综合管控。</w:t>
                  </w:r>
                </w:p>
                <w:p w14:paraId="42AC709D">
                  <w:pPr>
                    <w:pStyle w:val="83"/>
                    <w:keepNext w:val="0"/>
                    <w:keepLines w:val="0"/>
                    <w:pageBreakBefore w:val="0"/>
                    <w:widowControl w:val="0"/>
                    <w:kinsoku/>
                    <w:wordWrap/>
                    <w:overflowPunct/>
                    <w:topLinePunct w:val="0"/>
                    <w:autoSpaceDE/>
                    <w:autoSpaceDN/>
                    <w:bidi w:val="0"/>
                    <w:adjustRightInd/>
                    <w:snapToGrid/>
                    <w:spacing w:line="220" w:lineRule="exact"/>
                    <w:ind w:firstLine="0" w:firstLineChars="0"/>
                    <w:jc w:val="both"/>
                    <w:textAlignment w:val="auto"/>
                    <w:rPr>
                      <w:rStyle w:val="26"/>
                      <w:rFonts w:hint="default" w:ascii="Times New Roman" w:hAnsi="Times New Roman" w:eastAsia="宋体" w:cs="Times New Roman"/>
                      <w:color w:val="auto"/>
                      <w:kern w:val="0"/>
                      <w:sz w:val="21"/>
                      <w:szCs w:val="21"/>
                      <w:lang w:val="en-US" w:eastAsia="zh-CN" w:bidi="ar-SA"/>
                    </w:rPr>
                  </w:pPr>
                  <w:r>
                    <w:rPr>
                      <w:rStyle w:val="26"/>
                      <w:rFonts w:hint="default" w:ascii="Times New Roman" w:hAnsi="Times New Roman" w:eastAsia="宋体" w:cs="Times New Roman"/>
                      <w:color w:val="auto"/>
                      <w:kern w:val="0"/>
                      <w:sz w:val="21"/>
                      <w:szCs w:val="21"/>
                      <w:lang w:val="en-US" w:eastAsia="zh-CN" w:bidi="ar-SA"/>
                    </w:rPr>
                    <w:t>环境风险防控：</w:t>
                  </w:r>
                </w:p>
                <w:p w14:paraId="1371CFEA">
                  <w:pPr>
                    <w:pStyle w:val="83"/>
                    <w:keepNext w:val="0"/>
                    <w:keepLines w:val="0"/>
                    <w:pageBreakBefore w:val="0"/>
                    <w:widowControl w:val="0"/>
                    <w:kinsoku/>
                    <w:wordWrap/>
                    <w:overflowPunct/>
                    <w:topLinePunct w:val="0"/>
                    <w:autoSpaceDE/>
                    <w:autoSpaceDN/>
                    <w:bidi w:val="0"/>
                    <w:adjustRightInd/>
                    <w:snapToGrid/>
                    <w:spacing w:line="220" w:lineRule="exact"/>
                    <w:ind w:firstLine="0" w:firstLineChars="0"/>
                    <w:jc w:val="both"/>
                    <w:textAlignment w:val="auto"/>
                    <w:rPr>
                      <w:rStyle w:val="26"/>
                      <w:rFonts w:hint="default" w:ascii="Times New Roman" w:hAnsi="Times New Roman" w:eastAsia="宋体" w:cs="Times New Roman"/>
                      <w:color w:val="auto"/>
                      <w:kern w:val="0"/>
                      <w:sz w:val="21"/>
                      <w:szCs w:val="21"/>
                      <w:lang w:val="en-US" w:eastAsia="zh-CN" w:bidi="ar-SA"/>
                    </w:rPr>
                  </w:pPr>
                  <w:r>
                    <w:rPr>
                      <w:rStyle w:val="26"/>
                      <w:rFonts w:hint="default" w:ascii="Times New Roman" w:hAnsi="Times New Roman" w:eastAsia="宋体" w:cs="Times New Roman"/>
                      <w:color w:val="auto"/>
                      <w:kern w:val="0"/>
                      <w:sz w:val="21"/>
                      <w:szCs w:val="21"/>
                      <w:lang w:val="en-US" w:eastAsia="zh-CN" w:bidi="ar-SA"/>
                    </w:rPr>
                    <w:t>联防联控要求</w:t>
                  </w:r>
                </w:p>
                <w:p w14:paraId="565019CF">
                  <w:pPr>
                    <w:pStyle w:val="83"/>
                    <w:keepNext w:val="0"/>
                    <w:keepLines w:val="0"/>
                    <w:pageBreakBefore w:val="0"/>
                    <w:widowControl w:val="0"/>
                    <w:kinsoku/>
                    <w:wordWrap/>
                    <w:overflowPunct/>
                    <w:topLinePunct w:val="0"/>
                    <w:autoSpaceDE/>
                    <w:autoSpaceDN/>
                    <w:bidi w:val="0"/>
                    <w:adjustRightInd/>
                    <w:snapToGrid/>
                    <w:spacing w:line="220" w:lineRule="exact"/>
                    <w:ind w:firstLine="0" w:firstLineChars="0"/>
                    <w:jc w:val="both"/>
                    <w:textAlignment w:val="auto"/>
                    <w:rPr>
                      <w:rStyle w:val="26"/>
                      <w:rFonts w:hint="default" w:ascii="Times New Roman" w:hAnsi="Times New Roman" w:eastAsia="宋体" w:cs="Times New Roman"/>
                      <w:color w:val="auto"/>
                      <w:kern w:val="0"/>
                      <w:sz w:val="21"/>
                      <w:szCs w:val="21"/>
                      <w:lang w:val="en-US" w:eastAsia="zh-CN" w:bidi="ar-SA"/>
                    </w:rPr>
                  </w:pPr>
                  <w:r>
                    <w:rPr>
                      <w:rStyle w:val="26"/>
                      <w:rFonts w:hint="default" w:ascii="Times New Roman" w:hAnsi="Times New Roman" w:eastAsia="宋体" w:cs="Times New Roman"/>
                      <w:color w:val="auto"/>
                      <w:kern w:val="0"/>
                      <w:sz w:val="21"/>
                      <w:szCs w:val="21"/>
                      <w:lang w:val="en-US" w:eastAsia="zh-CN" w:bidi="ar-SA"/>
                    </w:rPr>
                    <w:t>强化区域联防联控，严格落实《关于建立跨省流域上下游突发水污染事件联防联控机制的指导意见》；定期召开区域大气环境形式分析会，强化信息共享和联动合作，实行环境规划，标准，环评，执法，信息公开“六统一”，协力推进大气污染源头防控，加强川东北区域大气污染防治合作。</w:t>
                  </w:r>
                </w:p>
                <w:p w14:paraId="1CCB7FC2">
                  <w:pPr>
                    <w:pStyle w:val="83"/>
                    <w:keepNext w:val="0"/>
                    <w:keepLines w:val="0"/>
                    <w:pageBreakBefore w:val="0"/>
                    <w:widowControl w:val="0"/>
                    <w:kinsoku/>
                    <w:wordWrap/>
                    <w:overflowPunct/>
                    <w:topLinePunct w:val="0"/>
                    <w:autoSpaceDE/>
                    <w:autoSpaceDN/>
                    <w:bidi w:val="0"/>
                    <w:adjustRightInd/>
                    <w:snapToGrid/>
                    <w:spacing w:line="220" w:lineRule="exact"/>
                    <w:ind w:firstLine="0" w:firstLineChars="0"/>
                    <w:jc w:val="both"/>
                    <w:textAlignment w:val="auto"/>
                    <w:rPr>
                      <w:rStyle w:val="26"/>
                      <w:rFonts w:hint="default" w:ascii="Times New Roman" w:hAnsi="Times New Roman" w:eastAsia="宋体" w:cs="Times New Roman"/>
                      <w:color w:val="auto"/>
                      <w:kern w:val="0"/>
                      <w:sz w:val="21"/>
                      <w:szCs w:val="21"/>
                      <w:lang w:val="en-US" w:eastAsia="zh-CN" w:bidi="ar-SA"/>
                    </w:rPr>
                  </w:pPr>
                  <w:r>
                    <w:rPr>
                      <w:rStyle w:val="26"/>
                      <w:rFonts w:hint="default" w:ascii="Times New Roman" w:hAnsi="Times New Roman" w:eastAsia="宋体" w:cs="Times New Roman"/>
                      <w:color w:val="auto"/>
                      <w:kern w:val="0"/>
                      <w:sz w:val="21"/>
                      <w:szCs w:val="21"/>
                      <w:lang w:val="en-US" w:eastAsia="zh-CN" w:bidi="ar-SA"/>
                    </w:rPr>
                    <w:t>其他环境风险防控要求</w:t>
                  </w:r>
                </w:p>
                <w:p w14:paraId="54D98263">
                  <w:pPr>
                    <w:pStyle w:val="83"/>
                    <w:keepNext w:val="0"/>
                    <w:keepLines w:val="0"/>
                    <w:pageBreakBefore w:val="0"/>
                    <w:widowControl w:val="0"/>
                    <w:kinsoku/>
                    <w:wordWrap/>
                    <w:overflowPunct/>
                    <w:topLinePunct w:val="0"/>
                    <w:autoSpaceDE/>
                    <w:autoSpaceDN/>
                    <w:bidi w:val="0"/>
                    <w:adjustRightInd/>
                    <w:snapToGrid/>
                    <w:spacing w:line="220" w:lineRule="exact"/>
                    <w:ind w:firstLine="0" w:firstLineChars="0"/>
                    <w:jc w:val="both"/>
                    <w:textAlignment w:val="auto"/>
                    <w:rPr>
                      <w:rStyle w:val="26"/>
                      <w:rFonts w:hint="default" w:ascii="Times New Roman" w:hAnsi="Times New Roman" w:eastAsia="宋体" w:cs="Times New Roman"/>
                      <w:color w:val="auto"/>
                      <w:kern w:val="0"/>
                      <w:sz w:val="21"/>
                      <w:szCs w:val="21"/>
                      <w:lang w:val="en-US" w:eastAsia="zh-CN" w:bidi="ar-SA"/>
                    </w:rPr>
                  </w:pPr>
                  <w:r>
                    <w:rPr>
                      <w:rStyle w:val="26"/>
                      <w:rFonts w:hint="default" w:ascii="Times New Roman" w:hAnsi="Times New Roman" w:eastAsia="宋体" w:cs="Times New Roman"/>
                      <w:color w:val="auto"/>
                      <w:kern w:val="0"/>
                      <w:sz w:val="21"/>
                      <w:szCs w:val="21"/>
                      <w:lang w:val="en-US" w:eastAsia="zh-CN" w:bidi="ar-SA"/>
                    </w:rPr>
                    <w:t>企业环境风险防控要求</w:t>
                  </w:r>
                  <w:r>
                    <w:rPr>
                      <w:rStyle w:val="26"/>
                      <w:rFonts w:hint="eastAsia" w:eastAsia="宋体" w:cs="Times New Roman"/>
                      <w:color w:val="auto"/>
                      <w:kern w:val="0"/>
                      <w:sz w:val="21"/>
                      <w:szCs w:val="21"/>
                      <w:lang w:val="en-US" w:eastAsia="zh-CN" w:bidi="ar-SA"/>
                    </w:rPr>
                    <w:t>：</w:t>
                  </w:r>
                  <w:r>
                    <w:rPr>
                      <w:rStyle w:val="26"/>
                      <w:rFonts w:hint="default" w:ascii="Times New Roman" w:hAnsi="Times New Roman" w:eastAsia="宋体" w:cs="Times New Roman"/>
                      <w:color w:val="auto"/>
                      <w:kern w:val="0"/>
                      <w:sz w:val="21"/>
                      <w:szCs w:val="21"/>
                      <w:lang w:val="en-US" w:eastAsia="zh-CN" w:bidi="ar-SA"/>
                    </w:rPr>
                    <w:t>涉及有毒有害、易燃易爆物质新建、改扩建项目，严控准入要求。（根据《GB 8978-2002》中第一类污染物以及《优先控制化学品名录》《有毒有害大气污染物名录》《有毒有害水污染物名录》确定）。对钢铁、焦化平板玻璃、铜铅锌硅冶炼等环境影响大或环境风险高的项目类别，不得以改革试点名义随意下放环评审批权限或降低审批要求。</w:t>
                  </w:r>
                </w:p>
                <w:p w14:paraId="722B2DF5">
                  <w:pPr>
                    <w:pStyle w:val="83"/>
                    <w:keepNext w:val="0"/>
                    <w:keepLines w:val="0"/>
                    <w:pageBreakBefore w:val="0"/>
                    <w:widowControl w:val="0"/>
                    <w:kinsoku/>
                    <w:wordWrap/>
                    <w:overflowPunct/>
                    <w:topLinePunct w:val="0"/>
                    <w:autoSpaceDE/>
                    <w:autoSpaceDN/>
                    <w:bidi w:val="0"/>
                    <w:adjustRightInd/>
                    <w:snapToGrid/>
                    <w:spacing w:line="220" w:lineRule="exact"/>
                    <w:ind w:firstLine="0" w:firstLineChars="0"/>
                    <w:jc w:val="both"/>
                    <w:textAlignment w:val="auto"/>
                    <w:rPr>
                      <w:rStyle w:val="26"/>
                      <w:rFonts w:hint="default" w:ascii="Times New Roman" w:hAnsi="Times New Roman" w:eastAsia="宋体" w:cs="Times New Roman"/>
                      <w:color w:val="auto"/>
                      <w:kern w:val="0"/>
                      <w:sz w:val="21"/>
                      <w:szCs w:val="21"/>
                      <w:lang w:val="en-US" w:eastAsia="zh-CN" w:bidi="ar-SA"/>
                    </w:rPr>
                  </w:pPr>
                  <w:r>
                    <w:rPr>
                      <w:rStyle w:val="26"/>
                      <w:rFonts w:hint="default" w:ascii="Times New Roman" w:hAnsi="Times New Roman" w:eastAsia="宋体" w:cs="Times New Roman"/>
                      <w:color w:val="auto"/>
                      <w:kern w:val="0"/>
                      <w:sz w:val="21"/>
                      <w:szCs w:val="21"/>
                      <w:lang w:val="en-US" w:eastAsia="zh-CN" w:bidi="ar-SA"/>
                    </w:rPr>
                    <w:t>园区环境风险防控要求</w:t>
                  </w:r>
                  <w:r>
                    <w:rPr>
                      <w:rStyle w:val="26"/>
                      <w:rFonts w:hint="eastAsia" w:eastAsia="宋体" w:cs="Times New Roman"/>
                      <w:color w:val="auto"/>
                      <w:kern w:val="0"/>
                      <w:sz w:val="21"/>
                      <w:szCs w:val="21"/>
                      <w:lang w:val="en-US" w:eastAsia="zh-CN" w:bidi="ar-SA"/>
                    </w:rPr>
                    <w:t>：</w:t>
                  </w:r>
                  <w:r>
                    <w:rPr>
                      <w:rStyle w:val="26"/>
                      <w:rFonts w:hint="default" w:ascii="Times New Roman" w:hAnsi="Times New Roman" w:eastAsia="宋体" w:cs="Times New Roman"/>
                      <w:color w:val="auto"/>
                      <w:kern w:val="0"/>
                      <w:sz w:val="21"/>
                      <w:szCs w:val="21"/>
                      <w:lang w:val="en-US" w:eastAsia="zh-CN" w:bidi="ar-SA"/>
                    </w:rPr>
                    <w:t>园区风险防控体系要求：构建三级环境风险防控体系，强化危化品泄漏应急处置措施，确保风险可控。针对化工园区进一步强化风险防控。化工园区应具有安全风险监控体系、建立生态环境监测监控体系、建立必要的突发环境事件应急体系。杜绝危化品泄漏、事故排放等，确保环境安全。</w:t>
                  </w:r>
                </w:p>
                <w:p w14:paraId="7BDAC3CD">
                  <w:pPr>
                    <w:pStyle w:val="83"/>
                    <w:keepNext w:val="0"/>
                    <w:keepLines w:val="0"/>
                    <w:pageBreakBefore w:val="0"/>
                    <w:widowControl w:val="0"/>
                    <w:kinsoku/>
                    <w:wordWrap/>
                    <w:overflowPunct/>
                    <w:topLinePunct w:val="0"/>
                    <w:autoSpaceDE/>
                    <w:autoSpaceDN/>
                    <w:bidi w:val="0"/>
                    <w:adjustRightInd/>
                    <w:snapToGrid/>
                    <w:spacing w:line="220" w:lineRule="exact"/>
                    <w:ind w:firstLine="0" w:firstLineChars="0"/>
                    <w:jc w:val="both"/>
                    <w:textAlignment w:val="auto"/>
                    <w:rPr>
                      <w:rStyle w:val="26"/>
                      <w:rFonts w:hint="default" w:ascii="Times New Roman" w:hAnsi="Times New Roman" w:eastAsia="宋体" w:cs="Times New Roman"/>
                      <w:color w:val="auto"/>
                      <w:kern w:val="0"/>
                      <w:sz w:val="21"/>
                      <w:szCs w:val="21"/>
                      <w:lang w:val="en-US" w:eastAsia="zh-CN" w:bidi="ar-SA"/>
                    </w:rPr>
                  </w:pPr>
                  <w:r>
                    <w:rPr>
                      <w:rStyle w:val="26"/>
                      <w:rFonts w:hint="default" w:ascii="Times New Roman" w:hAnsi="Times New Roman" w:eastAsia="宋体" w:cs="Times New Roman"/>
                      <w:color w:val="auto"/>
                      <w:kern w:val="0"/>
                      <w:sz w:val="21"/>
                      <w:szCs w:val="21"/>
                      <w:lang w:val="en-US" w:eastAsia="zh-CN" w:bidi="ar-SA"/>
                    </w:rPr>
                    <w:t>用地环境风险防控要求</w:t>
                  </w:r>
                  <w:r>
                    <w:rPr>
                      <w:rStyle w:val="26"/>
                      <w:rFonts w:hint="eastAsia" w:eastAsia="宋体" w:cs="Times New Roman"/>
                      <w:color w:val="auto"/>
                      <w:kern w:val="0"/>
                      <w:sz w:val="21"/>
                      <w:szCs w:val="21"/>
                      <w:lang w:val="en-US" w:eastAsia="zh-CN" w:bidi="ar-SA"/>
                    </w:rPr>
                    <w:t>：</w:t>
                  </w:r>
                  <w:r>
                    <w:rPr>
                      <w:rStyle w:val="26"/>
                      <w:rFonts w:hint="default" w:ascii="Times New Roman" w:hAnsi="Times New Roman" w:eastAsia="宋体" w:cs="Times New Roman"/>
                      <w:color w:val="auto"/>
                      <w:kern w:val="0"/>
                      <w:sz w:val="21"/>
                      <w:szCs w:val="21"/>
                      <w:lang w:val="en-US" w:eastAsia="zh-CN" w:bidi="ar-SA"/>
                    </w:rPr>
                    <w:t>化工、电镀等行业企业拆除生产设施设备、构筑物和污染治理设施，要事先制定残留污染物清理和安全处置方案，要严格按照有关规定实施安全处理处置，防范拆除活动污染土壤。有色金属矿采选、有色金属冶炼、石油加工、化工、焦化、电镀、制革、天然（页岩）气开采、铅蓄电池、汽车制造、农药、危废处置、电子拆解等行业企业及其他可能影响土壤环境质量的生产设施设备、构筑物和污染治理设施的拆除，按照有关规定制定残留污染物清理和安全处置方案，要严格按照有关规定实施安全处理处置，防范拆除活动污染土壤。</w:t>
                  </w:r>
                </w:p>
                <w:p w14:paraId="2DBBE467">
                  <w:pPr>
                    <w:pStyle w:val="83"/>
                    <w:keepNext w:val="0"/>
                    <w:keepLines w:val="0"/>
                    <w:pageBreakBefore w:val="0"/>
                    <w:widowControl w:val="0"/>
                    <w:kinsoku/>
                    <w:wordWrap/>
                    <w:overflowPunct/>
                    <w:topLinePunct w:val="0"/>
                    <w:autoSpaceDE/>
                    <w:autoSpaceDN/>
                    <w:bidi w:val="0"/>
                    <w:adjustRightInd/>
                    <w:snapToGrid/>
                    <w:spacing w:line="220" w:lineRule="exact"/>
                    <w:ind w:firstLine="0" w:firstLineChars="0"/>
                    <w:jc w:val="both"/>
                    <w:textAlignment w:val="auto"/>
                    <w:rPr>
                      <w:rStyle w:val="26"/>
                      <w:rFonts w:hint="default" w:ascii="Times New Roman" w:hAnsi="Times New Roman" w:eastAsia="宋体" w:cs="Times New Roman"/>
                      <w:color w:val="auto"/>
                      <w:kern w:val="0"/>
                      <w:sz w:val="21"/>
                      <w:szCs w:val="21"/>
                      <w:lang w:val="en-US" w:eastAsia="zh-CN" w:bidi="ar-SA"/>
                    </w:rPr>
                  </w:pPr>
                  <w:r>
                    <w:rPr>
                      <w:rStyle w:val="26"/>
                      <w:rFonts w:hint="default" w:ascii="Times New Roman" w:hAnsi="Times New Roman" w:eastAsia="宋体" w:cs="Times New Roman"/>
                      <w:color w:val="auto"/>
                      <w:kern w:val="0"/>
                      <w:sz w:val="21"/>
                      <w:szCs w:val="21"/>
                      <w:lang w:val="en-US" w:eastAsia="zh-CN" w:bidi="ar-SA"/>
                    </w:rPr>
                    <w:t>资源开发利用效率要求：</w:t>
                  </w:r>
                </w:p>
                <w:p w14:paraId="0EABDE52">
                  <w:pPr>
                    <w:pStyle w:val="83"/>
                    <w:keepNext w:val="0"/>
                    <w:keepLines w:val="0"/>
                    <w:pageBreakBefore w:val="0"/>
                    <w:widowControl w:val="0"/>
                    <w:kinsoku/>
                    <w:wordWrap/>
                    <w:overflowPunct/>
                    <w:topLinePunct w:val="0"/>
                    <w:autoSpaceDE/>
                    <w:autoSpaceDN/>
                    <w:bidi w:val="0"/>
                    <w:adjustRightInd/>
                    <w:snapToGrid/>
                    <w:spacing w:line="220" w:lineRule="exact"/>
                    <w:ind w:firstLine="0" w:firstLineChars="0"/>
                    <w:jc w:val="both"/>
                    <w:textAlignment w:val="auto"/>
                    <w:rPr>
                      <w:rStyle w:val="26"/>
                      <w:rFonts w:hint="default" w:ascii="Times New Roman" w:hAnsi="Times New Roman" w:eastAsia="宋体" w:cs="Times New Roman"/>
                      <w:color w:val="auto"/>
                      <w:kern w:val="0"/>
                      <w:sz w:val="21"/>
                      <w:szCs w:val="21"/>
                      <w:lang w:val="en-US" w:eastAsia="zh-CN" w:bidi="ar-SA"/>
                    </w:rPr>
                  </w:pPr>
                  <w:r>
                    <w:rPr>
                      <w:rStyle w:val="26"/>
                      <w:rFonts w:hint="default" w:ascii="Times New Roman" w:hAnsi="Times New Roman" w:eastAsia="宋体" w:cs="Times New Roman"/>
                      <w:color w:val="auto"/>
                      <w:kern w:val="0"/>
                      <w:sz w:val="21"/>
                      <w:szCs w:val="21"/>
                      <w:lang w:val="en-US" w:eastAsia="zh-CN" w:bidi="ar-SA"/>
                    </w:rPr>
                    <w:t>水资源利用总量要求</w:t>
                  </w:r>
                </w:p>
                <w:p w14:paraId="2D6C195A">
                  <w:pPr>
                    <w:pStyle w:val="83"/>
                    <w:keepNext w:val="0"/>
                    <w:keepLines w:val="0"/>
                    <w:pageBreakBefore w:val="0"/>
                    <w:widowControl w:val="0"/>
                    <w:kinsoku/>
                    <w:wordWrap/>
                    <w:overflowPunct/>
                    <w:topLinePunct w:val="0"/>
                    <w:autoSpaceDE/>
                    <w:autoSpaceDN/>
                    <w:bidi w:val="0"/>
                    <w:adjustRightInd/>
                    <w:snapToGrid/>
                    <w:spacing w:line="220" w:lineRule="exact"/>
                    <w:ind w:firstLine="0" w:firstLineChars="0"/>
                    <w:jc w:val="both"/>
                    <w:textAlignment w:val="auto"/>
                    <w:rPr>
                      <w:rStyle w:val="26"/>
                      <w:rFonts w:hint="default" w:ascii="Times New Roman" w:hAnsi="Times New Roman" w:eastAsia="宋体" w:cs="Times New Roman"/>
                      <w:color w:val="auto"/>
                      <w:kern w:val="0"/>
                      <w:sz w:val="21"/>
                      <w:szCs w:val="21"/>
                      <w:lang w:val="en-US" w:eastAsia="zh-CN" w:bidi="ar-SA"/>
                    </w:rPr>
                  </w:pPr>
                  <w:r>
                    <w:rPr>
                      <w:rStyle w:val="26"/>
                      <w:rFonts w:hint="default" w:ascii="Times New Roman" w:hAnsi="Times New Roman" w:eastAsia="宋体" w:cs="Times New Roman"/>
                      <w:color w:val="auto"/>
                      <w:kern w:val="0"/>
                      <w:sz w:val="21"/>
                      <w:szCs w:val="21"/>
                      <w:lang w:val="en-US" w:eastAsia="zh-CN" w:bidi="ar-SA"/>
                    </w:rPr>
                    <w:t>新、改扩建项目污染水耗指标满足《四川省省级生态工业园区指标》综合类生态工业园区要求；到2022年，万元国内生产总值用水量、万元工业增加值用水量较2015年分别下降30%和28%。</w:t>
                  </w:r>
                </w:p>
                <w:p w14:paraId="1D304B6B">
                  <w:pPr>
                    <w:pStyle w:val="83"/>
                    <w:keepNext w:val="0"/>
                    <w:keepLines w:val="0"/>
                    <w:pageBreakBefore w:val="0"/>
                    <w:widowControl w:val="0"/>
                    <w:kinsoku/>
                    <w:wordWrap/>
                    <w:overflowPunct/>
                    <w:topLinePunct w:val="0"/>
                    <w:autoSpaceDE/>
                    <w:autoSpaceDN/>
                    <w:bidi w:val="0"/>
                    <w:adjustRightInd/>
                    <w:snapToGrid/>
                    <w:spacing w:line="220" w:lineRule="exact"/>
                    <w:ind w:firstLine="0" w:firstLineChars="0"/>
                    <w:jc w:val="both"/>
                    <w:textAlignment w:val="auto"/>
                    <w:rPr>
                      <w:rStyle w:val="26"/>
                      <w:rFonts w:hint="default" w:ascii="Times New Roman" w:hAnsi="Times New Roman" w:eastAsia="宋体" w:cs="Times New Roman"/>
                      <w:color w:val="auto"/>
                      <w:kern w:val="0"/>
                      <w:sz w:val="21"/>
                      <w:szCs w:val="21"/>
                      <w:lang w:val="en-US" w:eastAsia="zh-CN" w:bidi="ar-SA"/>
                    </w:rPr>
                  </w:pPr>
                  <w:r>
                    <w:rPr>
                      <w:rStyle w:val="26"/>
                      <w:rFonts w:hint="default" w:ascii="Times New Roman" w:hAnsi="Times New Roman" w:eastAsia="宋体" w:cs="Times New Roman"/>
                      <w:color w:val="auto"/>
                      <w:kern w:val="0"/>
                      <w:sz w:val="21"/>
                      <w:szCs w:val="21"/>
                      <w:lang w:val="en-US" w:eastAsia="zh-CN" w:bidi="ar-SA"/>
                    </w:rPr>
                    <w:t>地下水开采要求</w:t>
                  </w:r>
                </w:p>
                <w:p w14:paraId="3A30EDA9">
                  <w:pPr>
                    <w:pStyle w:val="83"/>
                    <w:keepNext w:val="0"/>
                    <w:keepLines w:val="0"/>
                    <w:pageBreakBefore w:val="0"/>
                    <w:widowControl w:val="0"/>
                    <w:kinsoku/>
                    <w:wordWrap/>
                    <w:overflowPunct/>
                    <w:topLinePunct w:val="0"/>
                    <w:autoSpaceDE/>
                    <w:autoSpaceDN/>
                    <w:bidi w:val="0"/>
                    <w:adjustRightInd/>
                    <w:snapToGrid/>
                    <w:spacing w:line="220" w:lineRule="exact"/>
                    <w:ind w:firstLine="0" w:firstLineChars="0"/>
                    <w:jc w:val="both"/>
                    <w:textAlignment w:val="auto"/>
                    <w:rPr>
                      <w:rStyle w:val="26"/>
                      <w:rFonts w:hint="default" w:ascii="Times New Roman" w:hAnsi="Times New Roman" w:eastAsia="宋体" w:cs="Times New Roman"/>
                      <w:color w:val="auto"/>
                      <w:kern w:val="0"/>
                      <w:sz w:val="21"/>
                      <w:szCs w:val="21"/>
                      <w:lang w:val="en-US" w:eastAsia="zh-CN" w:bidi="ar-SA"/>
                    </w:rPr>
                  </w:pPr>
                  <w:r>
                    <w:rPr>
                      <w:rStyle w:val="26"/>
                      <w:rFonts w:hint="default" w:ascii="Times New Roman" w:hAnsi="Times New Roman" w:eastAsia="宋体" w:cs="Times New Roman"/>
                      <w:color w:val="auto"/>
                      <w:kern w:val="0"/>
                      <w:sz w:val="21"/>
                      <w:szCs w:val="21"/>
                      <w:lang w:val="en-US" w:eastAsia="zh-CN" w:bidi="ar-SA"/>
                    </w:rPr>
                    <w:t>以省市下发指标为准</w:t>
                  </w:r>
                </w:p>
                <w:p w14:paraId="0C7DF179">
                  <w:pPr>
                    <w:pStyle w:val="83"/>
                    <w:keepNext w:val="0"/>
                    <w:keepLines w:val="0"/>
                    <w:pageBreakBefore w:val="0"/>
                    <w:widowControl w:val="0"/>
                    <w:kinsoku/>
                    <w:wordWrap/>
                    <w:overflowPunct/>
                    <w:topLinePunct w:val="0"/>
                    <w:autoSpaceDE/>
                    <w:autoSpaceDN/>
                    <w:bidi w:val="0"/>
                    <w:adjustRightInd/>
                    <w:snapToGrid/>
                    <w:spacing w:line="220" w:lineRule="exact"/>
                    <w:ind w:firstLine="0" w:firstLineChars="0"/>
                    <w:jc w:val="both"/>
                    <w:textAlignment w:val="auto"/>
                    <w:rPr>
                      <w:rStyle w:val="26"/>
                      <w:rFonts w:hint="default" w:ascii="Times New Roman" w:hAnsi="Times New Roman" w:eastAsia="宋体" w:cs="Times New Roman"/>
                      <w:color w:val="auto"/>
                      <w:kern w:val="0"/>
                      <w:sz w:val="21"/>
                      <w:szCs w:val="21"/>
                      <w:lang w:val="en-US" w:eastAsia="zh-CN" w:bidi="ar-SA"/>
                    </w:rPr>
                  </w:pPr>
                  <w:r>
                    <w:rPr>
                      <w:rStyle w:val="26"/>
                      <w:rFonts w:hint="default" w:ascii="Times New Roman" w:hAnsi="Times New Roman" w:eastAsia="宋体" w:cs="Times New Roman"/>
                      <w:color w:val="auto"/>
                      <w:kern w:val="0"/>
                      <w:sz w:val="21"/>
                      <w:szCs w:val="21"/>
                      <w:lang w:val="en-US" w:eastAsia="zh-CN" w:bidi="ar-SA"/>
                    </w:rPr>
                    <w:t>能源利用总量及效率要求</w:t>
                  </w:r>
                </w:p>
                <w:p w14:paraId="30184ED5">
                  <w:pPr>
                    <w:pStyle w:val="83"/>
                    <w:keepNext w:val="0"/>
                    <w:keepLines w:val="0"/>
                    <w:pageBreakBefore w:val="0"/>
                    <w:widowControl w:val="0"/>
                    <w:kinsoku/>
                    <w:wordWrap/>
                    <w:overflowPunct/>
                    <w:topLinePunct w:val="0"/>
                    <w:autoSpaceDE/>
                    <w:autoSpaceDN/>
                    <w:bidi w:val="0"/>
                    <w:adjustRightInd/>
                    <w:snapToGrid/>
                    <w:spacing w:line="220" w:lineRule="exact"/>
                    <w:ind w:firstLine="0" w:firstLineChars="0"/>
                    <w:jc w:val="both"/>
                    <w:textAlignment w:val="auto"/>
                    <w:rPr>
                      <w:rStyle w:val="26"/>
                      <w:rFonts w:hint="default" w:ascii="Times New Roman" w:hAnsi="Times New Roman" w:eastAsia="宋体" w:cs="Times New Roman"/>
                      <w:color w:val="auto"/>
                      <w:kern w:val="0"/>
                      <w:sz w:val="21"/>
                      <w:szCs w:val="21"/>
                      <w:lang w:val="en-US" w:eastAsia="zh-CN" w:bidi="ar-SA"/>
                    </w:rPr>
                  </w:pPr>
                  <w:r>
                    <w:rPr>
                      <w:rStyle w:val="26"/>
                      <w:rFonts w:hint="default" w:ascii="Times New Roman" w:hAnsi="Times New Roman" w:eastAsia="宋体" w:cs="Times New Roman"/>
                      <w:color w:val="auto"/>
                      <w:kern w:val="0"/>
                      <w:sz w:val="21"/>
                      <w:szCs w:val="21"/>
                      <w:lang w:val="en-US" w:eastAsia="zh-CN" w:bidi="ar-SA"/>
                    </w:rPr>
                    <w:t>川东北区域实施新建项目与煤炭消费总量控制挂钩机制，耗煤建设项目实行煤炭消耗等量减量替代。提高煤炭利用效率和天然气利用占比，工业领域有序推进“煤改电”和有序推进“煤改气”。</w:t>
                  </w:r>
                </w:p>
                <w:p w14:paraId="4C51ADE9">
                  <w:pPr>
                    <w:pStyle w:val="83"/>
                    <w:keepNext w:val="0"/>
                    <w:keepLines w:val="0"/>
                    <w:pageBreakBefore w:val="0"/>
                    <w:widowControl w:val="0"/>
                    <w:kinsoku/>
                    <w:wordWrap/>
                    <w:overflowPunct/>
                    <w:topLinePunct w:val="0"/>
                    <w:autoSpaceDE/>
                    <w:autoSpaceDN/>
                    <w:bidi w:val="0"/>
                    <w:adjustRightInd/>
                    <w:snapToGrid/>
                    <w:spacing w:line="220" w:lineRule="exact"/>
                    <w:ind w:firstLine="0" w:firstLineChars="0"/>
                    <w:jc w:val="both"/>
                    <w:textAlignment w:val="auto"/>
                    <w:rPr>
                      <w:rStyle w:val="26"/>
                      <w:rFonts w:hint="default" w:ascii="Times New Roman" w:hAnsi="Times New Roman" w:eastAsia="宋体" w:cs="Times New Roman"/>
                      <w:color w:val="auto"/>
                      <w:kern w:val="0"/>
                      <w:sz w:val="21"/>
                      <w:szCs w:val="21"/>
                      <w:lang w:val="en-US" w:eastAsia="zh-CN" w:bidi="ar-SA"/>
                    </w:rPr>
                  </w:pPr>
                  <w:r>
                    <w:rPr>
                      <w:rStyle w:val="26"/>
                      <w:rFonts w:hint="default" w:ascii="Times New Roman" w:hAnsi="Times New Roman" w:eastAsia="宋体" w:cs="Times New Roman"/>
                      <w:color w:val="auto"/>
                      <w:kern w:val="0"/>
                      <w:sz w:val="21"/>
                      <w:szCs w:val="21"/>
                      <w:lang w:val="en-US" w:eastAsia="zh-CN" w:bidi="ar-SA"/>
                    </w:rPr>
                    <w:t>-大力实施和推广以电代煤、以电代油工程，重点在城市交通、工商业等领域实施以电代油、以电代煤。</w:t>
                  </w:r>
                </w:p>
                <w:p w14:paraId="24D38D5A">
                  <w:pPr>
                    <w:pStyle w:val="83"/>
                    <w:keepNext w:val="0"/>
                    <w:keepLines w:val="0"/>
                    <w:pageBreakBefore w:val="0"/>
                    <w:widowControl w:val="0"/>
                    <w:kinsoku/>
                    <w:wordWrap/>
                    <w:overflowPunct/>
                    <w:topLinePunct w:val="0"/>
                    <w:autoSpaceDE/>
                    <w:autoSpaceDN/>
                    <w:bidi w:val="0"/>
                    <w:adjustRightInd/>
                    <w:snapToGrid/>
                    <w:spacing w:line="220" w:lineRule="exact"/>
                    <w:ind w:firstLine="0" w:firstLineChars="0"/>
                    <w:jc w:val="both"/>
                    <w:textAlignment w:val="auto"/>
                    <w:rPr>
                      <w:rStyle w:val="26"/>
                      <w:rFonts w:hint="default" w:ascii="Times New Roman" w:hAnsi="Times New Roman" w:eastAsia="宋体" w:cs="Times New Roman"/>
                      <w:color w:val="auto"/>
                      <w:kern w:val="0"/>
                      <w:sz w:val="21"/>
                      <w:szCs w:val="21"/>
                      <w:lang w:val="en-US" w:eastAsia="zh-CN" w:bidi="ar-SA"/>
                    </w:rPr>
                  </w:pPr>
                  <w:r>
                    <w:rPr>
                      <w:rStyle w:val="26"/>
                      <w:rFonts w:hint="default" w:ascii="Times New Roman" w:hAnsi="Times New Roman" w:eastAsia="宋体" w:cs="Times New Roman"/>
                      <w:color w:val="auto"/>
                      <w:kern w:val="0"/>
                      <w:sz w:val="21"/>
                      <w:szCs w:val="21"/>
                      <w:lang w:val="en-US" w:eastAsia="zh-CN" w:bidi="ar-SA"/>
                    </w:rPr>
                    <w:t>-增加天然气对煤炭和石油的替代，提高天然气民用、交通、发电、工业领域天然气消费比重。</w:t>
                  </w:r>
                </w:p>
                <w:p w14:paraId="5CF9E444">
                  <w:pPr>
                    <w:pStyle w:val="83"/>
                    <w:keepNext w:val="0"/>
                    <w:keepLines w:val="0"/>
                    <w:pageBreakBefore w:val="0"/>
                    <w:widowControl w:val="0"/>
                    <w:kinsoku/>
                    <w:wordWrap/>
                    <w:overflowPunct/>
                    <w:topLinePunct w:val="0"/>
                    <w:autoSpaceDE/>
                    <w:autoSpaceDN/>
                    <w:bidi w:val="0"/>
                    <w:adjustRightInd/>
                    <w:snapToGrid/>
                    <w:spacing w:line="220" w:lineRule="exact"/>
                    <w:ind w:firstLine="0" w:firstLineChars="0"/>
                    <w:jc w:val="both"/>
                    <w:textAlignment w:val="auto"/>
                    <w:rPr>
                      <w:rStyle w:val="26"/>
                      <w:rFonts w:hint="default" w:ascii="Times New Roman" w:hAnsi="Times New Roman" w:eastAsia="宋体" w:cs="Times New Roman"/>
                      <w:color w:val="auto"/>
                      <w:kern w:val="0"/>
                      <w:sz w:val="21"/>
                      <w:szCs w:val="21"/>
                      <w:lang w:val="en-US" w:eastAsia="zh-CN" w:bidi="ar-SA"/>
                    </w:rPr>
                  </w:pPr>
                  <w:r>
                    <w:rPr>
                      <w:rStyle w:val="26"/>
                      <w:rFonts w:hint="default" w:ascii="Times New Roman" w:hAnsi="Times New Roman" w:eastAsia="宋体" w:cs="Times New Roman"/>
                      <w:color w:val="auto"/>
                      <w:kern w:val="0"/>
                      <w:sz w:val="21"/>
                      <w:szCs w:val="21"/>
                      <w:lang w:val="en-US" w:eastAsia="zh-CN" w:bidi="ar-SA"/>
                    </w:rPr>
                    <w:t>-实施煤炭消费总量控制：严格控制煤炭消费总量；严格控制新建、改建、扩建耗煤项目，新增耗煤项目实行煤炭消耗减量倍量替代。</w:t>
                  </w:r>
                </w:p>
                <w:p w14:paraId="4F9C926F">
                  <w:pPr>
                    <w:pStyle w:val="83"/>
                    <w:keepNext w:val="0"/>
                    <w:keepLines w:val="0"/>
                    <w:pageBreakBefore w:val="0"/>
                    <w:widowControl w:val="0"/>
                    <w:kinsoku/>
                    <w:wordWrap/>
                    <w:overflowPunct/>
                    <w:topLinePunct w:val="0"/>
                    <w:autoSpaceDE/>
                    <w:autoSpaceDN/>
                    <w:bidi w:val="0"/>
                    <w:adjustRightInd/>
                    <w:snapToGrid/>
                    <w:spacing w:line="220" w:lineRule="exact"/>
                    <w:ind w:firstLine="0" w:firstLineChars="0"/>
                    <w:jc w:val="both"/>
                    <w:textAlignment w:val="auto"/>
                    <w:rPr>
                      <w:rStyle w:val="26"/>
                      <w:rFonts w:hint="default" w:ascii="Times New Roman" w:hAnsi="Times New Roman" w:eastAsia="宋体" w:cs="Times New Roman"/>
                      <w:color w:val="auto"/>
                      <w:kern w:val="0"/>
                      <w:sz w:val="21"/>
                      <w:szCs w:val="21"/>
                      <w:lang w:val="en-US" w:eastAsia="zh-CN" w:bidi="ar-SA"/>
                    </w:rPr>
                  </w:pPr>
                  <w:r>
                    <w:rPr>
                      <w:rStyle w:val="26"/>
                      <w:rFonts w:hint="default" w:ascii="Times New Roman" w:hAnsi="Times New Roman" w:eastAsia="宋体" w:cs="Times New Roman"/>
                      <w:color w:val="auto"/>
                      <w:kern w:val="0"/>
                      <w:sz w:val="21"/>
                      <w:szCs w:val="21"/>
                      <w:lang w:val="en-US" w:eastAsia="zh-CN" w:bidi="ar-SA"/>
                    </w:rPr>
                    <w:t>-鼓励使用清洁燃料，重点区域建设项目原则上不新建燃煤自备锅炉。鼓励重点区域高炉-转炉长流程钢铁企业转型为电炉短流程企业。大宗物料优先采用铁路、管道或水路运输，短途接驳优先使用新能源车辆运输。</w:t>
                  </w:r>
                </w:p>
                <w:p w14:paraId="1C450EE6">
                  <w:pPr>
                    <w:pStyle w:val="83"/>
                    <w:keepNext w:val="0"/>
                    <w:keepLines w:val="0"/>
                    <w:pageBreakBefore w:val="0"/>
                    <w:widowControl w:val="0"/>
                    <w:kinsoku/>
                    <w:wordWrap/>
                    <w:overflowPunct/>
                    <w:topLinePunct w:val="0"/>
                    <w:autoSpaceDE/>
                    <w:autoSpaceDN/>
                    <w:bidi w:val="0"/>
                    <w:adjustRightInd/>
                    <w:snapToGrid/>
                    <w:spacing w:line="220" w:lineRule="exact"/>
                    <w:ind w:firstLine="0" w:firstLineChars="0"/>
                    <w:jc w:val="both"/>
                    <w:textAlignment w:val="auto"/>
                    <w:rPr>
                      <w:rStyle w:val="26"/>
                      <w:rFonts w:hint="default" w:ascii="Times New Roman" w:hAnsi="Times New Roman" w:eastAsia="宋体" w:cs="Times New Roman"/>
                      <w:color w:val="auto"/>
                      <w:kern w:val="0"/>
                      <w:sz w:val="21"/>
                      <w:szCs w:val="21"/>
                      <w:lang w:val="en-US" w:eastAsia="zh-CN" w:bidi="ar-SA"/>
                    </w:rPr>
                  </w:pPr>
                  <w:r>
                    <w:rPr>
                      <w:rStyle w:val="26"/>
                      <w:rFonts w:hint="default" w:ascii="Times New Roman" w:hAnsi="Times New Roman" w:eastAsia="宋体" w:cs="Times New Roman"/>
                      <w:color w:val="auto"/>
                      <w:kern w:val="0"/>
                      <w:sz w:val="21"/>
                      <w:szCs w:val="21"/>
                      <w:lang w:val="en-US" w:eastAsia="zh-CN" w:bidi="ar-SA"/>
                    </w:rPr>
                    <w:t>-推进清洁能源的推广使用，全面推进散煤清洁化整治；</w:t>
                  </w:r>
                </w:p>
                <w:p w14:paraId="64D33B33">
                  <w:pPr>
                    <w:pStyle w:val="83"/>
                    <w:keepNext w:val="0"/>
                    <w:keepLines w:val="0"/>
                    <w:pageBreakBefore w:val="0"/>
                    <w:widowControl w:val="0"/>
                    <w:kinsoku/>
                    <w:wordWrap/>
                    <w:overflowPunct/>
                    <w:topLinePunct w:val="0"/>
                    <w:autoSpaceDE/>
                    <w:autoSpaceDN/>
                    <w:bidi w:val="0"/>
                    <w:adjustRightInd/>
                    <w:snapToGrid/>
                    <w:spacing w:line="220" w:lineRule="exact"/>
                    <w:ind w:firstLine="0" w:firstLineChars="0"/>
                    <w:jc w:val="both"/>
                    <w:textAlignment w:val="auto"/>
                    <w:rPr>
                      <w:rStyle w:val="26"/>
                      <w:rFonts w:hint="default" w:ascii="Times New Roman" w:hAnsi="Times New Roman" w:eastAsia="宋体" w:cs="Times New Roman"/>
                      <w:color w:val="auto"/>
                      <w:kern w:val="0"/>
                      <w:sz w:val="21"/>
                      <w:szCs w:val="21"/>
                      <w:lang w:val="en-US" w:eastAsia="zh-CN" w:bidi="ar-SA"/>
                    </w:rPr>
                  </w:pPr>
                  <w:r>
                    <w:rPr>
                      <w:rStyle w:val="26"/>
                      <w:rFonts w:hint="default" w:ascii="Times New Roman" w:hAnsi="Times New Roman" w:eastAsia="宋体" w:cs="Times New Roman"/>
                      <w:color w:val="auto"/>
                      <w:kern w:val="0"/>
                      <w:sz w:val="21"/>
                      <w:szCs w:val="21"/>
                      <w:lang w:val="en-US" w:eastAsia="zh-CN" w:bidi="ar-SA"/>
                    </w:rPr>
                    <w:t>-全面淘汰10蒸吨/小时及以下燃煤锅炉，原则上不再新建35蒸吨/小时及以下的燃煤锅炉，推进县级及以上城市建成区淘汰35蒸吨/小时及以下燃煤锅炉，以工业余热、电厂热力、清洁能源等替代煤炭。加快推进火电、钢铁、铸造（含烧结、球团、高炉工序）水泥、焦化行业燃煤锅炉和工业炉窑超低排放改造及深度治理。稳步实施陶瓷、玻璃、铁合金、有色、砖瓦等行业企业深度治理，推进工业炉窑煤改电（气）和低氮燃烧改造。全面加强钢铁、建材、有色、焦化、铸造重点行业无组织排放治理。生物质锅炉采用专用锅炉，配套布袋等高效除尘设施，禁止掺烧煤炭、垃圾等其他物料。</w:t>
                  </w:r>
                </w:p>
                <w:p w14:paraId="06D4DB72">
                  <w:pPr>
                    <w:pStyle w:val="83"/>
                    <w:keepNext w:val="0"/>
                    <w:keepLines w:val="0"/>
                    <w:pageBreakBefore w:val="0"/>
                    <w:widowControl w:val="0"/>
                    <w:kinsoku/>
                    <w:wordWrap/>
                    <w:overflowPunct/>
                    <w:topLinePunct w:val="0"/>
                    <w:autoSpaceDE/>
                    <w:autoSpaceDN/>
                    <w:bidi w:val="0"/>
                    <w:adjustRightInd/>
                    <w:snapToGrid/>
                    <w:spacing w:line="220" w:lineRule="exact"/>
                    <w:ind w:firstLine="0" w:firstLineChars="0"/>
                    <w:jc w:val="both"/>
                    <w:textAlignment w:val="auto"/>
                    <w:rPr>
                      <w:rStyle w:val="26"/>
                      <w:rFonts w:hint="default" w:ascii="Times New Roman" w:hAnsi="Times New Roman" w:eastAsia="宋体" w:cs="Times New Roman"/>
                      <w:color w:val="auto"/>
                      <w:kern w:val="0"/>
                      <w:sz w:val="21"/>
                      <w:szCs w:val="21"/>
                      <w:lang w:val="en-US" w:eastAsia="zh-CN" w:bidi="ar-SA"/>
                    </w:rPr>
                  </w:pPr>
                  <w:r>
                    <w:rPr>
                      <w:rStyle w:val="26"/>
                      <w:rFonts w:hint="default" w:ascii="Times New Roman" w:hAnsi="Times New Roman" w:eastAsia="宋体" w:cs="Times New Roman"/>
                      <w:color w:val="auto"/>
                      <w:kern w:val="0"/>
                      <w:sz w:val="21"/>
                      <w:szCs w:val="21"/>
                      <w:lang w:val="en-US" w:eastAsia="zh-CN" w:bidi="ar-SA"/>
                    </w:rPr>
                    <w:t>-对20蒸吨及以上燃煤锅炉实施脱硫改造，建设高效脱硫设施；对循环流化床锅炉以外的燃煤发电机组一律安装脱硫设施，对燃煤锅炉和工业锅炉现有除尘设施实施升级改造，确保达到新的排放标准和特别排放限值。</w:t>
                  </w:r>
                </w:p>
                <w:p w14:paraId="1A982744">
                  <w:pPr>
                    <w:pStyle w:val="83"/>
                    <w:keepNext w:val="0"/>
                    <w:keepLines w:val="0"/>
                    <w:pageBreakBefore w:val="0"/>
                    <w:widowControl w:val="0"/>
                    <w:kinsoku/>
                    <w:wordWrap/>
                    <w:overflowPunct/>
                    <w:topLinePunct w:val="0"/>
                    <w:autoSpaceDE/>
                    <w:autoSpaceDN/>
                    <w:bidi w:val="0"/>
                    <w:adjustRightInd/>
                    <w:snapToGrid/>
                    <w:spacing w:line="220" w:lineRule="exact"/>
                    <w:ind w:firstLine="0" w:firstLineChars="0"/>
                    <w:jc w:val="both"/>
                    <w:textAlignment w:val="auto"/>
                    <w:rPr>
                      <w:rStyle w:val="26"/>
                      <w:rFonts w:hint="default" w:ascii="Times New Roman" w:hAnsi="Times New Roman" w:eastAsia="宋体" w:cs="Times New Roman"/>
                      <w:color w:val="auto"/>
                      <w:kern w:val="0"/>
                      <w:sz w:val="21"/>
                      <w:szCs w:val="21"/>
                      <w:lang w:val="en-US" w:eastAsia="zh-CN" w:bidi="ar-SA"/>
                    </w:rPr>
                  </w:pPr>
                  <w:r>
                    <w:rPr>
                      <w:rStyle w:val="26"/>
                      <w:rFonts w:hint="default" w:ascii="Times New Roman" w:hAnsi="Times New Roman" w:eastAsia="宋体" w:cs="Times New Roman"/>
                      <w:color w:val="auto"/>
                      <w:kern w:val="0"/>
                      <w:sz w:val="21"/>
                      <w:szCs w:val="21"/>
                      <w:lang w:val="en-US" w:eastAsia="zh-CN" w:bidi="ar-SA"/>
                    </w:rPr>
                    <w:t>禁燃区要求</w:t>
                  </w:r>
                </w:p>
                <w:p w14:paraId="676A598F">
                  <w:pPr>
                    <w:pStyle w:val="83"/>
                    <w:keepNext w:val="0"/>
                    <w:keepLines w:val="0"/>
                    <w:pageBreakBefore w:val="0"/>
                    <w:widowControl w:val="0"/>
                    <w:kinsoku/>
                    <w:wordWrap/>
                    <w:overflowPunct/>
                    <w:topLinePunct w:val="0"/>
                    <w:autoSpaceDE/>
                    <w:autoSpaceDN/>
                    <w:bidi w:val="0"/>
                    <w:adjustRightInd/>
                    <w:snapToGrid/>
                    <w:spacing w:line="220" w:lineRule="exact"/>
                    <w:ind w:firstLine="0" w:firstLineChars="0"/>
                    <w:jc w:val="both"/>
                    <w:textAlignment w:val="auto"/>
                    <w:rPr>
                      <w:rStyle w:val="26"/>
                      <w:rFonts w:hint="default" w:ascii="Times New Roman" w:hAnsi="Times New Roman" w:eastAsia="宋体" w:cs="Times New Roman"/>
                      <w:color w:val="auto"/>
                      <w:kern w:val="0"/>
                      <w:sz w:val="21"/>
                      <w:szCs w:val="21"/>
                      <w:lang w:val="en-US" w:eastAsia="zh-CN" w:bidi="ar-SA"/>
                    </w:rPr>
                  </w:pPr>
                  <w:r>
                    <w:rPr>
                      <w:rStyle w:val="26"/>
                      <w:rFonts w:hint="default" w:ascii="Times New Roman" w:hAnsi="Times New Roman" w:eastAsia="宋体" w:cs="Times New Roman"/>
                      <w:color w:val="auto"/>
                      <w:kern w:val="0"/>
                      <w:sz w:val="21"/>
                      <w:szCs w:val="21"/>
                      <w:lang w:val="en-US" w:eastAsia="zh-CN" w:bidi="ar-SA"/>
                    </w:rPr>
                    <w:t>-高污染燃料禁燃区内禁止燃用的燃料为《高污染燃料目录》（2017）中III类（严格）燃料组合，包括：（一）煤炭及其制品；（二）石油焦、油页岩、原油、重油、渣油、煤焦油；（三）非专用锅炉或未配置高效除尘设施的专用锅炉燃用的生物质成型燃料。</w:t>
                  </w:r>
                </w:p>
                <w:p w14:paraId="353E3DF3">
                  <w:pPr>
                    <w:pStyle w:val="83"/>
                    <w:keepNext w:val="0"/>
                    <w:keepLines w:val="0"/>
                    <w:pageBreakBefore w:val="0"/>
                    <w:widowControl w:val="0"/>
                    <w:kinsoku/>
                    <w:wordWrap/>
                    <w:overflowPunct/>
                    <w:topLinePunct w:val="0"/>
                    <w:autoSpaceDE/>
                    <w:autoSpaceDN/>
                    <w:bidi w:val="0"/>
                    <w:adjustRightInd/>
                    <w:snapToGrid/>
                    <w:spacing w:line="220" w:lineRule="exact"/>
                    <w:ind w:firstLine="0" w:firstLineChars="0"/>
                    <w:jc w:val="both"/>
                    <w:textAlignment w:val="auto"/>
                    <w:rPr>
                      <w:rStyle w:val="26"/>
                      <w:rFonts w:hint="default" w:ascii="Times New Roman" w:hAnsi="Times New Roman" w:eastAsia="宋体" w:cs="Times New Roman"/>
                      <w:color w:val="auto"/>
                      <w:kern w:val="0"/>
                      <w:sz w:val="21"/>
                      <w:szCs w:val="21"/>
                      <w:lang w:val="en-US" w:eastAsia="zh-CN" w:bidi="ar-SA"/>
                    </w:rPr>
                  </w:pPr>
                  <w:r>
                    <w:rPr>
                      <w:rStyle w:val="26"/>
                      <w:rFonts w:hint="default" w:ascii="Times New Roman" w:hAnsi="Times New Roman" w:eastAsia="宋体" w:cs="Times New Roman"/>
                      <w:color w:val="auto"/>
                      <w:kern w:val="0"/>
                      <w:sz w:val="21"/>
                      <w:szCs w:val="21"/>
                      <w:lang w:val="en-US" w:eastAsia="zh-CN" w:bidi="ar-SA"/>
                    </w:rPr>
                    <w:t>-禁燃区内禁止销售、燃用高污染燃料；禁止新建、改建、扩建燃用高污染燃料的设施和设备。</w:t>
                  </w:r>
                </w:p>
                <w:p w14:paraId="0CC3303E">
                  <w:pPr>
                    <w:pStyle w:val="83"/>
                    <w:keepNext w:val="0"/>
                    <w:keepLines w:val="0"/>
                    <w:pageBreakBefore w:val="0"/>
                    <w:widowControl w:val="0"/>
                    <w:kinsoku/>
                    <w:wordWrap/>
                    <w:overflowPunct/>
                    <w:topLinePunct w:val="0"/>
                    <w:autoSpaceDE/>
                    <w:autoSpaceDN/>
                    <w:bidi w:val="0"/>
                    <w:adjustRightInd/>
                    <w:snapToGrid/>
                    <w:spacing w:line="220" w:lineRule="exact"/>
                    <w:ind w:firstLine="0" w:firstLineChars="0"/>
                    <w:jc w:val="both"/>
                    <w:textAlignment w:val="auto"/>
                    <w:rPr>
                      <w:rStyle w:val="26"/>
                      <w:rFonts w:hint="default" w:ascii="Times New Roman" w:hAnsi="Times New Roman" w:eastAsia="宋体" w:cs="Times New Roman"/>
                      <w:color w:val="auto"/>
                      <w:kern w:val="0"/>
                      <w:sz w:val="21"/>
                      <w:szCs w:val="21"/>
                      <w:lang w:val="en-US" w:eastAsia="zh-CN" w:bidi="ar-SA"/>
                    </w:rPr>
                  </w:pPr>
                  <w:r>
                    <w:rPr>
                      <w:rStyle w:val="26"/>
                      <w:rFonts w:hint="default" w:ascii="Times New Roman" w:hAnsi="Times New Roman" w:eastAsia="宋体" w:cs="Times New Roman"/>
                      <w:color w:val="auto"/>
                      <w:kern w:val="0"/>
                      <w:sz w:val="21"/>
                      <w:szCs w:val="21"/>
                      <w:lang w:val="en-US" w:eastAsia="zh-CN" w:bidi="ar-SA"/>
                    </w:rPr>
                    <w:t>-禁燃区内已建成的高污染燃料燃用设施由辖区人民政府制定限期改造计划，改用天然气、页岩气、液化石油气、电或其他清洁能源。</w:t>
                  </w:r>
                </w:p>
                <w:p w14:paraId="015EFFB8">
                  <w:pPr>
                    <w:pStyle w:val="83"/>
                    <w:keepNext w:val="0"/>
                    <w:keepLines w:val="0"/>
                    <w:pageBreakBefore w:val="0"/>
                    <w:widowControl w:val="0"/>
                    <w:kinsoku/>
                    <w:wordWrap/>
                    <w:overflowPunct/>
                    <w:topLinePunct w:val="0"/>
                    <w:autoSpaceDE/>
                    <w:autoSpaceDN/>
                    <w:bidi w:val="0"/>
                    <w:adjustRightInd/>
                    <w:snapToGrid/>
                    <w:spacing w:line="220" w:lineRule="exact"/>
                    <w:ind w:firstLine="0" w:firstLineChars="0"/>
                    <w:jc w:val="both"/>
                    <w:textAlignment w:val="auto"/>
                    <w:rPr>
                      <w:rFonts w:hint="default" w:ascii="Times New Roman" w:hAnsi="Times New Roman" w:eastAsia="宋体" w:cs="Times New Roman"/>
                      <w:color w:val="auto"/>
                      <w:kern w:val="0"/>
                      <w:sz w:val="21"/>
                      <w:szCs w:val="21"/>
                      <w:lang w:val="en-US" w:eastAsia="zh-CN" w:bidi="ar-SA"/>
                    </w:rPr>
                  </w:pPr>
                  <w:r>
                    <w:rPr>
                      <w:rStyle w:val="26"/>
                      <w:rFonts w:hint="default" w:ascii="Times New Roman" w:hAnsi="Times New Roman" w:eastAsia="宋体" w:cs="Times New Roman"/>
                      <w:color w:val="auto"/>
                      <w:kern w:val="0"/>
                      <w:sz w:val="21"/>
                      <w:szCs w:val="21"/>
                      <w:lang w:val="en-US" w:eastAsia="zh-CN" w:bidi="ar-SA"/>
                    </w:rPr>
                    <w:t>其他资源利用效率要求/</w:t>
                  </w:r>
                </w:p>
              </w:tc>
              <w:tc>
                <w:tcPr>
                  <w:tcW w:w="274" w:type="pct"/>
                  <w:tcBorders>
                    <w:tl2br w:val="nil"/>
                    <w:tr2bl w:val="nil"/>
                  </w:tcBorders>
                  <w:vAlign w:val="center"/>
                </w:tcPr>
                <w:p w14:paraId="7654E905">
                  <w:pPr>
                    <w:pStyle w:val="83"/>
                    <w:keepNext w:val="0"/>
                    <w:keepLines w:val="0"/>
                    <w:pageBreakBefore w:val="0"/>
                    <w:widowControl/>
                    <w:kinsoku/>
                    <w:wordWrap/>
                    <w:overflowPunct/>
                    <w:topLinePunct w:val="0"/>
                    <w:autoSpaceDE/>
                    <w:autoSpaceDN/>
                    <w:bidi w:val="0"/>
                    <w:adjustRightInd/>
                    <w:snapToGrid/>
                    <w:spacing w:line="240" w:lineRule="exact"/>
                    <w:ind w:firstLine="0" w:firstLineChars="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空间布局约束</w:t>
                  </w:r>
                </w:p>
              </w:tc>
              <w:tc>
                <w:tcPr>
                  <w:tcW w:w="1134" w:type="pct"/>
                  <w:tcBorders>
                    <w:tl2br w:val="nil"/>
                    <w:tr2bl w:val="nil"/>
                  </w:tcBorders>
                  <w:shd w:val="clear" w:color="auto" w:fill="auto"/>
                  <w:vAlign w:val="center"/>
                </w:tcPr>
                <w:p w14:paraId="41A02358">
                  <w:pPr>
                    <w:pStyle w:val="83"/>
                    <w:keepNext w:val="0"/>
                    <w:keepLines w:val="0"/>
                    <w:pageBreakBefore w:val="0"/>
                    <w:widowControl/>
                    <w:shd w:val="clear" w:color="auto" w:fill="FFFFFF"/>
                    <w:kinsoku/>
                    <w:wordWrap/>
                    <w:overflowPunct/>
                    <w:topLinePunct w:val="0"/>
                    <w:autoSpaceDE/>
                    <w:autoSpaceDN/>
                    <w:bidi w:val="0"/>
                    <w:adjustRightInd/>
                    <w:snapToGrid/>
                    <w:spacing w:line="240" w:lineRule="exact"/>
                    <w:ind w:firstLine="0" w:firstLineChars="0"/>
                    <w:jc w:val="left"/>
                    <w:textAlignment w:val="auto"/>
                    <w:rPr>
                      <w:rStyle w:val="26"/>
                      <w:rFonts w:hint="default" w:ascii="Times New Roman" w:hAnsi="Times New Roman" w:eastAsia="宋体" w:cs="Times New Roman"/>
                      <w:color w:val="auto"/>
                      <w:kern w:val="2"/>
                      <w:sz w:val="21"/>
                      <w:szCs w:val="21"/>
                      <w:lang w:val="en-US" w:eastAsia="zh-CN" w:bidi="ar-SA"/>
                    </w:rPr>
                  </w:pPr>
                  <w:r>
                    <w:rPr>
                      <w:rStyle w:val="26"/>
                      <w:rFonts w:hint="default" w:ascii="Times New Roman" w:hAnsi="Times New Roman" w:eastAsia="宋体" w:cs="Times New Roman"/>
                      <w:color w:val="auto"/>
                      <w:kern w:val="2"/>
                      <w:sz w:val="21"/>
                      <w:szCs w:val="21"/>
                      <w:lang w:val="en-US" w:eastAsia="zh-CN" w:bidi="ar-SA"/>
                    </w:rPr>
                    <w:t>禁止开发建设活动的要求</w:t>
                  </w:r>
                </w:p>
                <w:p w14:paraId="01411CF1">
                  <w:pPr>
                    <w:pStyle w:val="83"/>
                    <w:keepNext w:val="0"/>
                    <w:keepLines w:val="0"/>
                    <w:pageBreakBefore w:val="0"/>
                    <w:widowControl/>
                    <w:shd w:val="clear" w:color="auto" w:fill="FFFFFF"/>
                    <w:kinsoku/>
                    <w:wordWrap/>
                    <w:overflowPunct/>
                    <w:topLinePunct w:val="0"/>
                    <w:autoSpaceDE/>
                    <w:autoSpaceDN/>
                    <w:bidi w:val="0"/>
                    <w:adjustRightInd/>
                    <w:snapToGrid/>
                    <w:spacing w:line="240" w:lineRule="exact"/>
                    <w:ind w:firstLine="0" w:firstLineChars="0"/>
                    <w:jc w:val="left"/>
                    <w:textAlignment w:val="auto"/>
                    <w:rPr>
                      <w:rStyle w:val="26"/>
                      <w:rFonts w:hint="default" w:ascii="Times New Roman" w:hAnsi="Times New Roman" w:eastAsia="宋体" w:cs="Times New Roman"/>
                      <w:color w:val="auto"/>
                      <w:kern w:val="2"/>
                      <w:sz w:val="21"/>
                      <w:szCs w:val="21"/>
                      <w:lang w:val="en-US" w:eastAsia="zh-CN" w:bidi="ar-SA"/>
                    </w:rPr>
                  </w:pPr>
                  <w:r>
                    <w:rPr>
                      <w:rStyle w:val="26"/>
                      <w:rFonts w:hint="default" w:ascii="Times New Roman" w:hAnsi="Times New Roman" w:eastAsia="宋体" w:cs="Times New Roman"/>
                      <w:color w:val="auto"/>
                      <w:kern w:val="2"/>
                      <w:sz w:val="21"/>
                      <w:szCs w:val="21"/>
                      <w:lang w:val="en-US" w:eastAsia="zh-CN" w:bidi="ar-SA"/>
                    </w:rPr>
                    <w:t>-禁止引入如屠宰、电镀、制革、洗选、印染、含发酵工艺的生物制药等对水环境污染中的企业，电石、焦化、煤化工、黄磷等对大气环境污染重的企业，以及其他重污染的工业企业其它同达州市工业重点管控单元要求</w:t>
                  </w:r>
                </w:p>
                <w:p w14:paraId="3611600A">
                  <w:pPr>
                    <w:pStyle w:val="83"/>
                    <w:keepNext w:val="0"/>
                    <w:keepLines w:val="0"/>
                    <w:pageBreakBefore w:val="0"/>
                    <w:widowControl/>
                    <w:shd w:val="clear" w:color="auto" w:fill="FFFFFF"/>
                    <w:kinsoku/>
                    <w:wordWrap/>
                    <w:overflowPunct/>
                    <w:topLinePunct w:val="0"/>
                    <w:autoSpaceDE/>
                    <w:autoSpaceDN/>
                    <w:bidi w:val="0"/>
                    <w:adjustRightInd/>
                    <w:snapToGrid/>
                    <w:spacing w:line="240" w:lineRule="exact"/>
                    <w:ind w:firstLine="0" w:firstLineChars="0"/>
                    <w:jc w:val="left"/>
                    <w:textAlignment w:val="auto"/>
                    <w:rPr>
                      <w:rStyle w:val="26"/>
                      <w:rFonts w:hint="default" w:ascii="Times New Roman" w:hAnsi="Times New Roman" w:eastAsia="宋体" w:cs="Times New Roman"/>
                      <w:color w:val="auto"/>
                      <w:kern w:val="2"/>
                      <w:sz w:val="21"/>
                      <w:szCs w:val="21"/>
                      <w:lang w:val="en-US" w:eastAsia="zh-CN" w:bidi="ar-SA"/>
                    </w:rPr>
                  </w:pPr>
                  <w:r>
                    <w:rPr>
                      <w:rStyle w:val="26"/>
                      <w:rFonts w:hint="default" w:ascii="Times New Roman" w:hAnsi="Times New Roman" w:eastAsia="宋体" w:cs="Times New Roman"/>
                      <w:color w:val="auto"/>
                      <w:kern w:val="2"/>
                      <w:sz w:val="21"/>
                      <w:szCs w:val="21"/>
                      <w:lang w:val="en-US" w:eastAsia="zh-CN" w:bidi="ar-SA"/>
                    </w:rPr>
                    <w:t>限制开发建设活动的要求</w:t>
                  </w:r>
                </w:p>
                <w:p w14:paraId="02877B76">
                  <w:pPr>
                    <w:pStyle w:val="83"/>
                    <w:keepNext w:val="0"/>
                    <w:keepLines w:val="0"/>
                    <w:pageBreakBefore w:val="0"/>
                    <w:widowControl/>
                    <w:shd w:val="clear" w:color="auto" w:fill="FFFFFF"/>
                    <w:kinsoku/>
                    <w:wordWrap/>
                    <w:overflowPunct/>
                    <w:topLinePunct w:val="0"/>
                    <w:autoSpaceDE/>
                    <w:autoSpaceDN/>
                    <w:bidi w:val="0"/>
                    <w:adjustRightInd/>
                    <w:snapToGrid/>
                    <w:spacing w:line="240" w:lineRule="exact"/>
                    <w:ind w:firstLine="0" w:firstLineChars="0"/>
                    <w:jc w:val="left"/>
                    <w:textAlignment w:val="auto"/>
                    <w:rPr>
                      <w:rStyle w:val="26"/>
                      <w:rFonts w:hint="default" w:ascii="Times New Roman" w:hAnsi="Times New Roman" w:eastAsia="宋体" w:cs="Times New Roman"/>
                      <w:color w:val="auto"/>
                      <w:kern w:val="2"/>
                      <w:sz w:val="21"/>
                      <w:szCs w:val="21"/>
                      <w:lang w:val="en-US" w:eastAsia="zh-CN" w:bidi="ar-SA"/>
                    </w:rPr>
                  </w:pPr>
                  <w:r>
                    <w:rPr>
                      <w:rStyle w:val="26"/>
                      <w:rFonts w:hint="default" w:ascii="Times New Roman" w:hAnsi="Times New Roman" w:eastAsia="宋体" w:cs="Times New Roman"/>
                      <w:color w:val="auto"/>
                      <w:kern w:val="2"/>
                      <w:sz w:val="21"/>
                      <w:szCs w:val="21"/>
                      <w:lang w:val="en-US" w:eastAsia="zh-CN" w:bidi="ar-SA"/>
                    </w:rPr>
                    <w:t>执行达州市工业重点管控单元总体要求</w:t>
                  </w:r>
                </w:p>
                <w:p w14:paraId="47D00D07">
                  <w:pPr>
                    <w:pStyle w:val="83"/>
                    <w:keepNext w:val="0"/>
                    <w:keepLines w:val="0"/>
                    <w:pageBreakBefore w:val="0"/>
                    <w:widowControl/>
                    <w:shd w:val="clear" w:color="auto" w:fill="FFFFFF"/>
                    <w:kinsoku/>
                    <w:wordWrap/>
                    <w:overflowPunct/>
                    <w:topLinePunct w:val="0"/>
                    <w:autoSpaceDE/>
                    <w:autoSpaceDN/>
                    <w:bidi w:val="0"/>
                    <w:adjustRightInd/>
                    <w:snapToGrid/>
                    <w:spacing w:line="240" w:lineRule="exact"/>
                    <w:ind w:firstLine="0" w:firstLineChars="0"/>
                    <w:jc w:val="left"/>
                    <w:textAlignment w:val="auto"/>
                    <w:rPr>
                      <w:rStyle w:val="26"/>
                      <w:rFonts w:hint="default" w:ascii="Times New Roman" w:hAnsi="Times New Roman" w:eastAsia="宋体" w:cs="Times New Roman"/>
                      <w:color w:val="auto"/>
                      <w:kern w:val="2"/>
                      <w:sz w:val="21"/>
                      <w:szCs w:val="21"/>
                      <w:lang w:val="en-US" w:eastAsia="zh-CN" w:bidi="ar-SA"/>
                    </w:rPr>
                  </w:pPr>
                  <w:r>
                    <w:rPr>
                      <w:rStyle w:val="26"/>
                      <w:rFonts w:hint="default" w:ascii="Times New Roman" w:hAnsi="Times New Roman" w:eastAsia="宋体" w:cs="Times New Roman"/>
                      <w:color w:val="auto"/>
                      <w:kern w:val="2"/>
                      <w:sz w:val="21"/>
                      <w:szCs w:val="21"/>
                      <w:lang w:val="en-US" w:eastAsia="zh-CN" w:bidi="ar-SA"/>
                    </w:rPr>
                    <w:t>允许开发建设活动的要求</w:t>
                  </w:r>
                </w:p>
                <w:p w14:paraId="1AB2B0DE">
                  <w:pPr>
                    <w:pStyle w:val="83"/>
                    <w:keepNext w:val="0"/>
                    <w:keepLines w:val="0"/>
                    <w:pageBreakBefore w:val="0"/>
                    <w:widowControl/>
                    <w:shd w:val="clear" w:color="auto" w:fill="FFFFFF"/>
                    <w:kinsoku/>
                    <w:wordWrap/>
                    <w:overflowPunct/>
                    <w:topLinePunct w:val="0"/>
                    <w:autoSpaceDE/>
                    <w:autoSpaceDN/>
                    <w:bidi w:val="0"/>
                    <w:adjustRightInd/>
                    <w:snapToGrid/>
                    <w:spacing w:line="240" w:lineRule="exact"/>
                    <w:ind w:firstLine="0" w:firstLineChars="0"/>
                    <w:jc w:val="left"/>
                    <w:textAlignment w:val="auto"/>
                    <w:rPr>
                      <w:rStyle w:val="26"/>
                      <w:rFonts w:hint="default" w:ascii="Times New Roman" w:hAnsi="Times New Roman" w:eastAsia="宋体" w:cs="Times New Roman"/>
                      <w:color w:val="auto"/>
                      <w:kern w:val="2"/>
                      <w:sz w:val="21"/>
                      <w:szCs w:val="21"/>
                      <w:lang w:val="en-US" w:eastAsia="zh-CN" w:bidi="ar-SA"/>
                    </w:rPr>
                  </w:pPr>
                  <w:r>
                    <w:rPr>
                      <w:rStyle w:val="26"/>
                      <w:rFonts w:hint="default" w:ascii="Times New Roman" w:hAnsi="Times New Roman" w:eastAsia="宋体" w:cs="Times New Roman"/>
                      <w:color w:val="auto"/>
                      <w:kern w:val="2"/>
                      <w:sz w:val="21"/>
                      <w:szCs w:val="21"/>
                      <w:lang w:val="en-US" w:eastAsia="zh-CN" w:bidi="ar-SA"/>
                    </w:rPr>
                    <w:t>/</w:t>
                  </w:r>
                </w:p>
                <w:p w14:paraId="30A42C1A">
                  <w:pPr>
                    <w:pStyle w:val="83"/>
                    <w:keepNext w:val="0"/>
                    <w:keepLines w:val="0"/>
                    <w:pageBreakBefore w:val="0"/>
                    <w:widowControl/>
                    <w:shd w:val="clear" w:color="auto" w:fill="FFFFFF"/>
                    <w:kinsoku/>
                    <w:wordWrap/>
                    <w:overflowPunct/>
                    <w:topLinePunct w:val="0"/>
                    <w:autoSpaceDE/>
                    <w:autoSpaceDN/>
                    <w:bidi w:val="0"/>
                    <w:adjustRightInd/>
                    <w:snapToGrid/>
                    <w:spacing w:line="240" w:lineRule="exact"/>
                    <w:ind w:firstLine="0" w:firstLineChars="0"/>
                    <w:jc w:val="left"/>
                    <w:textAlignment w:val="auto"/>
                    <w:rPr>
                      <w:rStyle w:val="26"/>
                      <w:rFonts w:hint="default" w:ascii="Times New Roman" w:hAnsi="Times New Roman" w:eastAsia="宋体" w:cs="Times New Roman"/>
                      <w:color w:val="auto"/>
                      <w:kern w:val="2"/>
                      <w:sz w:val="21"/>
                      <w:szCs w:val="21"/>
                      <w:lang w:val="en-US" w:eastAsia="zh-CN" w:bidi="ar-SA"/>
                    </w:rPr>
                  </w:pPr>
                  <w:r>
                    <w:rPr>
                      <w:rStyle w:val="26"/>
                      <w:rFonts w:hint="default" w:ascii="Times New Roman" w:hAnsi="Times New Roman" w:eastAsia="宋体" w:cs="Times New Roman"/>
                      <w:color w:val="auto"/>
                      <w:kern w:val="2"/>
                      <w:sz w:val="21"/>
                      <w:szCs w:val="21"/>
                      <w:lang w:val="en-US" w:eastAsia="zh-CN" w:bidi="ar-SA"/>
                    </w:rPr>
                    <w:t>不符合空间布局要求活动的退出要求</w:t>
                  </w:r>
                </w:p>
                <w:p w14:paraId="029BF07E">
                  <w:pPr>
                    <w:pStyle w:val="83"/>
                    <w:keepNext w:val="0"/>
                    <w:keepLines w:val="0"/>
                    <w:pageBreakBefore w:val="0"/>
                    <w:widowControl/>
                    <w:shd w:val="clear" w:color="auto" w:fill="FFFFFF"/>
                    <w:kinsoku/>
                    <w:wordWrap/>
                    <w:overflowPunct/>
                    <w:topLinePunct w:val="0"/>
                    <w:autoSpaceDE/>
                    <w:autoSpaceDN/>
                    <w:bidi w:val="0"/>
                    <w:adjustRightInd/>
                    <w:snapToGrid/>
                    <w:spacing w:line="240" w:lineRule="exact"/>
                    <w:ind w:firstLine="0" w:firstLineChars="0"/>
                    <w:jc w:val="left"/>
                    <w:textAlignment w:val="auto"/>
                    <w:rPr>
                      <w:rStyle w:val="26"/>
                      <w:rFonts w:hint="default" w:ascii="Times New Roman" w:hAnsi="Times New Roman" w:eastAsia="宋体" w:cs="Times New Roman"/>
                      <w:color w:val="auto"/>
                      <w:kern w:val="2"/>
                      <w:sz w:val="21"/>
                      <w:szCs w:val="21"/>
                      <w:lang w:val="en-US" w:eastAsia="zh-CN" w:bidi="ar-SA"/>
                    </w:rPr>
                  </w:pPr>
                  <w:r>
                    <w:rPr>
                      <w:rStyle w:val="26"/>
                      <w:rFonts w:hint="default" w:ascii="Times New Roman" w:hAnsi="Times New Roman" w:eastAsia="宋体" w:cs="Times New Roman"/>
                      <w:color w:val="auto"/>
                      <w:kern w:val="2"/>
                      <w:sz w:val="21"/>
                      <w:szCs w:val="21"/>
                      <w:lang w:val="en-US" w:eastAsia="zh-CN" w:bidi="ar-SA"/>
                    </w:rPr>
                    <w:t>执行达州市工业重点管控单元总体要求</w:t>
                  </w:r>
                </w:p>
                <w:p w14:paraId="460B198F">
                  <w:pPr>
                    <w:pStyle w:val="83"/>
                    <w:keepNext w:val="0"/>
                    <w:keepLines w:val="0"/>
                    <w:pageBreakBefore w:val="0"/>
                    <w:widowControl/>
                    <w:shd w:val="clear" w:color="auto" w:fill="FFFFFF"/>
                    <w:kinsoku/>
                    <w:wordWrap/>
                    <w:overflowPunct/>
                    <w:topLinePunct w:val="0"/>
                    <w:autoSpaceDE/>
                    <w:autoSpaceDN/>
                    <w:bidi w:val="0"/>
                    <w:adjustRightInd/>
                    <w:snapToGrid/>
                    <w:spacing w:line="240" w:lineRule="exact"/>
                    <w:ind w:firstLine="0" w:firstLineChars="0"/>
                    <w:jc w:val="left"/>
                    <w:textAlignment w:val="auto"/>
                    <w:rPr>
                      <w:rStyle w:val="26"/>
                      <w:rFonts w:hint="default" w:ascii="Times New Roman" w:hAnsi="Times New Roman" w:eastAsia="宋体" w:cs="Times New Roman"/>
                      <w:color w:val="auto"/>
                      <w:kern w:val="2"/>
                      <w:sz w:val="21"/>
                      <w:szCs w:val="21"/>
                      <w:lang w:val="en-US" w:eastAsia="zh-CN" w:bidi="ar-SA"/>
                    </w:rPr>
                  </w:pPr>
                  <w:r>
                    <w:rPr>
                      <w:rStyle w:val="26"/>
                      <w:rFonts w:hint="default" w:ascii="Times New Roman" w:hAnsi="Times New Roman" w:eastAsia="宋体" w:cs="Times New Roman"/>
                      <w:color w:val="auto"/>
                      <w:kern w:val="2"/>
                      <w:sz w:val="21"/>
                      <w:szCs w:val="21"/>
                      <w:lang w:val="en-US" w:eastAsia="zh-CN" w:bidi="ar-SA"/>
                    </w:rPr>
                    <w:t>其他空间布局约束要求</w:t>
                  </w:r>
                </w:p>
                <w:p w14:paraId="3303FFC6">
                  <w:pPr>
                    <w:pStyle w:val="83"/>
                    <w:keepNext w:val="0"/>
                    <w:keepLines w:val="0"/>
                    <w:pageBreakBefore w:val="0"/>
                    <w:widowControl/>
                    <w:shd w:val="clear" w:color="auto" w:fill="FFFFFF"/>
                    <w:kinsoku/>
                    <w:wordWrap/>
                    <w:overflowPunct/>
                    <w:topLinePunct w:val="0"/>
                    <w:autoSpaceDE/>
                    <w:autoSpaceDN/>
                    <w:bidi w:val="0"/>
                    <w:adjustRightInd/>
                    <w:snapToGrid/>
                    <w:spacing w:line="240" w:lineRule="exact"/>
                    <w:ind w:firstLine="0" w:firstLineChars="0"/>
                    <w:jc w:val="left"/>
                    <w:textAlignment w:val="auto"/>
                    <w:rPr>
                      <w:rFonts w:hint="default" w:ascii="Times New Roman" w:hAnsi="Times New Roman" w:eastAsia="宋体" w:cs="Times New Roman"/>
                      <w:color w:val="auto"/>
                      <w:kern w:val="2"/>
                      <w:sz w:val="21"/>
                      <w:szCs w:val="21"/>
                      <w:lang w:val="en-US" w:eastAsia="zh-CN" w:bidi="ar-SA"/>
                    </w:rPr>
                  </w:pPr>
                  <w:r>
                    <w:rPr>
                      <w:rStyle w:val="26"/>
                      <w:rFonts w:hint="default" w:ascii="Times New Roman" w:hAnsi="Times New Roman" w:eastAsia="宋体" w:cs="Times New Roman"/>
                      <w:color w:val="auto"/>
                      <w:kern w:val="2"/>
                      <w:sz w:val="21"/>
                      <w:szCs w:val="21"/>
                      <w:lang w:val="en-US" w:eastAsia="zh-CN" w:bidi="ar-SA"/>
                    </w:rPr>
                    <w:t>/</w:t>
                  </w:r>
                </w:p>
              </w:tc>
              <w:tc>
                <w:tcPr>
                  <w:tcW w:w="879" w:type="pct"/>
                  <w:tcBorders>
                    <w:tl2br w:val="nil"/>
                    <w:tr2bl w:val="nil"/>
                  </w:tcBorders>
                  <w:vAlign w:val="center"/>
                </w:tcPr>
                <w:p w14:paraId="1DD7CA54">
                  <w:pPr>
                    <w:pStyle w:val="83"/>
                    <w:keepNext w:val="0"/>
                    <w:keepLines w:val="0"/>
                    <w:pageBreakBefore w:val="0"/>
                    <w:widowControl/>
                    <w:kinsoku/>
                    <w:wordWrap/>
                    <w:overflowPunct/>
                    <w:topLinePunct w:val="0"/>
                    <w:autoSpaceDE/>
                    <w:autoSpaceDN/>
                    <w:bidi w:val="0"/>
                    <w:adjustRightInd/>
                    <w:snapToGrid/>
                    <w:spacing w:line="240" w:lineRule="exact"/>
                    <w:ind w:firstLine="0" w:firstLineChars="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本项目为</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砖瓦、石材等建筑材料制造</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中建筑用石加工项目，不属于化工、涉磷、造纸等项目，不属于《长江经济带发展负面清单指南（试行）》禁止准入类事项。</w:t>
                  </w:r>
                </w:p>
                <w:p w14:paraId="56F4CB75">
                  <w:pPr>
                    <w:pStyle w:val="83"/>
                    <w:keepNext w:val="0"/>
                    <w:keepLines w:val="0"/>
                    <w:pageBreakBefore w:val="0"/>
                    <w:widowControl/>
                    <w:kinsoku/>
                    <w:wordWrap/>
                    <w:overflowPunct/>
                    <w:topLinePunct w:val="0"/>
                    <w:autoSpaceDE/>
                    <w:autoSpaceDN/>
                    <w:bidi w:val="0"/>
                    <w:adjustRightInd/>
                    <w:snapToGrid/>
                    <w:spacing w:line="240" w:lineRule="exact"/>
                    <w:ind w:firstLine="0" w:firstLineChars="0"/>
                    <w:jc w:val="left"/>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项目符合东岳新型工业集聚区的准入要求，不属于高污染项目，也不使用高污染燃料锅炉。</w:t>
                  </w:r>
                </w:p>
                <w:p w14:paraId="649E1B34">
                  <w:pPr>
                    <w:pStyle w:val="83"/>
                    <w:keepNext w:val="0"/>
                    <w:keepLines w:val="0"/>
                    <w:pageBreakBefore w:val="0"/>
                    <w:widowControl/>
                    <w:kinsoku/>
                    <w:wordWrap/>
                    <w:overflowPunct/>
                    <w:topLinePunct w:val="0"/>
                    <w:autoSpaceDE/>
                    <w:autoSpaceDN/>
                    <w:bidi w:val="0"/>
                    <w:adjustRightInd/>
                    <w:snapToGrid/>
                    <w:spacing w:line="240" w:lineRule="exact"/>
                    <w:ind w:firstLine="0" w:firstLineChars="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eastAsia="zh-CN"/>
                    </w:rPr>
                    <w:t>项目</w:t>
                  </w:r>
                  <w:r>
                    <w:rPr>
                      <w:rFonts w:hint="default" w:ascii="Times New Roman" w:hAnsi="Times New Roman" w:eastAsia="宋体" w:cs="Times New Roman"/>
                      <w:color w:val="auto"/>
                      <w:sz w:val="21"/>
                      <w:szCs w:val="21"/>
                    </w:rPr>
                    <w:t>不属于屠宰、电镀、制革、洗选等禁止引入类项目，属于园区允许准入类项目</w:t>
                  </w:r>
                  <w:r>
                    <w:rPr>
                      <w:rFonts w:hint="default" w:ascii="Times New Roman" w:hAnsi="Times New Roman" w:eastAsia="宋体" w:cs="Times New Roman"/>
                      <w:color w:val="auto"/>
                      <w:sz w:val="21"/>
                      <w:szCs w:val="21"/>
                      <w:lang w:eastAsia="zh-CN"/>
                    </w:rPr>
                    <w:t>。</w:t>
                  </w:r>
                </w:p>
                <w:p w14:paraId="1F3F5D38">
                  <w:pPr>
                    <w:pStyle w:val="83"/>
                    <w:keepNext w:val="0"/>
                    <w:keepLines w:val="0"/>
                    <w:pageBreakBefore w:val="0"/>
                    <w:widowControl/>
                    <w:kinsoku/>
                    <w:wordWrap/>
                    <w:overflowPunct/>
                    <w:topLinePunct w:val="0"/>
                    <w:autoSpaceDE/>
                    <w:autoSpaceDN/>
                    <w:bidi w:val="0"/>
                    <w:adjustRightInd/>
                    <w:snapToGrid/>
                    <w:spacing w:line="240" w:lineRule="exact"/>
                    <w:ind w:firstLine="0" w:firstLineChars="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本项目</w:t>
                  </w:r>
                  <w:r>
                    <w:rPr>
                      <w:rFonts w:hint="default" w:ascii="Times New Roman" w:hAnsi="Times New Roman" w:eastAsia="宋体" w:cs="Times New Roman"/>
                      <w:color w:val="auto"/>
                      <w:sz w:val="21"/>
                      <w:szCs w:val="21"/>
                      <w:lang w:eastAsia="zh-CN"/>
                    </w:rPr>
                    <w:t>租用“天宇车业”闲置的生产厂房</w:t>
                  </w:r>
                  <w:r>
                    <w:rPr>
                      <w:rFonts w:hint="default" w:ascii="Times New Roman" w:hAnsi="Times New Roman" w:eastAsia="宋体" w:cs="Times New Roman"/>
                      <w:color w:val="auto"/>
                      <w:sz w:val="21"/>
                      <w:szCs w:val="21"/>
                    </w:rPr>
                    <w:t>，不新增土地；项目属于合法企业，生产废水经沉淀后全部循环使用，不外排；项目产生的大气污染物主要为粉尘，通过采取湿法作业</w:t>
                  </w:r>
                  <w:r>
                    <w:rPr>
                      <w:rFonts w:hint="default" w:ascii="Times New Roman" w:hAnsi="Times New Roman" w:eastAsia="宋体" w:cs="Times New Roman"/>
                      <w:color w:val="auto"/>
                      <w:sz w:val="21"/>
                      <w:szCs w:val="21"/>
                      <w:lang w:eastAsia="zh-CN"/>
                    </w:rPr>
                    <w:t>后能做到达标排放</w:t>
                  </w:r>
                  <w:r>
                    <w:rPr>
                      <w:rFonts w:hint="default" w:ascii="Times New Roman" w:hAnsi="Times New Roman" w:eastAsia="宋体" w:cs="Times New Roman"/>
                      <w:color w:val="auto"/>
                      <w:sz w:val="21"/>
                      <w:szCs w:val="21"/>
                    </w:rPr>
                    <w:t>。</w:t>
                  </w:r>
                </w:p>
              </w:tc>
              <w:tc>
                <w:tcPr>
                  <w:tcW w:w="193" w:type="pct"/>
                  <w:tcBorders>
                    <w:tl2br w:val="nil"/>
                    <w:tr2bl w:val="nil"/>
                  </w:tcBorders>
                  <w:vAlign w:val="center"/>
                </w:tcPr>
                <w:p w14:paraId="764C096E">
                  <w:pPr>
                    <w:pStyle w:val="83"/>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r w14:paraId="0A929AE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944" w:hRule="atLeast"/>
              </w:trPr>
              <w:tc>
                <w:tcPr>
                  <w:tcW w:w="178" w:type="pct"/>
                  <w:vMerge w:val="continue"/>
                  <w:tcBorders>
                    <w:tl2br w:val="nil"/>
                    <w:tr2bl w:val="nil"/>
                  </w:tcBorders>
                  <w:vAlign w:val="center"/>
                </w:tcPr>
                <w:p w14:paraId="64B2501D">
                  <w:pPr>
                    <w:pStyle w:val="83"/>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ZH51172230001</w:t>
                  </w:r>
                </w:p>
              </w:tc>
              <w:tc>
                <w:tcPr>
                  <w:tcW w:w="297" w:type="pct"/>
                  <w:vMerge w:val="continue"/>
                  <w:tcBorders>
                    <w:tl2br w:val="nil"/>
                    <w:tr2bl w:val="nil"/>
                  </w:tcBorders>
                  <w:vAlign w:val="center"/>
                </w:tcPr>
                <w:p w14:paraId="40C12A99">
                  <w:pPr>
                    <w:pStyle w:val="83"/>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宣汉县一般管控单元</w:t>
                  </w:r>
                </w:p>
              </w:tc>
              <w:tc>
                <w:tcPr>
                  <w:tcW w:w="2040" w:type="pct"/>
                  <w:vMerge w:val="continue"/>
                  <w:tcBorders>
                    <w:tl2br w:val="nil"/>
                    <w:tr2bl w:val="nil"/>
                  </w:tcBorders>
                  <w:vAlign w:val="center"/>
                </w:tcPr>
                <w:p w14:paraId="3A979C3A">
                  <w:pPr>
                    <w:pStyle w:val="83"/>
                    <w:keepNext w:val="0"/>
                    <w:keepLines w:val="0"/>
                    <w:pageBreakBefore w:val="0"/>
                    <w:kinsoku/>
                    <w:wordWrap/>
                    <w:overflowPunct/>
                    <w:topLinePunct w:val="0"/>
                    <w:autoSpaceDE/>
                    <w:autoSpaceDN/>
                    <w:bidi w:val="0"/>
                    <w:adjustRightInd/>
                    <w:snapToGrid/>
                    <w:spacing w:line="240" w:lineRule="exact"/>
                    <w:ind w:firstLine="0" w:firstLineChars="0"/>
                    <w:jc w:val="left"/>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空间布局约束：</w:t>
                  </w:r>
                </w:p>
                <w:p w14:paraId="14C047D2">
                  <w:pPr>
                    <w:pStyle w:val="83"/>
                    <w:keepNext w:val="0"/>
                    <w:keepLines w:val="0"/>
                    <w:pageBreakBefore w:val="0"/>
                    <w:kinsoku/>
                    <w:wordWrap/>
                    <w:overflowPunct/>
                    <w:topLinePunct w:val="0"/>
                    <w:autoSpaceDE/>
                    <w:autoSpaceDN/>
                    <w:bidi w:val="0"/>
                    <w:adjustRightInd/>
                    <w:snapToGrid/>
                    <w:spacing w:line="240" w:lineRule="exact"/>
                    <w:ind w:firstLine="0" w:firstLineChars="0"/>
                    <w:jc w:val="left"/>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禁止开发建设活动的要求</w:t>
                  </w:r>
                </w:p>
                <w:p w14:paraId="45BE4552">
                  <w:pPr>
                    <w:pStyle w:val="83"/>
                    <w:keepNext w:val="0"/>
                    <w:keepLines w:val="0"/>
                    <w:pageBreakBefore w:val="0"/>
                    <w:kinsoku/>
                    <w:wordWrap/>
                    <w:overflowPunct/>
                    <w:topLinePunct w:val="0"/>
                    <w:autoSpaceDE/>
                    <w:autoSpaceDN/>
                    <w:bidi w:val="0"/>
                    <w:adjustRightInd/>
                    <w:snapToGrid/>
                    <w:spacing w:line="240" w:lineRule="exact"/>
                    <w:ind w:firstLine="0" w:firstLineChars="0"/>
                    <w:jc w:val="left"/>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-禁止在长江干支流1公里范围内新建、扩建化工园区和化工项目。</w:t>
                  </w:r>
                </w:p>
                <w:p w14:paraId="4DD37048">
                  <w:pPr>
                    <w:pStyle w:val="83"/>
                    <w:keepNext w:val="0"/>
                    <w:keepLines w:val="0"/>
                    <w:pageBreakBefore w:val="0"/>
                    <w:kinsoku/>
                    <w:wordWrap/>
                    <w:overflowPunct/>
                    <w:topLinePunct w:val="0"/>
                    <w:autoSpaceDE/>
                    <w:autoSpaceDN/>
                    <w:bidi w:val="0"/>
                    <w:adjustRightInd/>
                    <w:snapToGrid/>
                    <w:spacing w:line="240" w:lineRule="exact"/>
                    <w:ind w:firstLine="0" w:firstLineChars="0"/>
                    <w:jc w:val="left"/>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-禁止在法律法规规定的禁采区内新建矿山；禁止土法采、选、冶严重污染环境的矿产资源。</w:t>
                  </w:r>
                </w:p>
                <w:p w14:paraId="5E1C529B">
                  <w:pPr>
                    <w:pStyle w:val="83"/>
                    <w:keepNext w:val="0"/>
                    <w:keepLines w:val="0"/>
                    <w:pageBreakBefore w:val="0"/>
                    <w:kinsoku/>
                    <w:wordWrap/>
                    <w:overflowPunct/>
                    <w:topLinePunct w:val="0"/>
                    <w:autoSpaceDE/>
                    <w:autoSpaceDN/>
                    <w:bidi w:val="0"/>
                    <w:adjustRightInd/>
                    <w:snapToGrid/>
                    <w:spacing w:line="240" w:lineRule="exact"/>
                    <w:ind w:firstLine="0" w:firstLineChars="0"/>
                    <w:jc w:val="left"/>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-涉及永久基本农田的区域，除法律规定的重点建设项目选址确实无法避让外，其他任何建设不得占用。</w:t>
                  </w:r>
                </w:p>
                <w:p w14:paraId="0C350C17">
                  <w:pPr>
                    <w:pStyle w:val="83"/>
                    <w:keepNext w:val="0"/>
                    <w:keepLines w:val="0"/>
                    <w:pageBreakBefore w:val="0"/>
                    <w:kinsoku/>
                    <w:wordWrap/>
                    <w:overflowPunct/>
                    <w:topLinePunct w:val="0"/>
                    <w:autoSpaceDE/>
                    <w:autoSpaceDN/>
                    <w:bidi w:val="0"/>
                    <w:adjustRightInd/>
                    <w:snapToGrid/>
                    <w:spacing w:line="240" w:lineRule="exact"/>
                    <w:ind w:firstLine="0" w:firstLineChars="0"/>
                    <w:jc w:val="left"/>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-禁止在长江流域河湖管理范围内倾倒、填埋、堆放、弃置、处理固体废物。</w:t>
                  </w:r>
                </w:p>
                <w:p w14:paraId="4FF621D8">
                  <w:pPr>
                    <w:pStyle w:val="83"/>
                    <w:keepNext w:val="0"/>
                    <w:keepLines w:val="0"/>
                    <w:pageBreakBefore w:val="0"/>
                    <w:kinsoku/>
                    <w:wordWrap/>
                    <w:overflowPunct/>
                    <w:topLinePunct w:val="0"/>
                    <w:autoSpaceDE/>
                    <w:autoSpaceDN/>
                    <w:bidi w:val="0"/>
                    <w:adjustRightInd/>
                    <w:snapToGrid/>
                    <w:spacing w:line="240" w:lineRule="exact"/>
                    <w:ind w:firstLine="0" w:firstLineChars="0"/>
                    <w:jc w:val="left"/>
                    <w:textAlignment w:val="auto"/>
                    <w:rPr>
                      <w:rFonts w:hint="default" w:ascii="Times New Roman" w:hAnsi="Times New Roman" w:eastAsia="宋体" w:cs="Times New Roman"/>
                      <w:color w:val="auto"/>
                      <w:kern w:val="0"/>
                      <w:sz w:val="21"/>
                      <w:szCs w:val="21"/>
                    </w:rPr>
                  </w:pPr>
                </w:p>
                <w:p w14:paraId="552A4E41">
                  <w:pPr>
                    <w:pStyle w:val="83"/>
                    <w:keepNext w:val="0"/>
                    <w:keepLines w:val="0"/>
                    <w:pageBreakBefore w:val="0"/>
                    <w:kinsoku/>
                    <w:wordWrap/>
                    <w:overflowPunct/>
                    <w:topLinePunct w:val="0"/>
                    <w:autoSpaceDE/>
                    <w:autoSpaceDN/>
                    <w:bidi w:val="0"/>
                    <w:adjustRightInd/>
                    <w:snapToGrid/>
                    <w:spacing w:line="240" w:lineRule="exact"/>
                    <w:ind w:firstLine="0" w:firstLineChars="0"/>
                    <w:jc w:val="left"/>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限制开发建设活动的要求</w:t>
                  </w:r>
                </w:p>
                <w:p w14:paraId="19D27FF6">
                  <w:pPr>
                    <w:pStyle w:val="83"/>
                    <w:keepNext w:val="0"/>
                    <w:keepLines w:val="0"/>
                    <w:pageBreakBefore w:val="0"/>
                    <w:kinsoku/>
                    <w:wordWrap/>
                    <w:overflowPunct/>
                    <w:topLinePunct w:val="0"/>
                    <w:autoSpaceDE/>
                    <w:autoSpaceDN/>
                    <w:bidi w:val="0"/>
                    <w:adjustRightInd/>
                    <w:snapToGrid/>
                    <w:spacing w:line="240" w:lineRule="exact"/>
                    <w:ind w:firstLine="0" w:firstLineChars="0"/>
                    <w:jc w:val="left"/>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-按照相关要求严控水泥新增产能。</w:t>
                  </w:r>
                </w:p>
                <w:p w14:paraId="259C5952">
                  <w:pPr>
                    <w:pStyle w:val="83"/>
                    <w:keepNext w:val="0"/>
                    <w:keepLines w:val="0"/>
                    <w:pageBreakBefore w:val="0"/>
                    <w:kinsoku/>
                    <w:wordWrap/>
                    <w:overflowPunct/>
                    <w:topLinePunct w:val="0"/>
                    <w:autoSpaceDE/>
                    <w:autoSpaceDN/>
                    <w:bidi w:val="0"/>
                    <w:adjustRightInd/>
                    <w:snapToGrid/>
                    <w:spacing w:line="240" w:lineRule="exact"/>
                    <w:ind w:firstLine="0" w:firstLineChars="0"/>
                    <w:jc w:val="left"/>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涉及法定保护地，严格按照国家及地方法律法规、管理办法等相关要求进行控制。配套旅游、基础设施等建设项目，在符合规划和相关保护要求的前提下，应实施生态避让、减缓影响及生态恢复措施。</w:t>
                  </w:r>
                </w:p>
                <w:p w14:paraId="09B034E1">
                  <w:pPr>
                    <w:pStyle w:val="83"/>
                    <w:keepNext w:val="0"/>
                    <w:keepLines w:val="0"/>
                    <w:pageBreakBefore w:val="0"/>
                    <w:kinsoku/>
                    <w:wordWrap/>
                    <w:overflowPunct/>
                    <w:topLinePunct w:val="0"/>
                    <w:autoSpaceDE/>
                    <w:autoSpaceDN/>
                    <w:bidi w:val="0"/>
                    <w:adjustRightInd/>
                    <w:snapToGrid/>
                    <w:spacing w:line="240" w:lineRule="exact"/>
                    <w:ind w:firstLine="0" w:firstLineChars="0"/>
                    <w:jc w:val="left"/>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按照相关要求严控水泥新增产能。</w:t>
                  </w:r>
                </w:p>
                <w:p w14:paraId="06075E66">
                  <w:pPr>
                    <w:pStyle w:val="83"/>
                    <w:keepNext w:val="0"/>
                    <w:keepLines w:val="0"/>
                    <w:pageBreakBefore w:val="0"/>
                    <w:kinsoku/>
                    <w:wordWrap/>
                    <w:overflowPunct/>
                    <w:topLinePunct w:val="0"/>
                    <w:autoSpaceDE/>
                    <w:autoSpaceDN/>
                    <w:bidi w:val="0"/>
                    <w:adjustRightInd/>
                    <w:snapToGrid/>
                    <w:spacing w:line="240" w:lineRule="exact"/>
                    <w:ind w:firstLine="0" w:firstLineChars="0"/>
                    <w:jc w:val="left"/>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禁止在长江干流岸线三公里范围内和重要支流岸线一公里范围内新建、改建、扩建尾矿库；但是以提升安全、生态环境保护水平为目的的改建除外。</w:t>
                  </w:r>
                </w:p>
                <w:p w14:paraId="209B90D5">
                  <w:pPr>
                    <w:pStyle w:val="83"/>
                    <w:keepNext w:val="0"/>
                    <w:keepLines w:val="0"/>
                    <w:pageBreakBefore w:val="0"/>
                    <w:kinsoku/>
                    <w:wordWrap/>
                    <w:overflowPunct/>
                    <w:topLinePunct w:val="0"/>
                    <w:autoSpaceDE/>
                    <w:autoSpaceDN/>
                    <w:bidi w:val="0"/>
                    <w:adjustRightInd/>
                    <w:snapToGrid/>
                    <w:spacing w:line="240" w:lineRule="exact"/>
                    <w:ind w:firstLine="0" w:firstLineChars="0"/>
                    <w:jc w:val="left"/>
                    <w:textAlignment w:val="auto"/>
                    <w:rPr>
                      <w:rFonts w:hint="default" w:ascii="Times New Roman" w:hAnsi="Times New Roman" w:eastAsia="宋体" w:cs="Times New Roman"/>
                      <w:color w:val="auto"/>
                      <w:kern w:val="0"/>
                      <w:sz w:val="21"/>
                      <w:szCs w:val="21"/>
                    </w:rPr>
                  </w:pPr>
                </w:p>
                <w:p w14:paraId="6EFF260D">
                  <w:pPr>
                    <w:pStyle w:val="83"/>
                    <w:keepNext w:val="0"/>
                    <w:keepLines w:val="0"/>
                    <w:pageBreakBefore w:val="0"/>
                    <w:kinsoku/>
                    <w:wordWrap/>
                    <w:overflowPunct/>
                    <w:topLinePunct w:val="0"/>
                    <w:autoSpaceDE/>
                    <w:autoSpaceDN/>
                    <w:bidi w:val="0"/>
                    <w:adjustRightInd/>
                    <w:snapToGrid/>
                    <w:spacing w:line="240" w:lineRule="exact"/>
                    <w:ind w:firstLine="0" w:firstLineChars="0"/>
                    <w:jc w:val="left"/>
                    <w:textAlignment w:val="auto"/>
                    <w:rPr>
                      <w:rFonts w:hint="default" w:ascii="Times New Roman" w:hAnsi="Times New Roman" w:eastAsia="宋体" w:cs="Times New Roman"/>
                      <w:color w:val="auto"/>
                      <w:kern w:val="0"/>
                      <w:sz w:val="21"/>
                      <w:szCs w:val="21"/>
                    </w:rPr>
                  </w:pPr>
                </w:p>
                <w:p w14:paraId="40F6C113">
                  <w:pPr>
                    <w:pStyle w:val="83"/>
                    <w:keepNext w:val="0"/>
                    <w:keepLines w:val="0"/>
                    <w:pageBreakBefore w:val="0"/>
                    <w:kinsoku/>
                    <w:wordWrap/>
                    <w:overflowPunct/>
                    <w:topLinePunct w:val="0"/>
                    <w:autoSpaceDE/>
                    <w:autoSpaceDN/>
                    <w:bidi w:val="0"/>
                    <w:adjustRightInd/>
                    <w:snapToGrid/>
                    <w:spacing w:line="240" w:lineRule="exact"/>
                    <w:ind w:firstLine="0" w:firstLineChars="0"/>
                    <w:jc w:val="left"/>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不符合空间布局要求活动的退出要求</w:t>
                  </w:r>
                </w:p>
                <w:p w14:paraId="2410256D">
                  <w:pPr>
                    <w:pStyle w:val="83"/>
                    <w:keepNext w:val="0"/>
                    <w:keepLines w:val="0"/>
                    <w:pageBreakBefore w:val="0"/>
                    <w:kinsoku/>
                    <w:wordWrap/>
                    <w:overflowPunct/>
                    <w:topLinePunct w:val="0"/>
                    <w:autoSpaceDE/>
                    <w:autoSpaceDN/>
                    <w:bidi w:val="0"/>
                    <w:adjustRightInd/>
                    <w:snapToGrid/>
                    <w:spacing w:line="240" w:lineRule="exact"/>
                    <w:ind w:firstLine="0" w:firstLineChars="0"/>
                    <w:jc w:val="left"/>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针对现有水泥企业，强化污染治理和污染物减排，依法依规整治或搬迁。</w:t>
                  </w:r>
                </w:p>
                <w:p w14:paraId="0F813F8E">
                  <w:pPr>
                    <w:pStyle w:val="83"/>
                    <w:keepNext w:val="0"/>
                    <w:keepLines w:val="0"/>
                    <w:pageBreakBefore w:val="0"/>
                    <w:kinsoku/>
                    <w:wordWrap/>
                    <w:overflowPunct/>
                    <w:topLinePunct w:val="0"/>
                    <w:autoSpaceDE/>
                    <w:autoSpaceDN/>
                    <w:bidi w:val="0"/>
                    <w:adjustRightInd/>
                    <w:snapToGrid/>
                    <w:spacing w:line="240" w:lineRule="exact"/>
                    <w:ind w:firstLine="0" w:firstLineChars="0"/>
                    <w:jc w:val="left"/>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全面取缔禁养区内规模化畜禽养殖场。</w:t>
                  </w:r>
                </w:p>
                <w:p w14:paraId="3BEF9EBC">
                  <w:pPr>
                    <w:pStyle w:val="83"/>
                    <w:keepNext w:val="0"/>
                    <w:keepLines w:val="0"/>
                    <w:pageBreakBefore w:val="0"/>
                    <w:kinsoku/>
                    <w:wordWrap/>
                    <w:overflowPunct/>
                    <w:topLinePunct w:val="0"/>
                    <w:autoSpaceDE/>
                    <w:autoSpaceDN/>
                    <w:bidi w:val="0"/>
                    <w:adjustRightInd/>
                    <w:snapToGrid/>
                    <w:spacing w:line="240" w:lineRule="exact"/>
                    <w:ind w:firstLine="0" w:firstLineChars="0"/>
                    <w:jc w:val="left"/>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2025年基本完成全域内</w:t>
                  </w:r>
                  <w:r>
                    <w:rPr>
                      <w:rFonts w:hint="default" w:ascii="Times New Roman" w:hAnsi="Times New Roman" w:eastAsia="宋体" w:cs="Times New Roman"/>
                      <w:color w:val="auto"/>
                      <w:kern w:val="0"/>
                      <w:sz w:val="21"/>
                      <w:szCs w:val="21"/>
                      <w:lang w:eastAsia="zh-CN"/>
                    </w:rPr>
                    <w:t>“</w:t>
                  </w:r>
                  <w:r>
                    <w:rPr>
                      <w:rFonts w:hint="default" w:ascii="Times New Roman" w:hAnsi="Times New Roman" w:eastAsia="宋体" w:cs="Times New Roman"/>
                      <w:color w:val="auto"/>
                      <w:kern w:val="0"/>
                      <w:sz w:val="21"/>
                      <w:szCs w:val="21"/>
                    </w:rPr>
                    <w:t>散乱污</w:t>
                  </w:r>
                  <w:r>
                    <w:rPr>
                      <w:rFonts w:hint="default" w:ascii="Times New Roman" w:hAnsi="Times New Roman" w:eastAsia="宋体" w:cs="Times New Roman"/>
                      <w:color w:val="auto"/>
                      <w:kern w:val="0"/>
                      <w:sz w:val="21"/>
                      <w:szCs w:val="21"/>
                      <w:lang w:eastAsia="zh-CN"/>
                    </w:rPr>
                    <w:t>”</w:t>
                  </w:r>
                  <w:r>
                    <w:rPr>
                      <w:rFonts w:hint="default" w:ascii="Times New Roman" w:hAnsi="Times New Roman" w:eastAsia="宋体" w:cs="Times New Roman"/>
                      <w:color w:val="auto"/>
                      <w:kern w:val="0"/>
                      <w:sz w:val="21"/>
                      <w:szCs w:val="21"/>
                    </w:rPr>
                    <w:t>企业整治工作。</w:t>
                  </w:r>
                </w:p>
                <w:p w14:paraId="79F55312">
                  <w:pPr>
                    <w:pStyle w:val="83"/>
                    <w:keepNext w:val="0"/>
                    <w:keepLines w:val="0"/>
                    <w:pageBreakBefore w:val="0"/>
                    <w:kinsoku/>
                    <w:wordWrap/>
                    <w:overflowPunct/>
                    <w:topLinePunct w:val="0"/>
                    <w:autoSpaceDE/>
                    <w:autoSpaceDN/>
                    <w:bidi w:val="0"/>
                    <w:adjustRightInd/>
                    <w:snapToGrid/>
                    <w:spacing w:line="240" w:lineRule="exact"/>
                    <w:ind w:firstLine="0" w:firstLineChars="0"/>
                    <w:jc w:val="left"/>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在全市范围深入开展集中整治</w:t>
                  </w:r>
                  <w:r>
                    <w:rPr>
                      <w:rFonts w:hint="default" w:ascii="Times New Roman" w:hAnsi="Times New Roman" w:eastAsia="宋体" w:cs="Times New Roman"/>
                      <w:color w:val="auto"/>
                      <w:kern w:val="0"/>
                      <w:sz w:val="21"/>
                      <w:szCs w:val="21"/>
                      <w:lang w:eastAsia="zh-CN"/>
                    </w:rPr>
                    <w:t>“</w:t>
                  </w:r>
                  <w:r>
                    <w:rPr>
                      <w:rFonts w:hint="default" w:ascii="Times New Roman" w:hAnsi="Times New Roman" w:eastAsia="宋体" w:cs="Times New Roman"/>
                      <w:color w:val="auto"/>
                      <w:kern w:val="0"/>
                      <w:sz w:val="21"/>
                      <w:szCs w:val="21"/>
                    </w:rPr>
                    <w:t>散乱污</w:t>
                  </w:r>
                  <w:r>
                    <w:rPr>
                      <w:rFonts w:hint="default" w:ascii="Times New Roman" w:hAnsi="Times New Roman" w:eastAsia="宋体" w:cs="Times New Roman"/>
                      <w:color w:val="auto"/>
                      <w:kern w:val="0"/>
                      <w:sz w:val="21"/>
                      <w:szCs w:val="21"/>
                      <w:lang w:eastAsia="zh-CN"/>
                    </w:rPr>
                    <w:t>”</w:t>
                  </w:r>
                  <w:r>
                    <w:rPr>
                      <w:rFonts w:hint="default" w:ascii="Times New Roman" w:hAnsi="Times New Roman" w:eastAsia="宋体" w:cs="Times New Roman"/>
                      <w:color w:val="auto"/>
                      <w:kern w:val="0"/>
                      <w:sz w:val="21"/>
                      <w:szCs w:val="21"/>
                    </w:rPr>
                    <w:t>工业企业，对不符合产业政策和规划布局的，一律责令停产、限期搬迁或关停；</w:t>
                  </w:r>
                </w:p>
                <w:p w14:paraId="13DF1083">
                  <w:pPr>
                    <w:pStyle w:val="83"/>
                    <w:keepNext w:val="0"/>
                    <w:keepLines w:val="0"/>
                    <w:pageBreakBefore w:val="0"/>
                    <w:kinsoku/>
                    <w:wordWrap/>
                    <w:overflowPunct/>
                    <w:topLinePunct w:val="0"/>
                    <w:autoSpaceDE/>
                    <w:autoSpaceDN/>
                    <w:bidi w:val="0"/>
                    <w:adjustRightInd/>
                    <w:snapToGrid/>
                    <w:spacing w:line="240" w:lineRule="exact"/>
                    <w:ind w:firstLine="0" w:firstLineChars="0"/>
                    <w:jc w:val="left"/>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其他空间布局约束要求</w:t>
                  </w:r>
                </w:p>
                <w:p w14:paraId="2A46BAB7">
                  <w:pPr>
                    <w:pStyle w:val="83"/>
                    <w:keepNext w:val="0"/>
                    <w:keepLines w:val="0"/>
                    <w:pageBreakBefore w:val="0"/>
                    <w:kinsoku/>
                    <w:wordWrap/>
                    <w:overflowPunct/>
                    <w:topLinePunct w:val="0"/>
                    <w:autoSpaceDE/>
                    <w:autoSpaceDN/>
                    <w:bidi w:val="0"/>
                    <w:adjustRightInd/>
                    <w:snapToGrid/>
                    <w:spacing w:line="240" w:lineRule="exact"/>
                    <w:ind w:firstLine="0" w:firstLineChars="0"/>
                    <w:jc w:val="left"/>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暂无</w:t>
                  </w:r>
                </w:p>
                <w:p w14:paraId="105199BC">
                  <w:pPr>
                    <w:pStyle w:val="83"/>
                    <w:keepNext w:val="0"/>
                    <w:keepLines w:val="0"/>
                    <w:pageBreakBefore w:val="0"/>
                    <w:kinsoku/>
                    <w:wordWrap/>
                    <w:overflowPunct/>
                    <w:topLinePunct w:val="0"/>
                    <w:autoSpaceDE/>
                    <w:autoSpaceDN/>
                    <w:bidi w:val="0"/>
                    <w:adjustRightInd/>
                    <w:snapToGrid/>
                    <w:spacing w:line="240" w:lineRule="exact"/>
                    <w:ind w:firstLine="0" w:firstLineChars="0"/>
                    <w:jc w:val="left"/>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污染物排放管控：</w:t>
                  </w:r>
                </w:p>
                <w:p w14:paraId="064B336A">
                  <w:pPr>
                    <w:pStyle w:val="83"/>
                    <w:keepNext w:val="0"/>
                    <w:keepLines w:val="0"/>
                    <w:pageBreakBefore w:val="0"/>
                    <w:kinsoku/>
                    <w:wordWrap/>
                    <w:overflowPunct/>
                    <w:topLinePunct w:val="0"/>
                    <w:autoSpaceDE/>
                    <w:autoSpaceDN/>
                    <w:bidi w:val="0"/>
                    <w:adjustRightInd/>
                    <w:snapToGrid/>
                    <w:spacing w:line="240" w:lineRule="exact"/>
                    <w:ind w:firstLine="0" w:firstLineChars="0"/>
                    <w:jc w:val="left"/>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允许排放量要求</w:t>
                  </w:r>
                </w:p>
                <w:p w14:paraId="3883A8FA">
                  <w:pPr>
                    <w:pStyle w:val="83"/>
                    <w:keepNext w:val="0"/>
                    <w:keepLines w:val="0"/>
                    <w:pageBreakBefore w:val="0"/>
                    <w:kinsoku/>
                    <w:wordWrap/>
                    <w:overflowPunct/>
                    <w:topLinePunct w:val="0"/>
                    <w:autoSpaceDE/>
                    <w:autoSpaceDN/>
                    <w:bidi w:val="0"/>
                    <w:adjustRightInd/>
                    <w:snapToGrid/>
                    <w:spacing w:line="240" w:lineRule="exact"/>
                    <w:ind w:firstLine="0" w:firstLineChars="0"/>
                    <w:jc w:val="left"/>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暂无</w:t>
                  </w:r>
                </w:p>
                <w:p w14:paraId="001FD031">
                  <w:pPr>
                    <w:pStyle w:val="83"/>
                    <w:keepNext w:val="0"/>
                    <w:keepLines w:val="0"/>
                    <w:pageBreakBefore w:val="0"/>
                    <w:kinsoku/>
                    <w:wordWrap/>
                    <w:overflowPunct/>
                    <w:topLinePunct w:val="0"/>
                    <w:autoSpaceDE/>
                    <w:autoSpaceDN/>
                    <w:bidi w:val="0"/>
                    <w:adjustRightInd/>
                    <w:snapToGrid/>
                    <w:spacing w:line="240" w:lineRule="exact"/>
                    <w:ind w:firstLine="0" w:firstLineChars="0"/>
                    <w:jc w:val="left"/>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现有源提标升级改造</w:t>
                  </w:r>
                </w:p>
                <w:p w14:paraId="3AB04867">
                  <w:pPr>
                    <w:pStyle w:val="83"/>
                    <w:keepNext w:val="0"/>
                    <w:keepLines w:val="0"/>
                    <w:pageBreakBefore w:val="0"/>
                    <w:kinsoku/>
                    <w:wordWrap/>
                    <w:overflowPunct/>
                    <w:topLinePunct w:val="0"/>
                    <w:autoSpaceDE/>
                    <w:autoSpaceDN/>
                    <w:bidi w:val="0"/>
                    <w:adjustRightInd/>
                    <w:snapToGrid/>
                    <w:spacing w:line="240" w:lineRule="exact"/>
                    <w:ind w:firstLine="0" w:firstLineChars="0"/>
                    <w:jc w:val="left"/>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加快现有乡镇污水处理设施升级改造，按要求达《城镇污水处理厂污染物排放标准》一级A标后排放。</w:t>
                  </w:r>
                </w:p>
                <w:p w14:paraId="5C0F71B9">
                  <w:pPr>
                    <w:pStyle w:val="83"/>
                    <w:keepNext w:val="0"/>
                    <w:keepLines w:val="0"/>
                    <w:pageBreakBefore w:val="0"/>
                    <w:kinsoku/>
                    <w:wordWrap/>
                    <w:overflowPunct/>
                    <w:topLinePunct w:val="0"/>
                    <w:autoSpaceDE/>
                    <w:autoSpaceDN/>
                    <w:bidi w:val="0"/>
                    <w:adjustRightInd/>
                    <w:snapToGrid/>
                    <w:spacing w:line="240" w:lineRule="exact"/>
                    <w:ind w:firstLine="0" w:firstLineChars="0"/>
                    <w:jc w:val="left"/>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在矿产资源开发活动集中区域，废水执行重金属污染物排放特别限值。</w:t>
                  </w:r>
                </w:p>
                <w:p w14:paraId="18643E69">
                  <w:pPr>
                    <w:pStyle w:val="83"/>
                    <w:keepNext w:val="0"/>
                    <w:keepLines w:val="0"/>
                    <w:pageBreakBefore w:val="0"/>
                    <w:kinsoku/>
                    <w:wordWrap/>
                    <w:overflowPunct/>
                    <w:topLinePunct w:val="0"/>
                    <w:autoSpaceDE/>
                    <w:autoSpaceDN/>
                    <w:bidi w:val="0"/>
                    <w:adjustRightInd/>
                    <w:snapToGrid/>
                    <w:spacing w:line="240" w:lineRule="exact"/>
                    <w:ind w:firstLine="0" w:firstLineChars="0"/>
                    <w:jc w:val="left"/>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火电、水泥等行业按相关要求推进大气污染物超低排放和深度治理。</w:t>
                  </w:r>
                </w:p>
                <w:p w14:paraId="3A98F8B2">
                  <w:pPr>
                    <w:pStyle w:val="83"/>
                    <w:keepNext w:val="0"/>
                    <w:keepLines w:val="0"/>
                    <w:pageBreakBefore w:val="0"/>
                    <w:kinsoku/>
                    <w:wordWrap/>
                    <w:overflowPunct/>
                    <w:topLinePunct w:val="0"/>
                    <w:autoSpaceDE/>
                    <w:autoSpaceDN/>
                    <w:bidi w:val="0"/>
                    <w:adjustRightInd/>
                    <w:snapToGrid/>
                    <w:spacing w:line="240" w:lineRule="exact"/>
                    <w:ind w:firstLine="0" w:firstLineChars="0"/>
                    <w:jc w:val="left"/>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砖瓦行业实施脱硫、除尘升级改造，污染物排放达到《砖瓦工业大气污染物排放标准》相关要求。</w:t>
                  </w:r>
                </w:p>
                <w:p w14:paraId="5FC07878">
                  <w:pPr>
                    <w:pStyle w:val="83"/>
                    <w:keepNext w:val="0"/>
                    <w:keepLines w:val="0"/>
                    <w:pageBreakBefore w:val="0"/>
                    <w:kinsoku/>
                    <w:wordWrap/>
                    <w:overflowPunct/>
                    <w:topLinePunct w:val="0"/>
                    <w:autoSpaceDE/>
                    <w:autoSpaceDN/>
                    <w:bidi w:val="0"/>
                    <w:adjustRightInd/>
                    <w:snapToGrid/>
                    <w:spacing w:line="240" w:lineRule="exact"/>
                    <w:ind w:firstLine="0" w:firstLineChars="0"/>
                    <w:jc w:val="left"/>
                    <w:textAlignment w:val="auto"/>
                    <w:rPr>
                      <w:rFonts w:hint="default" w:ascii="Times New Roman" w:hAnsi="Times New Roman" w:eastAsia="宋体" w:cs="Times New Roman"/>
                      <w:color w:val="auto"/>
                      <w:kern w:val="0"/>
                      <w:sz w:val="21"/>
                      <w:szCs w:val="21"/>
                    </w:rPr>
                  </w:pPr>
                </w:p>
                <w:p w14:paraId="49291287">
                  <w:pPr>
                    <w:pStyle w:val="83"/>
                    <w:keepNext w:val="0"/>
                    <w:keepLines w:val="0"/>
                    <w:pageBreakBefore w:val="0"/>
                    <w:kinsoku/>
                    <w:wordWrap/>
                    <w:overflowPunct/>
                    <w:topLinePunct w:val="0"/>
                    <w:autoSpaceDE/>
                    <w:autoSpaceDN/>
                    <w:bidi w:val="0"/>
                    <w:adjustRightInd/>
                    <w:snapToGrid/>
                    <w:spacing w:line="240" w:lineRule="exact"/>
                    <w:ind w:firstLine="0" w:firstLineChars="0"/>
                    <w:jc w:val="left"/>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其他污染物排放管控要求</w:t>
                  </w:r>
                </w:p>
                <w:p w14:paraId="03625CB4">
                  <w:pPr>
                    <w:pStyle w:val="83"/>
                    <w:keepNext w:val="0"/>
                    <w:keepLines w:val="0"/>
                    <w:pageBreakBefore w:val="0"/>
                    <w:kinsoku/>
                    <w:wordWrap/>
                    <w:overflowPunct/>
                    <w:topLinePunct w:val="0"/>
                    <w:autoSpaceDE/>
                    <w:autoSpaceDN/>
                    <w:bidi w:val="0"/>
                    <w:adjustRightInd/>
                    <w:snapToGrid/>
                    <w:spacing w:line="240" w:lineRule="exact"/>
                    <w:ind w:firstLine="0" w:firstLineChars="0"/>
                    <w:jc w:val="left"/>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新增源等量或倍量替代</w:t>
                  </w:r>
                  <w:r>
                    <w:rPr>
                      <w:rFonts w:hint="default" w:ascii="Times New Roman" w:hAnsi="Times New Roman" w:eastAsia="宋体" w:cs="Times New Roman"/>
                      <w:color w:val="auto"/>
                      <w:kern w:val="0"/>
                      <w:sz w:val="21"/>
                      <w:szCs w:val="21"/>
                      <w:lang w:eastAsia="zh-CN"/>
                    </w:rPr>
                    <w:t>：</w:t>
                  </w:r>
                  <w:r>
                    <w:rPr>
                      <w:rFonts w:hint="default" w:ascii="Times New Roman" w:hAnsi="Times New Roman" w:eastAsia="宋体" w:cs="Times New Roman"/>
                      <w:color w:val="auto"/>
                      <w:kern w:val="0"/>
                      <w:sz w:val="21"/>
                      <w:szCs w:val="21"/>
                    </w:rPr>
                    <w:t>上一年度水环境质量未完成目标的，新建排放水污染的建设项目按照总量管控要求进行倍量削减替代。上一年度空气质量年平均浓度不达标的城市，建设项目新增相关污染物按照总量管控要求进行倍量削减替代。大气环境重点管控区内，新增大气污染物排放的建设项目实施总量削减替代。污染物排放绩效水平准入要求</w:t>
                  </w:r>
                  <w:r>
                    <w:rPr>
                      <w:rFonts w:hint="default" w:ascii="Times New Roman" w:hAnsi="Times New Roman" w:eastAsia="宋体" w:cs="Times New Roman"/>
                      <w:color w:val="auto"/>
                      <w:kern w:val="0"/>
                      <w:sz w:val="21"/>
                      <w:szCs w:val="21"/>
                      <w:lang w:eastAsia="zh-CN"/>
                    </w:rPr>
                    <w:t>：</w:t>
                  </w:r>
                  <w:r>
                    <w:rPr>
                      <w:rFonts w:hint="default" w:ascii="Times New Roman" w:hAnsi="Times New Roman" w:eastAsia="宋体" w:cs="Times New Roman"/>
                      <w:color w:val="auto"/>
                      <w:kern w:val="0"/>
                      <w:sz w:val="21"/>
                      <w:szCs w:val="21"/>
                    </w:rPr>
                    <w:t>屠宰项目必须配套污水处理设施或进入城市污水管网。</w:t>
                  </w:r>
                </w:p>
                <w:p w14:paraId="498B82BB">
                  <w:pPr>
                    <w:pStyle w:val="83"/>
                    <w:keepNext w:val="0"/>
                    <w:keepLines w:val="0"/>
                    <w:pageBreakBefore w:val="0"/>
                    <w:kinsoku/>
                    <w:wordWrap/>
                    <w:overflowPunct/>
                    <w:topLinePunct w:val="0"/>
                    <w:autoSpaceDE/>
                    <w:autoSpaceDN/>
                    <w:bidi w:val="0"/>
                    <w:adjustRightInd/>
                    <w:snapToGrid/>
                    <w:spacing w:line="240" w:lineRule="exact"/>
                    <w:ind w:firstLine="0" w:firstLineChars="0"/>
                    <w:jc w:val="left"/>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大气环境重点管控区内加强</w:t>
                  </w:r>
                  <w:r>
                    <w:rPr>
                      <w:rFonts w:hint="default" w:ascii="Times New Roman" w:hAnsi="Times New Roman" w:eastAsia="宋体" w:cs="Times New Roman"/>
                      <w:color w:val="auto"/>
                      <w:kern w:val="0"/>
                      <w:sz w:val="21"/>
                      <w:szCs w:val="21"/>
                      <w:lang w:eastAsia="zh-CN"/>
                    </w:rPr>
                    <w:t>“</w:t>
                  </w:r>
                  <w:r>
                    <w:rPr>
                      <w:rFonts w:hint="default" w:ascii="Times New Roman" w:hAnsi="Times New Roman" w:eastAsia="宋体" w:cs="Times New Roman"/>
                      <w:color w:val="auto"/>
                      <w:kern w:val="0"/>
                      <w:sz w:val="21"/>
                      <w:szCs w:val="21"/>
                    </w:rPr>
                    <w:t>高架源</w:t>
                  </w:r>
                  <w:r>
                    <w:rPr>
                      <w:rFonts w:hint="default" w:ascii="Times New Roman" w:hAnsi="Times New Roman" w:eastAsia="宋体" w:cs="Times New Roman"/>
                      <w:color w:val="auto"/>
                      <w:kern w:val="0"/>
                      <w:sz w:val="21"/>
                      <w:szCs w:val="21"/>
                      <w:lang w:eastAsia="zh-CN"/>
                    </w:rPr>
                    <w:t>”</w:t>
                  </w:r>
                  <w:r>
                    <w:rPr>
                      <w:rFonts w:hint="default" w:ascii="Times New Roman" w:hAnsi="Times New Roman" w:eastAsia="宋体" w:cs="Times New Roman"/>
                      <w:color w:val="auto"/>
                      <w:kern w:val="0"/>
                      <w:sz w:val="21"/>
                      <w:szCs w:val="21"/>
                    </w:rPr>
                    <w:t>污染治理，深化施工扬尘监管，严格落实</w:t>
                  </w:r>
                  <w:r>
                    <w:rPr>
                      <w:rFonts w:hint="default" w:ascii="Times New Roman" w:hAnsi="Times New Roman" w:eastAsia="宋体" w:cs="Times New Roman"/>
                      <w:color w:val="auto"/>
                      <w:kern w:val="0"/>
                      <w:sz w:val="21"/>
                      <w:szCs w:val="21"/>
                      <w:lang w:eastAsia="zh-CN"/>
                    </w:rPr>
                    <w:t>“</w:t>
                  </w:r>
                  <w:r>
                    <w:rPr>
                      <w:rFonts w:hint="default" w:ascii="Times New Roman" w:hAnsi="Times New Roman" w:eastAsia="宋体" w:cs="Times New Roman"/>
                      <w:color w:val="auto"/>
                      <w:kern w:val="0"/>
                      <w:sz w:val="21"/>
                      <w:szCs w:val="21"/>
                    </w:rPr>
                    <w:t>六必须、六不准</w:t>
                  </w:r>
                  <w:r>
                    <w:rPr>
                      <w:rFonts w:hint="default" w:ascii="Times New Roman" w:hAnsi="Times New Roman" w:eastAsia="宋体" w:cs="Times New Roman"/>
                      <w:color w:val="auto"/>
                      <w:kern w:val="0"/>
                      <w:sz w:val="21"/>
                      <w:szCs w:val="21"/>
                      <w:lang w:eastAsia="zh-CN"/>
                    </w:rPr>
                    <w:t>”</w:t>
                  </w:r>
                  <w:r>
                    <w:rPr>
                      <w:rFonts w:hint="default" w:ascii="Times New Roman" w:hAnsi="Times New Roman" w:eastAsia="宋体" w:cs="Times New Roman"/>
                      <w:color w:val="auto"/>
                      <w:kern w:val="0"/>
                      <w:sz w:val="21"/>
                      <w:szCs w:val="21"/>
                    </w:rPr>
                    <w:t>管控要求，强化道路施工管控，提高道路清扫机械化和精细化作业水平。-至2022年底，基本实现乡镇污水处理设施全覆盖，配套建设污水收集管网，乡镇污水处理率达到65%。</w:t>
                  </w:r>
                </w:p>
                <w:p w14:paraId="5F0DDA2C">
                  <w:pPr>
                    <w:pStyle w:val="83"/>
                    <w:keepNext w:val="0"/>
                    <w:keepLines w:val="0"/>
                    <w:pageBreakBefore w:val="0"/>
                    <w:kinsoku/>
                    <w:wordWrap/>
                    <w:overflowPunct/>
                    <w:topLinePunct w:val="0"/>
                    <w:autoSpaceDE/>
                    <w:autoSpaceDN/>
                    <w:bidi w:val="0"/>
                    <w:adjustRightInd/>
                    <w:snapToGrid/>
                    <w:spacing w:line="240" w:lineRule="exact"/>
                    <w:ind w:firstLine="0" w:firstLineChars="0"/>
                    <w:jc w:val="left"/>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-到2023年底，力争全市生活垃圾焚烧处理能力占比达60%以上，各县（市）生活垃圾无害化处理率保持95%以上，乡镇及行政村生活垃圾收转运处置体系基本实现全覆盖。</w:t>
                  </w:r>
                </w:p>
                <w:p w14:paraId="12D01E41">
                  <w:pPr>
                    <w:pStyle w:val="83"/>
                    <w:keepNext w:val="0"/>
                    <w:keepLines w:val="0"/>
                    <w:pageBreakBefore w:val="0"/>
                    <w:kinsoku/>
                    <w:wordWrap/>
                    <w:overflowPunct/>
                    <w:topLinePunct w:val="0"/>
                    <w:autoSpaceDE/>
                    <w:autoSpaceDN/>
                    <w:bidi w:val="0"/>
                    <w:adjustRightInd/>
                    <w:snapToGrid/>
                    <w:spacing w:line="240" w:lineRule="exact"/>
                    <w:ind w:firstLine="0" w:firstLineChars="0"/>
                    <w:jc w:val="left"/>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-到2025年，农药包装废弃物回收率达80%；粮油绿色高质高效示范区、茶叶主产区和现代农业园区农药包装废弃物回收率100%。</w:t>
                  </w:r>
                </w:p>
                <w:p w14:paraId="68735F3D">
                  <w:pPr>
                    <w:pStyle w:val="83"/>
                    <w:keepNext w:val="0"/>
                    <w:keepLines w:val="0"/>
                    <w:pageBreakBefore w:val="0"/>
                    <w:kinsoku/>
                    <w:wordWrap/>
                    <w:overflowPunct/>
                    <w:topLinePunct w:val="0"/>
                    <w:autoSpaceDE/>
                    <w:autoSpaceDN/>
                    <w:bidi w:val="0"/>
                    <w:adjustRightInd/>
                    <w:snapToGrid/>
                    <w:spacing w:line="240" w:lineRule="exact"/>
                    <w:ind w:firstLine="0" w:firstLineChars="0"/>
                    <w:jc w:val="left"/>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-到2025年，全国主要农作物化肥、农药利用率达43%，测土配方施肥技术推广覆盖率保持在90%以上，控制农村面源污染，采取灌排分离等措施控制农田氮磷流失。</w:t>
                  </w:r>
                </w:p>
                <w:p w14:paraId="07615133">
                  <w:pPr>
                    <w:pStyle w:val="83"/>
                    <w:keepNext w:val="0"/>
                    <w:keepLines w:val="0"/>
                    <w:pageBreakBefore w:val="0"/>
                    <w:kinsoku/>
                    <w:wordWrap/>
                    <w:overflowPunct/>
                    <w:topLinePunct w:val="0"/>
                    <w:autoSpaceDE/>
                    <w:autoSpaceDN/>
                    <w:bidi w:val="0"/>
                    <w:adjustRightInd/>
                    <w:snapToGrid/>
                    <w:spacing w:line="240" w:lineRule="exact"/>
                    <w:ind w:firstLine="0" w:firstLineChars="0"/>
                    <w:jc w:val="left"/>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到2025年，新、改扩建规模化畜禽养殖场（小区）要实施雨污分流、粪便污水资源化利用；规模化畜禽养殖场（小区）粪污处理设施装备配套率达到95%以上，粪污综合利用率达到80%以上，大型规模养殖场粪污处理设施装备配套率达到100%，畜禽粪污基本实现资源化利用；散养密集区要实行畜禽粪便污水分户收集、集中处理利用。</w:t>
                  </w:r>
                </w:p>
                <w:p w14:paraId="36E80189">
                  <w:pPr>
                    <w:pStyle w:val="83"/>
                    <w:keepNext w:val="0"/>
                    <w:keepLines w:val="0"/>
                    <w:pageBreakBefore w:val="0"/>
                    <w:kinsoku/>
                    <w:wordWrap/>
                    <w:overflowPunct/>
                    <w:topLinePunct w:val="0"/>
                    <w:autoSpaceDE/>
                    <w:autoSpaceDN/>
                    <w:bidi w:val="0"/>
                    <w:adjustRightInd/>
                    <w:snapToGrid/>
                    <w:spacing w:line="240" w:lineRule="exact"/>
                    <w:ind w:firstLine="0" w:firstLineChars="0"/>
                    <w:jc w:val="left"/>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-到2025年，废旧农膜回收利用率达到85%以上。</w:t>
                  </w:r>
                </w:p>
                <w:p w14:paraId="7A49C68F">
                  <w:pPr>
                    <w:pStyle w:val="83"/>
                    <w:keepNext w:val="0"/>
                    <w:keepLines w:val="0"/>
                    <w:pageBreakBefore w:val="0"/>
                    <w:kinsoku/>
                    <w:wordWrap/>
                    <w:overflowPunct/>
                    <w:topLinePunct w:val="0"/>
                    <w:autoSpaceDE/>
                    <w:autoSpaceDN/>
                    <w:bidi w:val="0"/>
                    <w:adjustRightInd/>
                    <w:snapToGrid/>
                    <w:spacing w:line="240" w:lineRule="exact"/>
                    <w:ind w:firstLine="0" w:firstLineChars="0"/>
                    <w:jc w:val="left"/>
                    <w:textAlignment w:val="auto"/>
                    <w:rPr>
                      <w:rFonts w:hint="default" w:ascii="Times New Roman" w:hAnsi="Times New Roman" w:eastAsia="宋体" w:cs="Times New Roman"/>
                      <w:color w:val="auto"/>
                      <w:kern w:val="0"/>
                      <w:sz w:val="21"/>
                      <w:szCs w:val="21"/>
                    </w:rPr>
                  </w:pPr>
                </w:p>
                <w:p w14:paraId="756B597A">
                  <w:pPr>
                    <w:pStyle w:val="83"/>
                    <w:keepNext w:val="0"/>
                    <w:keepLines w:val="0"/>
                    <w:pageBreakBefore w:val="0"/>
                    <w:kinsoku/>
                    <w:wordWrap/>
                    <w:overflowPunct/>
                    <w:topLinePunct w:val="0"/>
                    <w:autoSpaceDE/>
                    <w:autoSpaceDN/>
                    <w:bidi w:val="0"/>
                    <w:adjustRightInd/>
                    <w:snapToGrid/>
                    <w:spacing w:line="240" w:lineRule="exact"/>
                    <w:ind w:firstLine="0" w:firstLineChars="0"/>
                    <w:jc w:val="left"/>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环境风险防控：</w:t>
                  </w:r>
                </w:p>
                <w:p w14:paraId="4315B2BA">
                  <w:pPr>
                    <w:pStyle w:val="83"/>
                    <w:keepNext w:val="0"/>
                    <w:keepLines w:val="0"/>
                    <w:pageBreakBefore w:val="0"/>
                    <w:kinsoku/>
                    <w:wordWrap/>
                    <w:overflowPunct/>
                    <w:topLinePunct w:val="0"/>
                    <w:autoSpaceDE/>
                    <w:autoSpaceDN/>
                    <w:bidi w:val="0"/>
                    <w:adjustRightInd/>
                    <w:snapToGrid/>
                    <w:spacing w:line="240" w:lineRule="exact"/>
                    <w:ind w:firstLine="0" w:firstLineChars="0"/>
                    <w:jc w:val="left"/>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联防联控要求</w:t>
                  </w:r>
                </w:p>
                <w:p w14:paraId="0D253963">
                  <w:pPr>
                    <w:pStyle w:val="83"/>
                    <w:keepNext w:val="0"/>
                    <w:keepLines w:val="0"/>
                    <w:pageBreakBefore w:val="0"/>
                    <w:kinsoku/>
                    <w:wordWrap/>
                    <w:overflowPunct/>
                    <w:topLinePunct w:val="0"/>
                    <w:autoSpaceDE/>
                    <w:autoSpaceDN/>
                    <w:bidi w:val="0"/>
                    <w:adjustRightInd/>
                    <w:snapToGrid/>
                    <w:spacing w:line="240" w:lineRule="exact"/>
                    <w:ind w:firstLine="0" w:firstLineChars="0"/>
                    <w:jc w:val="left"/>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强化区域联防联控，严格落实《关于建立跨省流域上下游突发水污染事件联防联控机制的指导意见》；定期召开区域大气环境形式分析会，强化信息共享和联动合作，实行环境规划，标准，环评，执法，信息公开</w:t>
                  </w:r>
                  <w:r>
                    <w:rPr>
                      <w:rFonts w:hint="default" w:ascii="Times New Roman" w:hAnsi="Times New Roman" w:eastAsia="宋体" w:cs="Times New Roman"/>
                      <w:color w:val="auto"/>
                      <w:kern w:val="0"/>
                      <w:sz w:val="21"/>
                      <w:szCs w:val="21"/>
                      <w:lang w:eastAsia="zh-CN"/>
                    </w:rPr>
                    <w:t>“</w:t>
                  </w:r>
                  <w:r>
                    <w:rPr>
                      <w:rFonts w:hint="default" w:ascii="Times New Roman" w:hAnsi="Times New Roman" w:eastAsia="宋体" w:cs="Times New Roman"/>
                      <w:color w:val="auto"/>
                      <w:kern w:val="0"/>
                      <w:sz w:val="21"/>
                      <w:szCs w:val="21"/>
                    </w:rPr>
                    <w:t>六统一</w:t>
                  </w:r>
                  <w:r>
                    <w:rPr>
                      <w:rFonts w:hint="default" w:ascii="Times New Roman" w:hAnsi="Times New Roman" w:eastAsia="宋体" w:cs="Times New Roman"/>
                      <w:color w:val="auto"/>
                      <w:kern w:val="0"/>
                      <w:sz w:val="21"/>
                      <w:szCs w:val="21"/>
                      <w:lang w:eastAsia="zh-CN"/>
                    </w:rPr>
                    <w:t>”</w:t>
                  </w:r>
                  <w:r>
                    <w:rPr>
                      <w:rFonts w:hint="default" w:ascii="Times New Roman" w:hAnsi="Times New Roman" w:eastAsia="宋体" w:cs="Times New Roman"/>
                      <w:color w:val="auto"/>
                      <w:kern w:val="0"/>
                      <w:sz w:val="21"/>
                      <w:szCs w:val="21"/>
                    </w:rPr>
                    <w:t>，协力推进大气污染源头防控，加强川东北区域大气污染防止合作</w:t>
                  </w:r>
                </w:p>
                <w:p w14:paraId="3C032B63">
                  <w:pPr>
                    <w:pStyle w:val="83"/>
                    <w:keepNext w:val="0"/>
                    <w:keepLines w:val="0"/>
                    <w:pageBreakBefore w:val="0"/>
                    <w:kinsoku/>
                    <w:wordWrap/>
                    <w:overflowPunct/>
                    <w:topLinePunct w:val="0"/>
                    <w:autoSpaceDE/>
                    <w:autoSpaceDN/>
                    <w:bidi w:val="0"/>
                    <w:adjustRightInd/>
                    <w:snapToGrid/>
                    <w:spacing w:line="240" w:lineRule="exact"/>
                    <w:ind w:firstLine="0" w:firstLineChars="0"/>
                    <w:jc w:val="left"/>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其他环境风险防控要求</w:t>
                  </w:r>
                </w:p>
                <w:p w14:paraId="2FC3A555">
                  <w:pPr>
                    <w:pStyle w:val="83"/>
                    <w:keepNext w:val="0"/>
                    <w:keepLines w:val="0"/>
                    <w:pageBreakBefore w:val="0"/>
                    <w:kinsoku/>
                    <w:wordWrap/>
                    <w:overflowPunct/>
                    <w:topLinePunct w:val="0"/>
                    <w:autoSpaceDE/>
                    <w:autoSpaceDN/>
                    <w:bidi w:val="0"/>
                    <w:adjustRightInd/>
                    <w:snapToGrid/>
                    <w:spacing w:line="240" w:lineRule="exact"/>
                    <w:ind w:firstLine="0" w:firstLineChars="0"/>
                    <w:jc w:val="left"/>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企业环境风险防控要求</w:t>
                  </w:r>
                  <w:r>
                    <w:rPr>
                      <w:rFonts w:hint="default" w:ascii="Times New Roman" w:hAnsi="Times New Roman" w:eastAsia="宋体" w:cs="Times New Roman"/>
                      <w:color w:val="auto"/>
                      <w:kern w:val="0"/>
                      <w:sz w:val="21"/>
                      <w:szCs w:val="21"/>
                      <w:lang w:eastAsia="zh-CN"/>
                    </w:rPr>
                    <w:t>：</w:t>
                  </w:r>
                  <w:r>
                    <w:rPr>
                      <w:rFonts w:hint="default" w:ascii="Times New Roman" w:hAnsi="Times New Roman" w:eastAsia="宋体" w:cs="Times New Roman"/>
                      <w:color w:val="auto"/>
                      <w:kern w:val="0"/>
                      <w:sz w:val="21"/>
                      <w:szCs w:val="21"/>
                    </w:rPr>
                    <w:t>工业企业退出用地，须经评估、修复满足相应用地功能后，方可改变用途。</w:t>
                  </w:r>
                </w:p>
                <w:p w14:paraId="69A6B633">
                  <w:pPr>
                    <w:pStyle w:val="83"/>
                    <w:keepNext w:val="0"/>
                    <w:keepLines w:val="0"/>
                    <w:pageBreakBefore w:val="0"/>
                    <w:kinsoku/>
                    <w:wordWrap/>
                    <w:overflowPunct/>
                    <w:topLinePunct w:val="0"/>
                    <w:autoSpaceDE/>
                    <w:autoSpaceDN/>
                    <w:bidi w:val="0"/>
                    <w:adjustRightInd/>
                    <w:snapToGrid/>
                    <w:spacing w:line="240" w:lineRule="exact"/>
                    <w:ind w:firstLine="0" w:firstLineChars="0"/>
                    <w:jc w:val="left"/>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加强</w:t>
                  </w:r>
                  <w:r>
                    <w:rPr>
                      <w:rFonts w:hint="default" w:ascii="Times New Roman" w:hAnsi="Times New Roman" w:eastAsia="宋体" w:cs="Times New Roman"/>
                      <w:color w:val="auto"/>
                      <w:kern w:val="0"/>
                      <w:sz w:val="21"/>
                      <w:szCs w:val="21"/>
                      <w:lang w:eastAsia="zh-CN"/>
                    </w:rPr>
                    <w:t>“</w:t>
                  </w:r>
                  <w:r>
                    <w:rPr>
                      <w:rFonts w:hint="default" w:ascii="Times New Roman" w:hAnsi="Times New Roman" w:eastAsia="宋体" w:cs="Times New Roman"/>
                      <w:color w:val="auto"/>
                      <w:kern w:val="0"/>
                      <w:sz w:val="21"/>
                      <w:szCs w:val="21"/>
                    </w:rPr>
                    <w:t>散乱污</w:t>
                  </w:r>
                  <w:r>
                    <w:rPr>
                      <w:rFonts w:hint="default" w:ascii="Times New Roman" w:hAnsi="Times New Roman" w:eastAsia="宋体" w:cs="Times New Roman"/>
                      <w:color w:val="auto"/>
                      <w:kern w:val="0"/>
                      <w:sz w:val="21"/>
                      <w:szCs w:val="21"/>
                      <w:lang w:eastAsia="zh-CN"/>
                    </w:rPr>
                    <w:t>”</w:t>
                  </w:r>
                  <w:r>
                    <w:rPr>
                      <w:rFonts w:hint="default" w:ascii="Times New Roman" w:hAnsi="Times New Roman" w:eastAsia="宋体" w:cs="Times New Roman"/>
                      <w:color w:val="auto"/>
                      <w:kern w:val="0"/>
                      <w:sz w:val="21"/>
                      <w:szCs w:val="21"/>
                    </w:rPr>
                    <w:t>企业环境风险防控。对拟收回土地使用权的有色金属矿采选、有色金属冶炼、石油加工、化工、焦化、电镀、制革、天然（页岩）气开采、铅蓄电池、汽车制造、农药、危废处置、电子拆解等行业企业用地，以及用途拟变更为居住和商业、学校、医疗、养老机构等公共设施的上述企业用地，以及由重度污染农用地转为的城镇建设用地，开展土壤环境状况调查评估。用地环境风险防控要求</w:t>
                  </w:r>
                  <w:r>
                    <w:rPr>
                      <w:rFonts w:hint="default" w:ascii="Times New Roman" w:hAnsi="Times New Roman" w:eastAsia="宋体" w:cs="Times New Roman"/>
                      <w:color w:val="auto"/>
                      <w:kern w:val="0"/>
                      <w:sz w:val="21"/>
                      <w:szCs w:val="21"/>
                      <w:lang w:eastAsia="zh-CN"/>
                    </w:rPr>
                    <w:t>：</w:t>
                  </w:r>
                  <w:r>
                    <w:rPr>
                      <w:rFonts w:hint="default" w:ascii="Times New Roman" w:hAnsi="Times New Roman" w:eastAsia="宋体" w:cs="Times New Roman"/>
                      <w:color w:val="auto"/>
                      <w:kern w:val="0"/>
                      <w:sz w:val="21"/>
                      <w:szCs w:val="21"/>
                    </w:rPr>
                    <w:t>严禁将城镇生活垃圾、污泥、工业废物直接用作肥料，禁止处理不达标的污泥进入耕地；禁止在农用地排放、倾倒、使用污泥、清淤底泥、尾矿（渣）等可能对土壤造成污染的固体废物。</w:t>
                  </w:r>
                </w:p>
                <w:p w14:paraId="7932F774">
                  <w:pPr>
                    <w:pStyle w:val="83"/>
                    <w:keepNext w:val="0"/>
                    <w:keepLines w:val="0"/>
                    <w:pageBreakBefore w:val="0"/>
                    <w:kinsoku/>
                    <w:wordWrap/>
                    <w:overflowPunct/>
                    <w:topLinePunct w:val="0"/>
                    <w:autoSpaceDE/>
                    <w:autoSpaceDN/>
                    <w:bidi w:val="0"/>
                    <w:adjustRightInd/>
                    <w:snapToGrid/>
                    <w:spacing w:line="240" w:lineRule="exact"/>
                    <w:ind w:firstLine="0" w:firstLineChars="0"/>
                    <w:jc w:val="left"/>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定期对单元内尾矿库进行风险巡查，建立监测系统和环境风险应急预案；完善各尾矿库渗滤液收集、处理、回用系统，杜绝事故排放；尾矿库闭矿后因地制宜进行植被恢复和综合利用。</w:t>
                  </w:r>
                </w:p>
                <w:p w14:paraId="76FCF795">
                  <w:pPr>
                    <w:pStyle w:val="83"/>
                    <w:keepNext w:val="0"/>
                    <w:keepLines w:val="0"/>
                    <w:pageBreakBefore w:val="0"/>
                    <w:kinsoku/>
                    <w:wordWrap/>
                    <w:overflowPunct/>
                    <w:topLinePunct w:val="0"/>
                    <w:autoSpaceDE/>
                    <w:autoSpaceDN/>
                    <w:bidi w:val="0"/>
                    <w:adjustRightInd/>
                    <w:snapToGrid/>
                    <w:spacing w:line="240" w:lineRule="exact"/>
                    <w:ind w:firstLine="0" w:firstLineChars="0"/>
                    <w:jc w:val="left"/>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规范排土场、渣场等整治。禁止处理不达标的污泥进入耕地。</w:t>
                  </w:r>
                </w:p>
                <w:p w14:paraId="70C080E8">
                  <w:pPr>
                    <w:pStyle w:val="83"/>
                    <w:keepNext w:val="0"/>
                    <w:keepLines w:val="0"/>
                    <w:pageBreakBefore w:val="0"/>
                    <w:kinsoku/>
                    <w:wordWrap/>
                    <w:overflowPunct/>
                    <w:topLinePunct w:val="0"/>
                    <w:autoSpaceDE/>
                    <w:autoSpaceDN/>
                    <w:bidi w:val="0"/>
                    <w:adjustRightInd/>
                    <w:snapToGrid/>
                    <w:spacing w:line="240" w:lineRule="exact"/>
                    <w:ind w:firstLine="0" w:firstLineChars="0"/>
                    <w:jc w:val="left"/>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严格控制林地、草地、园地的农药使用量，禁止使用高毒、高残留农药。</w:t>
                  </w:r>
                </w:p>
                <w:p w14:paraId="010EBB80">
                  <w:pPr>
                    <w:pStyle w:val="83"/>
                    <w:keepNext w:val="0"/>
                    <w:keepLines w:val="0"/>
                    <w:pageBreakBefore w:val="0"/>
                    <w:kinsoku/>
                    <w:wordWrap/>
                    <w:overflowPunct/>
                    <w:topLinePunct w:val="0"/>
                    <w:autoSpaceDE/>
                    <w:autoSpaceDN/>
                    <w:bidi w:val="0"/>
                    <w:adjustRightInd/>
                    <w:snapToGrid/>
                    <w:spacing w:line="240" w:lineRule="exact"/>
                    <w:ind w:firstLine="0" w:firstLineChars="0"/>
                    <w:jc w:val="left"/>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到2030年，全市受污染耕地安全利用率达到95%以上，污染地块安全利用率达到95%以上。</w:t>
                  </w:r>
                </w:p>
                <w:p w14:paraId="28CABC49">
                  <w:pPr>
                    <w:pStyle w:val="83"/>
                    <w:keepNext w:val="0"/>
                    <w:keepLines w:val="0"/>
                    <w:pageBreakBefore w:val="0"/>
                    <w:kinsoku/>
                    <w:wordWrap/>
                    <w:overflowPunct/>
                    <w:topLinePunct w:val="0"/>
                    <w:autoSpaceDE/>
                    <w:autoSpaceDN/>
                    <w:bidi w:val="0"/>
                    <w:adjustRightInd/>
                    <w:snapToGrid/>
                    <w:spacing w:line="240" w:lineRule="exact"/>
                    <w:ind w:firstLine="0" w:firstLineChars="0"/>
                    <w:jc w:val="left"/>
                    <w:textAlignment w:val="auto"/>
                    <w:rPr>
                      <w:rFonts w:hint="default" w:ascii="Times New Roman" w:hAnsi="Times New Roman" w:eastAsia="宋体" w:cs="Times New Roman"/>
                      <w:color w:val="auto"/>
                      <w:kern w:val="0"/>
                      <w:sz w:val="21"/>
                      <w:szCs w:val="21"/>
                    </w:rPr>
                  </w:pPr>
                </w:p>
                <w:p w14:paraId="4420F001">
                  <w:pPr>
                    <w:pStyle w:val="83"/>
                    <w:keepNext w:val="0"/>
                    <w:keepLines w:val="0"/>
                    <w:pageBreakBefore w:val="0"/>
                    <w:kinsoku/>
                    <w:wordWrap/>
                    <w:overflowPunct/>
                    <w:topLinePunct w:val="0"/>
                    <w:autoSpaceDE/>
                    <w:autoSpaceDN/>
                    <w:bidi w:val="0"/>
                    <w:adjustRightInd/>
                    <w:snapToGrid/>
                    <w:spacing w:line="240" w:lineRule="exact"/>
                    <w:ind w:firstLine="0" w:firstLineChars="0"/>
                    <w:jc w:val="left"/>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资源开发利用效率要求：</w:t>
                  </w:r>
                </w:p>
                <w:p w14:paraId="66EE320E">
                  <w:pPr>
                    <w:pStyle w:val="83"/>
                    <w:keepNext w:val="0"/>
                    <w:keepLines w:val="0"/>
                    <w:pageBreakBefore w:val="0"/>
                    <w:kinsoku/>
                    <w:wordWrap/>
                    <w:overflowPunct/>
                    <w:topLinePunct w:val="0"/>
                    <w:autoSpaceDE/>
                    <w:autoSpaceDN/>
                    <w:bidi w:val="0"/>
                    <w:adjustRightInd/>
                    <w:snapToGrid/>
                    <w:spacing w:line="240" w:lineRule="exact"/>
                    <w:ind w:firstLine="0" w:firstLineChars="0"/>
                    <w:jc w:val="left"/>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水资源利用总量要求</w:t>
                  </w:r>
                </w:p>
                <w:p w14:paraId="4E7A8642">
                  <w:pPr>
                    <w:pStyle w:val="83"/>
                    <w:keepNext w:val="0"/>
                    <w:keepLines w:val="0"/>
                    <w:pageBreakBefore w:val="0"/>
                    <w:kinsoku/>
                    <w:wordWrap/>
                    <w:overflowPunct/>
                    <w:topLinePunct w:val="0"/>
                    <w:autoSpaceDE/>
                    <w:autoSpaceDN/>
                    <w:bidi w:val="0"/>
                    <w:adjustRightInd/>
                    <w:snapToGrid/>
                    <w:spacing w:line="240" w:lineRule="exact"/>
                    <w:ind w:firstLine="0" w:firstLineChars="0"/>
                    <w:jc w:val="left"/>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-到2025年，农田灌溉水有效利用系数达到0.57以上。</w:t>
                  </w:r>
                </w:p>
                <w:p w14:paraId="4F7737A6">
                  <w:pPr>
                    <w:pStyle w:val="83"/>
                    <w:keepNext w:val="0"/>
                    <w:keepLines w:val="0"/>
                    <w:pageBreakBefore w:val="0"/>
                    <w:kinsoku/>
                    <w:wordWrap/>
                    <w:overflowPunct/>
                    <w:topLinePunct w:val="0"/>
                    <w:autoSpaceDE/>
                    <w:autoSpaceDN/>
                    <w:bidi w:val="0"/>
                    <w:adjustRightInd/>
                    <w:snapToGrid/>
                    <w:spacing w:line="240" w:lineRule="exact"/>
                    <w:ind w:firstLine="0" w:firstLineChars="0"/>
                    <w:jc w:val="left"/>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地下水开采要求</w:t>
                  </w:r>
                </w:p>
                <w:p w14:paraId="659A8C1E">
                  <w:pPr>
                    <w:pStyle w:val="83"/>
                    <w:keepNext w:val="0"/>
                    <w:keepLines w:val="0"/>
                    <w:pageBreakBefore w:val="0"/>
                    <w:kinsoku/>
                    <w:wordWrap/>
                    <w:overflowPunct/>
                    <w:topLinePunct w:val="0"/>
                    <w:autoSpaceDE/>
                    <w:autoSpaceDN/>
                    <w:bidi w:val="0"/>
                    <w:adjustRightInd/>
                    <w:snapToGrid/>
                    <w:spacing w:line="240" w:lineRule="exact"/>
                    <w:ind w:firstLine="0" w:firstLineChars="0"/>
                    <w:jc w:val="left"/>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以省市下发指标为准</w:t>
                  </w:r>
                </w:p>
                <w:p w14:paraId="7292D798">
                  <w:pPr>
                    <w:pStyle w:val="83"/>
                    <w:keepNext w:val="0"/>
                    <w:keepLines w:val="0"/>
                    <w:pageBreakBefore w:val="0"/>
                    <w:kinsoku/>
                    <w:wordWrap/>
                    <w:overflowPunct/>
                    <w:topLinePunct w:val="0"/>
                    <w:autoSpaceDE/>
                    <w:autoSpaceDN/>
                    <w:bidi w:val="0"/>
                    <w:adjustRightInd/>
                    <w:snapToGrid/>
                    <w:spacing w:line="240" w:lineRule="exact"/>
                    <w:ind w:firstLine="0" w:firstLineChars="0"/>
                    <w:jc w:val="left"/>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能源利用总量及效率要求</w:t>
                  </w:r>
                </w:p>
                <w:p w14:paraId="0B17C6C5">
                  <w:pPr>
                    <w:pStyle w:val="83"/>
                    <w:keepNext w:val="0"/>
                    <w:keepLines w:val="0"/>
                    <w:pageBreakBefore w:val="0"/>
                    <w:kinsoku/>
                    <w:wordWrap/>
                    <w:overflowPunct/>
                    <w:topLinePunct w:val="0"/>
                    <w:autoSpaceDE/>
                    <w:autoSpaceDN/>
                    <w:bidi w:val="0"/>
                    <w:adjustRightInd/>
                    <w:snapToGrid/>
                    <w:spacing w:line="240" w:lineRule="exact"/>
                    <w:ind w:firstLine="0" w:firstLineChars="0"/>
                    <w:jc w:val="left"/>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推进清洁能源的推广使用，全面推进散煤清洁化整治；禁止新建每小时10蒸吨以下的燃煤锅炉及其他燃煤设施。</w:t>
                  </w:r>
                </w:p>
                <w:p w14:paraId="508A1B62">
                  <w:pPr>
                    <w:pStyle w:val="83"/>
                    <w:keepNext w:val="0"/>
                    <w:keepLines w:val="0"/>
                    <w:pageBreakBefore w:val="0"/>
                    <w:kinsoku/>
                    <w:wordWrap/>
                    <w:overflowPunct/>
                    <w:topLinePunct w:val="0"/>
                    <w:autoSpaceDE/>
                    <w:autoSpaceDN/>
                    <w:bidi w:val="0"/>
                    <w:adjustRightInd/>
                    <w:snapToGrid/>
                    <w:spacing w:line="240" w:lineRule="exact"/>
                    <w:ind w:firstLine="0" w:firstLineChars="0"/>
                    <w:jc w:val="left"/>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禁止焚烧秸秆和垃圾，到2025年底，秸秆综合利用率达到86%以上。</w:t>
                  </w:r>
                </w:p>
                <w:p w14:paraId="05512BE1">
                  <w:pPr>
                    <w:pStyle w:val="83"/>
                    <w:keepNext w:val="0"/>
                    <w:keepLines w:val="0"/>
                    <w:pageBreakBefore w:val="0"/>
                    <w:kinsoku/>
                    <w:wordWrap/>
                    <w:overflowPunct/>
                    <w:topLinePunct w:val="0"/>
                    <w:autoSpaceDE/>
                    <w:autoSpaceDN/>
                    <w:bidi w:val="0"/>
                    <w:adjustRightInd/>
                    <w:snapToGrid/>
                    <w:spacing w:line="240" w:lineRule="exact"/>
                    <w:ind w:firstLine="0" w:firstLineChars="0"/>
                    <w:jc w:val="left"/>
                    <w:textAlignment w:val="auto"/>
                    <w:rPr>
                      <w:rFonts w:hint="default" w:ascii="Times New Roman" w:hAnsi="Times New Roman" w:eastAsia="宋体" w:cs="Times New Roman"/>
                      <w:color w:val="auto"/>
                      <w:kern w:val="0"/>
                      <w:sz w:val="21"/>
                      <w:szCs w:val="21"/>
                    </w:rPr>
                  </w:pPr>
                </w:p>
                <w:p w14:paraId="184F12E6">
                  <w:pPr>
                    <w:pStyle w:val="83"/>
                    <w:keepNext w:val="0"/>
                    <w:keepLines w:val="0"/>
                    <w:pageBreakBefore w:val="0"/>
                    <w:kinsoku/>
                    <w:wordWrap/>
                    <w:overflowPunct/>
                    <w:topLinePunct w:val="0"/>
                    <w:autoSpaceDE/>
                    <w:autoSpaceDN/>
                    <w:bidi w:val="0"/>
                    <w:adjustRightInd/>
                    <w:snapToGrid/>
                    <w:spacing w:line="240" w:lineRule="exact"/>
                    <w:ind w:firstLine="0" w:firstLineChars="0"/>
                    <w:jc w:val="left"/>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禁燃区要求</w:t>
                  </w:r>
                </w:p>
                <w:p w14:paraId="75B0069D">
                  <w:pPr>
                    <w:pStyle w:val="83"/>
                    <w:keepNext w:val="0"/>
                    <w:keepLines w:val="0"/>
                    <w:pageBreakBefore w:val="0"/>
                    <w:kinsoku/>
                    <w:wordWrap/>
                    <w:overflowPunct/>
                    <w:topLinePunct w:val="0"/>
                    <w:autoSpaceDE/>
                    <w:autoSpaceDN/>
                    <w:bidi w:val="0"/>
                    <w:adjustRightInd/>
                    <w:snapToGrid/>
                    <w:spacing w:line="240" w:lineRule="exact"/>
                    <w:ind w:firstLine="0" w:firstLineChars="0"/>
                    <w:jc w:val="left"/>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高污染燃料禁燃区内禁止燃用的燃料为《高污染燃料目录》（2017）中Ⅲ类（严格）燃料组合，包括：（一）煤炭及其制品；（二）石油焦、油页岩、原油、重油、渣油、煤焦油；（三）非专用锅炉或未配置高效除尘设施的专用锅炉燃用的生物质成型燃料。</w:t>
                  </w:r>
                </w:p>
                <w:p w14:paraId="63C75E5A">
                  <w:pPr>
                    <w:pStyle w:val="83"/>
                    <w:keepNext w:val="0"/>
                    <w:keepLines w:val="0"/>
                    <w:pageBreakBefore w:val="0"/>
                    <w:kinsoku/>
                    <w:wordWrap/>
                    <w:overflowPunct/>
                    <w:topLinePunct w:val="0"/>
                    <w:autoSpaceDE/>
                    <w:autoSpaceDN/>
                    <w:bidi w:val="0"/>
                    <w:adjustRightInd/>
                    <w:snapToGrid/>
                    <w:spacing w:line="240" w:lineRule="exact"/>
                    <w:ind w:firstLine="0" w:firstLineChars="0"/>
                    <w:jc w:val="left"/>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-禁燃区内禁止销售、燃用高污染燃料；禁止新建、改建、扩建燃用高污染燃料的设施和设备。</w:t>
                  </w:r>
                </w:p>
                <w:p w14:paraId="26B12D6B">
                  <w:pPr>
                    <w:pStyle w:val="83"/>
                    <w:keepNext w:val="0"/>
                    <w:keepLines w:val="0"/>
                    <w:pageBreakBefore w:val="0"/>
                    <w:kinsoku/>
                    <w:wordWrap/>
                    <w:overflowPunct/>
                    <w:topLinePunct w:val="0"/>
                    <w:autoSpaceDE/>
                    <w:autoSpaceDN/>
                    <w:bidi w:val="0"/>
                    <w:adjustRightInd/>
                    <w:snapToGrid/>
                    <w:spacing w:line="240" w:lineRule="exact"/>
                    <w:ind w:firstLine="0" w:firstLineChars="0"/>
                    <w:jc w:val="left"/>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-禁燃区内已建成的高污染燃料燃用设施由辖区人民政府制定限期改造计划，改用天然气、页岩气、液化石油气、电或其他清洁能源。</w:t>
                  </w:r>
                </w:p>
                <w:p w14:paraId="7FF62F9C">
                  <w:pPr>
                    <w:pStyle w:val="83"/>
                    <w:keepNext w:val="0"/>
                    <w:keepLines w:val="0"/>
                    <w:pageBreakBefore w:val="0"/>
                    <w:kinsoku/>
                    <w:wordWrap/>
                    <w:overflowPunct/>
                    <w:topLinePunct w:val="0"/>
                    <w:autoSpaceDE/>
                    <w:autoSpaceDN/>
                    <w:bidi w:val="0"/>
                    <w:adjustRightInd/>
                    <w:snapToGrid/>
                    <w:spacing w:line="240" w:lineRule="exact"/>
                    <w:ind w:firstLine="0" w:firstLineChars="0"/>
                    <w:jc w:val="left"/>
                    <w:textAlignment w:val="auto"/>
                    <w:rPr>
                      <w:rFonts w:hint="default" w:ascii="Times New Roman" w:hAnsi="Times New Roman" w:eastAsia="宋体" w:cs="Times New Roman"/>
                      <w:color w:val="auto"/>
                      <w:kern w:val="0"/>
                      <w:sz w:val="21"/>
                      <w:szCs w:val="21"/>
                    </w:rPr>
                  </w:pPr>
                </w:p>
                <w:p w14:paraId="20AB612F">
                  <w:pPr>
                    <w:pStyle w:val="83"/>
                    <w:keepNext w:val="0"/>
                    <w:keepLines w:val="0"/>
                    <w:pageBreakBefore w:val="0"/>
                    <w:kinsoku/>
                    <w:wordWrap/>
                    <w:overflowPunct/>
                    <w:topLinePunct w:val="0"/>
                    <w:autoSpaceDE/>
                    <w:autoSpaceDN/>
                    <w:bidi w:val="0"/>
                    <w:adjustRightInd/>
                    <w:snapToGrid/>
                    <w:spacing w:line="240" w:lineRule="exact"/>
                    <w:ind w:firstLine="0" w:firstLineChars="0"/>
                    <w:jc w:val="left"/>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其他资源利用效率要求</w:t>
                  </w:r>
                </w:p>
                <w:p w14:paraId="4DEE2B02">
                  <w:pPr>
                    <w:pStyle w:val="83"/>
                    <w:keepNext w:val="0"/>
                    <w:keepLines w:val="0"/>
                    <w:pageBreakBefore w:val="0"/>
                    <w:kinsoku/>
                    <w:wordWrap/>
                    <w:overflowPunct/>
                    <w:topLinePunct w:val="0"/>
                    <w:autoSpaceDE/>
                    <w:autoSpaceDN/>
                    <w:bidi w:val="0"/>
                    <w:adjustRightInd/>
                    <w:snapToGrid/>
                    <w:spacing w:line="240" w:lineRule="exact"/>
                    <w:ind w:firstLine="0" w:firstLineChars="0"/>
                    <w:jc w:val="left"/>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暂无</w:t>
                  </w:r>
                </w:p>
              </w:tc>
              <w:tc>
                <w:tcPr>
                  <w:tcW w:w="274" w:type="pct"/>
                  <w:tcBorders>
                    <w:tl2br w:val="nil"/>
                    <w:tr2bl w:val="nil"/>
                  </w:tcBorders>
                  <w:vAlign w:val="center"/>
                </w:tcPr>
                <w:p w14:paraId="0AB0D2D6">
                  <w:pPr>
                    <w:pStyle w:val="83"/>
                    <w:keepNext w:val="0"/>
                    <w:keepLines w:val="0"/>
                    <w:pageBreakBefore w:val="0"/>
                    <w:widowControl/>
                    <w:kinsoku/>
                    <w:wordWrap/>
                    <w:overflowPunct/>
                    <w:topLinePunct w:val="0"/>
                    <w:autoSpaceDE/>
                    <w:autoSpaceDN/>
                    <w:bidi w:val="0"/>
                    <w:adjustRightInd/>
                    <w:snapToGrid/>
                    <w:spacing w:line="240" w:lineRule="exact"/>
                    <w:ind w:firstLine="0" w:firstLineChars="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污染物排放管控</w:t>
                  </w:r>
                </w:p>
              </w:tc>
              <w:tc>
                <w:tcPr>
                  <w:tcW w:w="1134" w:type="pct"/>
                  <w:tcBorders>
                    <w:tl2br w:val="nil"/>
                    <w:tr2bl w:val="nil"/>
                  </w:tcBorders>
                  <w:shd w:val="clear" w:color="auto" w:fill="auto"/>
                  <w:vAlign w:val="center"/>
                </w:tcPr>
                <w:p w14:paraId="632F0A02">
                  <w:pPr>
                    <w:pStyle w:val="83"/>
                    <w:keepNext w:val="0"/>
                    <w:keepLines w:val="0"/>
                    <w:pageBreakBefore w:val="0"/>
                    <w:widowControl/>
                    <w:shd w:val="clear" w:color="auto" w:fill="FFFFFF"/>
                    <w:kinsoku/>
                    <w:wordWrap/>
                    <w:overflowPunct/>
                    <w:topLinePunct w:val="0"/>
                    <w:autoSpaceDE/>
                    <w:autoSpaceDN/>
                    <w:bidi w:val="0"/>
                    <w:adjustRightInd/>
                    <w:snapToGrid/>
                    <w:spacing w:line="240" w:lineRule="exact"/>
                    <w:ind w:firstLine="0" w:firstLineChars="0"/>
                    <w:jc w:val="left"/>
                    <w:textAlignment w:val="auto"/>
                    <w:rPr>
                      <w:rStyle w:val="26"/>
                      <w:rFonts w:hint="default" w:ascii="Times New Roman" w:hAnsi="Times New Roman" w:eastAsia="宋体" w:cs="Times New Roman"/>
                      <w:color w:val="auto"/>
                      <w:kern w:val="2"/>
                      <w:sz w:val="21"/>
                      <w:szCs w:val="21"/>
                      <w:lang w:val="en-US" w:eastAsia="zh-CN" w:bidi="ar-SA"/>
                    </w:rPr>
                  </w:pPr>
                  <w:r>
                    <w:rPr>
                      <w:rStyle w:val="26"/>
                      <w:rFonts w:hint="default" w:ascii="Times New Roman" w:hAnsi="Times New Roman" w:eastAsia="宋体" w:cs="Times New Roman"/>
                      <w:color w:val="auto"/>
                      <w:kern w:val="2"/>
                      <w:sz w:val="21"/>
                      <w:szCs w:val="21"/>
                      <w:lang w:val="en-US" w:eastAsia="zh-CN" w:bidi="ar-SA"/>
                    </w:rPr>
                    <w:t>现有源提标升级改造</w:t>
                  </w:r>
                </w:p>
                <w:p w14:paraId="15CE3900">
                  <w:pPr>
                    <w:pStyle w:val="83"/>
                    <w:keepNext w:val="0"/>
                    <w:keepLines w:val="0"/>
                    <w:pageBreakBefore w:val="0"/>
                    <w:widowControl/>
                    <w:shd w:val="clear" w:color="auto" w:fill="FFFFFF"/>
                    <w:kinsoku/>
                    <w:wordWrap/>
                    <w:overflowPunct/>
                    <w:topLinePunct w:val="0"/>
                    <w:autoSpaceDE/>
                    <w:autoSpaceDN/>
                    <w:bidi w:val="0"/>
                    <w:adjustRightInd/>
                    <w:snapToGrid/>
                    <w:spacing w:line="240" w:lineRule="exact"/>
                    <w:ind w:firstLine="0" w:firstLineChars="0"/>
                    <w:jc w:val="left"/>
                    <w:textAlignment w:val="auto"/>
                    <w:rPr>
                      <w:rStyle w:val="26"/>
                      <w:rFonts w:hint="default" w:ascii="Times New Roman" w:hAnsi="Times New Roman" w:eastAsia="宋体" w:cs="Times New Roman"/>
                      <w:color w:val="auto"/>
                      <w:kern w:val="2"/>
                      <w:sz w:val="21"/>
                      <w:szCs w:val="21"/>
                      <w:lang w:val="en-US" w:eastAsia="zh-CN" w:bidi="ar-SA"/>
                    </w:rPr>
                  </w:pPr>
                  <w:r>
                    <w:rPr>
                      <w:rStyle w:val="26"/>
                      <w:rFonts w:hint="default" w:ascii="Times New Roman" w:hAnsi="Times New Roman" w:eastAsia="宋体" w:cs="Times New Roman"/>
                      <w:color w:val="auto"/>
                      <w:kern w:val="2"/>
                      <w:sz w:val="21"/>
                      <w:szCs w:val="21"/>
                      <w:lang w:val="en-US" w:eastAsia="zh-CN" w:bidi="ar-SA"/>
                    </w:rPr>
                    <w:t>项目产生的生产废水由企业自行处理达到《污水排放综合标准》三级或相应的行业排放标准后排入园区污水处理厂处理达《城镇污水处理厂污染物排放标准》一级A标或更严格标准后排放；其他同达州市工业重点总体准入要求</w:t>
                  </w:r>
                </w:p>
                <w:p w14:paraId="670BAFB7">
                  <w:pPr>
                    <w:pStyle w:val="83"/>
                    <w:keepNext w:val="0"/>
                    <w:keepLines w:val="0"/>
                    <w:pageBreakBefore w:val="0"/>
                    <w:widowControl/>
                    <w:shd w:val="clear" w:color="auto" w:fill="FFFFFF"/>
                    <w:kinsoku/>
                    <w:wordWrap/>
                    <w:overflowPunct/>
                    <w:topLinePunct w:val="0"/>
                    <w:autoSpaceDE/>
                    <w:autoSpaceDN/>
                    <w:bidi w:val="0"/>
                    <w:adjustRightInd/>
                    <w:snapToGrid/>
                    <w:spacing w:line="240" w:lineRule="exact"/>
                    <w:ind w:firstLine="0" w:firstLineChars="0"/>
                    <w:jc w:val="left"/>
                    <w:textAlignment w:val="auto"/>
                    <w:rPr>
                      <w:rStyle w:val="26"/>
                      <w:rFonts w:hint="default" w:ascii="Times New Roman" w:hAnsi="Times New Roman" w:eastAsia="宋体" w:cs="Times New Roman"/>
                      <w:color w:val="auto"/>
                      <w:kern w:val="2"/>
                      <w:sz w:val="21"/>
                      <w:szCs w:val="21"/>
                      <w:lang w:val="en-US" w:eastAsia="zh-CN" w:bidi="ar-SA"/>
                    </w:rPr>
                  </w:pPr>
                  <w:r>
                    <w:rPr>
                      <w:rStyle w:val="26"/>
                      <w:rFonts w:hint="default" w:ascii="Times New Roman" w:hAnsi="Times New Roman" w:eastAsia="宋体" w:cs="Times New Roman"/>
                      <w:color w:val="auto"/>
                      <w:kern w:val="2"/>
                      <w:sz w:val="21"/>
                      <w:szCs w:val="21"/>
                      <w:lang w:val="en-US" w:eastAsia="zh-CN" w:bidi="ar-SA"/>
                    </w:rPr>
                    <w:t>新增源等量或倍量替代</w:t>
                  </w:r>
                </w:p>
                <w:p w14:paraId="0DAB143C">
                  <w:pPr>
                    <w:pStyle w:val="83"/>
                    <w:keepNext w:val="0"/>
                    <w:keepLines w:val="0"/>
                    <w:pageBreakBefore w:val="0"/>
                    <w:widowControl/>
                    <w:shd w:val="clear" w:color="auto" w:fill="FFFFFF"/>
                    <w:kinsoku/>
                    <w:wordWrap/>
                    <w:overflowPunct/>
                    <w:topLinePunct w:val="0"/>
                    <w:autoSpaceDE/>
                    <w:autoSpaceDN/>
                    <w:bidi w:val="0"/>
                    <w:adjustRightInd/>
                    <w:snapToGrid/>
                    <w:spacing w:line="240" w:lineRule="exact"/>
                    <w:ind w:firstLine="0" w:firstLineChars="0"/>
                    <w:jc w:val="left"/>
                    <w:textAlignment w:val="auto"/>
                    <w:rPr>
                      <w:rStyle w:val="26"/>
                      <w:rFonts w:hint="default" w:ascii="Times New Roman" w:hAnsi="Times New Roman" w:eastAsia="宋体" w:cs="Times New Roman"/>
                      <w:color w:val="auto"/>
                      <w:kern w:val="2"/>
                      <w:sz w:val="21"/>
                      <w:szCs w:val="21"/>
                      <w:lang w:val="en-US" w:eastAsia="zh-CN" w:bidi="ar-SA"/>
                    </w:rPr>
                  </w:pPr>
                  <w:r>
                    <w:rPr>
                      <w:rStyle w:val="26"/>
                      <w:rFonts w:hint="default" w:ascii="Times New Roman" w:hAnsi="Times New Roman" w:eastAsia="宋体" w:cs="Times New Roman"/>
                      <w:color w:val="auto"/>
                      <w:kern w:val="2"/>
                      <w:sz w:val="21"/>
                      <w:szCs w:val="21"/>
                      <w:lang w:val="en-US" w:eastAsia="zh-CN" w:bidi="ar-SA"/>
                    </w:rPr>
                    <w:t>执行达州市工业重点管控单元总体要求</w:t>
                  </w:r>
                </w:p>
                <w:p w14:paraId="1FCC3598">
                  <w:pPr>
                    <w:pStyle w:val="83"/>
                    <w:keepNext w:val="0"/>
                    <w:keepLines w:val="0"/>
                    <w:pageBreakBefore w:val="0"/>
                    <w:widowControl/>
                    <w:shd w:val="clear" w:color="auto" w:fill="FFFFFF"/>
                    <w:kinsoku/>
                    <w:wordWrap/>
                    <w:overflowPunct/>
                    <w:topLinePunct w:val="0"/>
                    <w:autoSpaceDE/>
                    <w:autoSpaceDN/>
                    <w:bidi w:val="0"/>
                    <w:adjustRightInd/>
                    <w:snapToGrid/>
                    <w:spacing w:line="240" w:lineRule="exact"/>
                    <w:ind w:firstLine="0" w:firstLineChars="0"/>
                    <w:jc w:val="left"/>
                    <w:textAlignment w:val="auto"/>
                    <w:rPr>
                      <w:rStyle w:val="26"/>
                      <w:rFonts w:hint="default" w:ascii="Times New Roman" w:hAnsi="Times New Roman" w:eastAsia="宋体" w:cs="Times New Roman"/>
                      <w:color w:val="auto"/>
                      <w:kern w:val="2"/>
                      <w:sz w:val="21"/>
                      <w:szCs w:val="21"/>
                      <w:lang w:val="en-US" w:eastAsia="zh-CN" w:bidi="ar-SA"/>
                    </w:rPr>
                  </w:pPr>
                  <w:r>
                    <w:rPr>
                      <w:rStyle w:val="26"/>
                      <w:rFonts w:hint="default" w:ascii="Times New Roman" w:hAnsi="Times New Roman" w:eastAsia="宋体" w:cs="Times New Roman"/>
                      <w:color w:val="auto"/>
                      <w:kern w:val="2"/>
                      <w:sz w:val="21"/>
                      <w:szCs w:val="21"/>
                      <w:lang w:val="en-US" w:eastAsia="zh-CN" w:bidi="ar-SA"/>
                    </w:rPr>
                    <w:t>新增源排放标准限值</w:t>
                  </w:r>
                </w:p>
                <w:p w14:paraId="0863C67E">
                  <w:pPr>
                    <w:pStyle w:val="83"/>
                    <w:keepNext w:val="0"/>
                    <w:keepLines w:val="0"/>
                    <w:pageBreakBefore w:val="0"/>
                    <w:widowControl/>
                    <w:shd w:val="clear" w:color="auto" w:fill="FFFFFF"/>
                    <w:kinsoku/>
                    <w:wordWrap/>
                    <w:overflowPunct/>
                    <w:topLinePunct w:val="0"/>
                    <w:autoSpaceDE/>
                    <w:autoSpaceDN/>
                    <w:bidi w:val="0"/>
                    <w:adjustRightInd/>
                    <w:snapToGrid/>
                    <w:spacing w:line="240" w:lineRule="exact"/>
                    <w:ind w:firstLine="0" w:firstLineChars="0"/>
                    <w:jc w:val="left"/>
                    <w:textAlignment w:val="auto"/>
                    <w:rPr>
                      <w:rStyle w:val="26"/>
                      <w:rFonts w:hint="default" w:ascii="Times New Roman" w:hAnsi="Times New Roman" w:eastAsia="宋体" w:cs="Times New Roman"/>
                      <w:color w:val="auto"/>
                      <w:kern w:val="2"/>
                      <w:sz w:val="21"/>
                      <w:szCs w:val="21"/>
                      <w:lang w:val="en-US" w:eastAsia="zh-CN" w:bidi="ar-SA"/>
                    </w:rPr>
                  </w:pPr>
                  <w:r>
                    <w:rPr>
                      <w:rStyle w:val="26"/>
                      <w:rFonts w:hint="default" w:ascii="Times New Roman" w:hAnsi="Times New Roman" w:eastAsia="宋体" w:cs="Times New Roman"/>
                      <w:color w:val="auto"/>
                      <w:kern w:val="2"/>
                      <w:sz w:val="21"/>
                      <w:szCs w:val="21"/>
                      <w:lang w:val="en-US" w:eastAsia="zh-CN" w:bidi="ar-SA"/>
                    </w:rPr>
                    <w:t>同达州市工业重点总体准入要求</w:t>
                  </w:r>
                </w:p>
                <w:p w14:paraId="57476747">
                  <w:pPr>
                    <w:pStyle w:val="83"/>
                    <w:keepNext w:val="0"/>
                    <w:keepLines w:val="0"/>
                    <w:pageBreakBefore w:val="0"/>
                    <w:widowControl/>
                    <w:shd w:val="clear" w:color="auto" w:fill="FFFFFF"/>
                    <w:kinsoku/>
                    <w:wordWrap/>
                    <w:overflowPunct/>
                    <w:topLinePunct w:val="0"/>
                    <w:autoSpaceDE/>
                    <w:autoSpaceDN/>
                    <w:bidi w:val="0"/>
                    <w:adjustRightInd/>
                    <w:snapToGrid/>
                    <w:spacing w:line="240" w:lineRule="exact"/>
                    <w:ind w:firstLine="0" w:firstLineChars="0"/>
                    <w:jc w:val="left"/>
                    <w:textAlignment w:val="auto"/>
                    <w:rPr>
                      <w:rStyle w:val="26"/>
                      <w:rFonts w:hint="default" w:ascii="Times New Roman" w:hAnsi="Times New Roman" w:eastAsia="宋体" w:cs="Times New Roman"/>
                      <w:color w:val="auto"/>
                      <w:kern w:val="2"/>
                      <w:sz w:val="21"/>
                      <w:szCs w:val="21"/>
                      <w:lang w:val="en-US" w:eastAsia="zh-CN" w:bidi="ar-SA"/>
                    </w:rPr>
                  </w:pPr>
                  <w:r>
                    <w:rPr>
                      <w:rStyle w:val="26"/>
                      <w:rFonts w:hint="default" w:ascii="Times New Roman" w:hAnsi="Times New Roman" w:eastAsia="宋体" w:cs="Times New Roman"/>
                      <w:color w:val="auto"/>
                      <w:kern w:val="2"/>
                      <w:sz w:val="21"/>
                      <w:szCs w:val="21"/>
                      <w:lang w:val="en-US" w:eastAsia="zh-CN" w:bidi="ar-SA"/>
                    </w:rPr>
                    <w:t>污染物排放绩效水平准入要求</w:t>
                  </w:r>
                </w:p>
                <w:p w14:paraId="78843654">
                  <w:pPr>
                    <w:pStyle w:val="83"/>
                    <w:keepNext w:val="0"/>
                    <w:keepLines w:val="0"/>
                    <w:pageBreakBefore w:val="0"/>
                    <w:widowControl/>
                    <w:shd w:val="clear" w:color="auto" w:fill="FFFFFF"/>
                    <w:kinsoku/>
                    <w:wordWrap/>
                    <w:overflowPunct/>
                    <w:topLinePunct w:val="0"/>
                    <w:autoSpaceDE/>
                    <w:autoSpaceDN/>
                    <w:bidi w:val="0"/>
                    <w:adjustRightInd/>
                    <w:snapToGrid/>
                    <w:spacing w:line="240" w:lineRule="exact"/>
                    <w:ind w:firstLine="0" w:firstLineChars="0"/>
                    <w:jc w:val="left"/>
                    <w:textAlignment w:val="auto"/>
                    <w:rPr>
                      <w:rStyle w:val="26"/>
                      <w:rFonts w:hint="default" w:ascii="Times New Roman" w:hAnsi="Times New Roman" w:eastAsia="宋体" w:cs="Times New Roman"/>
                      <w:color w:val="auto"/>
                      <w:kern w:val="2"/>
                      <w:sz w:val="21"/>
                      <w:szCs w:val="21"/>
                      <w:lang w:val="en-US" w:eastAsia="zh-CN" w:bidi="ar-SA"/>
                    </w:rPr>
                  </w:pPr>
                  <w:r>
                    <w:rPr>
                      <w:rStyle w:val="26"/>
                      <w:rFonts w:hint="default" w:ascii="Times New Roman" w:hAnsi="Times New Roman" w:eastAsia="宋体" w:cs="Times New Roman"/>
                      <w:color w:val="auto"/>
                      <w:kern w:val="2"/>
                      <w:sz w:val="21"/>
                      <w:szCs w:val="21"/>
                      <w:lang w:val="en-US" w:eastAsia="zh-CN" w:bidi="ar-SA"/>
                    </w:rPr>
                    <w:t>执行达州市工业重点管控单元总体要求</w:t>
                  </w:r>
                </w:p>
                <w:p w14:paraId="1624C6A4">
                  <w:pPr>
                    <w:pStyle w:val="83"/>
                    <w:keepNext w:val="0"/>
                    <w:keepLines w:val="0"/>
                    <w:pageBreakBefore w:val="0"/>
                    <w:widowControl/>
                    <w:shd w:val="clear" w:color="auto" w:fill="FFFFFF"/>
                    <w:kinsoku/>
                    <w:wordWrap/>
                    <w:overflowPunct/>
                    <w:topLinePunct w:val="0"/>
                    <w:autoSpaceDE/>
                    <w:autoSpaceDN/>
                    <w:bidi w:val="0"/>
                    <w:adjustRightInd/>
                    <w:snapToGrid/>
                    <w:spacing w:line="240" w:lineRule="exact"/>
                    <w:ind w:firstLine="0" w:firstLineChars="0"/>
                    <w:jc w:val="left"/>
                    <w:textAlignment w:val="auto"/>
                    <w:rPr>
                      <w:rFonts w:hint="default" w:ascii="Times New Roman" w:hAnsi="Times New Roman" w:eastAsia="宋体" w:cs="Times New Roman"/>
                      <w:color w:val="auto"/>
                      <w:kern w:val="2"/>
                      <w:sz w:val="21"/>
                      <w:szCs w:val="21"/>
                      <w:lang w:val="en-US" w:eastAsia="zh-CN" w:bidi="ar-SA"/>
                    </w:rPr>
                  </w:pPr>
                  <w:r>
                    <w:rPr>
                      <w:rStyle w:val="26"/>
                      <w:rFonts w:hint="default" w:ascii="Times New Roman" w:hAnsi="Times New Roman" w:eastAsia="宋体" w:cs="Times New Roman"/>
                      <w:color w:val="auto"/>
                      <w:kern w:val="2"/>
                      <w:sz w:val="21"/>
                      <w:szCs w:val="21"/>
                      <w:lang w:val="en-US" w:eastAsia="zh-CN" w:bidi="ar-SA"/>
                    </w:rPr>
                    <w:t>其他污染物排放管控要求/</w:t>
                  </w:r>
                </w:p>
              </w:tc>
              <w:tc>
                <w:tcPr>
                  <w:tcW w:w="879" w:type="pct"/>
                  <w:tcBorders>
                    <w:tl2br w:val="nil"/>
                    <w:tr2bl w:val="nil"/>
                  </w:tcBorders>
                  <w:vAlign w:val="center"/>
                </w:tcPr>
                <w:p w14:paraId="21942774">
                  <w:pPr>
                    <w:pStyle w:val="83"/>
                    <w:keepNext w:val="0"/>
                    <w:keepLines w:val="0"/>
                    <w:pageBreakBefore w:val="0"/>
                    <w:widowControl/>
                    <w:kinsoku/>
                    <w:wordWrap/>
                    <w:overflowPunct/>
                    <w:topLinePunct w:val="0"/>
                    <w:autoSpaceDE/>
                    <w:autoSpaceDN/>
                    <w:bidi w:val="0"/>
                    <w:adjustRightInd/>
                    <w:snapToGrid/>
                    <w:spacing w:line="240" w:lineRule="exact"/>
                    <w:ind w:firstLine="0" w:firstLineChars="0"/>
                    <w:jc w:val="left"/>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本项目运营期石材加工粉尘经厂房阻隔和湿法作业后无组织排放；食堂油烟经自带油烟净化功能的抽油烟机处理后外排。生活污水通过定期拉运的方式进入东岳场镇污水处理厂处理后</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rPr>
                    <w:t>生产废水经沉淀后全部循环使用，不外排，沉淀池</w:t>
                  </w:r>
                  <w:r>
                    <w:rPr>
                      <w:rFonts w:hint="default" w:ascii="Times New Roman" w:hAnsi="Times New Roman" w:eastAsia="宋体" w:cs="Times New Roman"/>
                      <w:color w:val="auto"/>
                      <w:sz w:val="21"/>
                      <w:szCs w:val="21"/>
                      <w:lang w:eastAsia="zh-CN"/>
                    </w:rPr>
                    <w:t>泥沙</w:t>
                  </w:r>
                  <w:r>
                    <w:rPr>
                      <w:rFonts w:hint="default" w:ascii="Times New Roman" w:hAnsi="Times New Roman" w:eastAsia="宋体" w:cs="Times New Roman"/>
                      <w:color w:val="auto"/>
                      <w:sz w:val="21"/>
                      <w:szCs w:val="21"/>
                    </w:rPr>
                    <w:t>经板框压滤机压成泥饼外售</w:t>
                  </w:r>
                  <w:r>
                    <w:rPr>
                      <w:rFonts w:hint="default" w:ascii="Times New Roman" w:hAnsi="Times New Roman" w:eastAsia="宋体" w:cs="Times New Roman"/>
                      <w:color w:val="auto"/>
                      <w:sz w:val="21"/>
                      <w:szCs w:val="21"/>
                      <w:lang w:eastAsia="zh-CN"/>
                    </w:rPr>
                    <w:t>。</w:t>
                  </w:r>
                </w:p>
                <w:p w14:paraId="28D3352D">
                  <w:pPr>
                    <w:pStyle w:val="83"/>
                    <w:keepNext w:val="0"/>
                    <w:keepLines w:val="0"/>
                    <w:pageBreakBefore w:val="0"/>
                    <w:widowControl/>
                    <w:kinsoku/>
                    <w:wordWrap/>
                    <w:overflowPunct/>
                    <w:topLinePunct w:val="0"/>
                    <w:autoSpaceDE/>
                    <w:autoSpaceDN/>
                    <w:bidi w:val="0"/>
                    <w:adjustRightInd/>
                    <w:snapToGrid/>
                    <w:spacing w:line="240" w:lineRule="exact"/>
                    <w:ind w:firstLine="0" w:firstLineChars="0"/>
                    <w:jc w:val="left"/>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项目位于通川区东岳镇，上一年度（2023年）通川区属于空气质量达标区。本项目营运期排放的废气污染物为颗粒物，可不实施现役源倍量削减替代。</w:t>
                  </w:r>
                </w:p>
              </w:tc>
              <w:tc>
                <w:tcPr>
                  <w:tcW w:w="193" w:type="pct"/>
                  <w:tcBorders>
                    <w:tl2br w:val="nil"/>
                    <w:tr2bl w:val="nil"/>
                  </w:tcBorders>
                  <w:vAlign w:val="center"/>
                </w:tcPr>
                <w:p w14:paraId="4842B1F8">
                  <w:pPr>
                    <w:pStyle w:val="83"/>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r w14:paraId="086F0F9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43" w:hRule="atLeast"/>
              </w:trPr>
              <w:tc>
                <w:tcPr>
                  <w:tcW w:w="178" w:type="pct"/>
                  <w:vMerge w:val="continue"/>
                  <w:tcBorders>
                    <w:tl2br w:val="nil"/>
                    <w:tr2bl w:val="nil"/>
                  </w:tcBorders>
                  <w:vAlign w:val="center"/>
                </w:tcPr>
                <w:p w14:paraId="225A9763">
                  <w:pPr>
                    <w:pStyle w:val="83"/>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ZH51172230001</w:t>
                  </w:r>
                </w:p>
              </w:tc>
              <w:tc>
                <w:tcPr>
                  <w:tcW w:w="297" w:type="pct"/>
                  <w:vMerge w:val="continue"/>
                  <w:tcBorders>
                    <w:tl2br w:val="nil"/>
                    <w:tr2bl w:val="nil"/>
                  </w:tcBorders>
                  <w:vAlign w:val="center"/>
                </w:tcPr>
                <w:p w14:paraId="7BDA399D">
                  <w:pPr>
                    <w:pStyle w:val="83"/>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宣汉县一般管控单元</w:t>
                  </w:r>
                </w:p>
              </w:tc>
              <w:tc>
                <w:tcPr>
                  <w:tcW w:w="2040" w:type="pct"/>
                  <w:vMerge w:val="continue"/>
                  <w:tcBorders>
                    <w:tl2br w:val="nil"/>
                    <w:tr2bl w:val="nil"/>
                  </w:tcBorders>
                  <w:vAlign w:val="center"/>
                </w:tcPr>
                <w:p w14:paraId="18C646A3">
                  <w:pPr>
                    <w:pStyle w:val="83"/>
                    <w:keepNext w:val="0"/>
                    <w:keepLines w:val="0"/>
                    <w:pageBreakBefore w:val="0"/>
                    <w:kinsoku/>
                    <w:wordWrap/>
                    <w:overflowPunct/>
                    <w:topLinePunct w:val="0"/>
                    <w:autoSpaceDE/>
                    <w:autoSpaceDN/>
                    <w:bidi w:val="0"/>
                    <w:adjustRightInd/>
                    <w:snapToGrid/>
                    <w:spacing w:line="240" w:lineRule="exact"/>
                    <w:ind w:firstLine="0" w:firstLineChars="0"/>
                    <w:jc w:val="left"/>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空间布局约束：</w:t>
                  </w:r>
                </w:p>
                <w:p w14:paraId="24E42BA9">
                  <w:pPr>
                    <w:pStyle w:val="83"/>
                    <w:keepNext w:val="0"/>
                    <w:keepLines w:val="0"/>
                    <w:pageBreakBefore w:val="0"/>
                    <w:kinsoku/>
                    <w:wordWrap/>
                    <w:overflowPunct/>
                    <w:topLinePunct w:val="0"/>
                    <w:autoSpaceDE/>
                    <w:autoSpaceDN/>
                    <w:bidi w:val="0"/>
                    <w:adjustRightInd/>
                    <w:snapToGrid/>
                    <w:spacing w:line="240" w:lineRule="exact"/>
                    <w:ind w:firstLine="0" w:firstLineChars="0"/>
                    <w:jc w:val="left"/>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禁止开发建设活动的要求</w:t>
                  </w:r>
                </w:p>
                <w:p w14:paraId="0AFAD786">
                  <w:pPr>
                    <w:pStyle w:val="83"/>
                    <w:keepNext w:val="0"/>
                    <w:keepLines w:val="0"/>
                    <w:pageBreakBefore w:val="0"/>
                    <w:kinsoku/>
                    <w:wordWrap/>
                    <w:overflowPunct/>
                    <w:topLinePunct w:val="0"/>
                    <w:autoSpaceDE/>
                    <w:autoSpaceDN/>
                    <w:bidi w:val="0"/>
                    <w:adjustRightInd/>
                    <w:snapToGrid/>
                    <w:spacing w:line="240" w:lineRule="exact"/>
                    <w:ind w:firstLine="0" w:firstLineChars="0"/>
                    <w:jc w:val="left"/>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-禁止在长江干支流1公里范围内新建、扩建化工园区和化工项目。</w:t>
                  </w:r>
                </w:p>
                <w:p w14:paraId="5883AF27">
                  <w:pPr>
                    <w:pStyle w:val="83"/>
                    <w:keepNext w:val="0"/>
                    <w:keepLines w:val="0"/>
                    <w:pageBreakBefore w:val="0"/>
                    <w:kinsoku/>
                    <w:wordWrap/>
                    <w:overflowPunct/>
                    <w:topLinePunct w:val="0"/>
                    <w:autoSpaceDE/>
                    <w:autoSpaceDN/>
                    <w:bidi w:val="0"/>
                    <w:adjustRightInd/>
                    <w:snapToGrid/>
                    <w:spacing w:line="240" w:lineRule="exact"/>
                    <w:ind w:firstLine="0" w:firstLineChars="0"/>
                    <w:jc w:val="left"/>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-禁止在法律法规规定的禁采区内新建矿山；禁止土法采、选、冶严重污染环境的矿产资源。</w:t>
                  </w:r>
                </w:p>
                <w:p w14:paraId="3A47DA62">
                  <w:pPr>
                    <w:pStyle w:val="83"/>
                    <w:keepNext w:val="0"/>
                    <w:keepLines w:val="0"/>
                    <w:pageBreakBefore w:val="0"/>
                    <w:kinsoku/>
                    <w:wordWrap/>
                    <w:overflowPunct/>
                    <w:topLinePunct w:val="0"/>
                    <w:autoSpaceDE/>
                    <w:autoSpaceDN/>
                    <w:bidi w:val="0"/>
                    <w:adjustRightInd/>
                    <w:snapToGrid/>
                    <w:spacing w:line="240" w:lineRule="exact"/>
                    <w:ind w:firstLine="0" w:firstLineChars="0"/>
                    <w:jc w:val="left"/>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-涉及永久基本农田的区域，除法律规定的重点建设项目选址确实无法避让外，其他任何建设不得占用。</w:t>
                  </w:r>
                </w:p>
                <w:p w14:paraId="206AA786">
                  <w:pPr>
                    <w:pStyle w:val="83"/>
                    <w:keepNext w:val="0"/>
                    <w:keepLines w:val="0"/>
                    <w:pageBreakBefore w:val="0"/>
                    <w:kinsoku/>
                    <w:wordWrap/>
                    <w:overflowPunct/>
                    <w:topLinePunct w:val="0"/>
                    <w:autoSpaceDE/>
                    <w:autoSpaceDN/>
                    <w:bidi w:val="0"/>
                    <w:adjustRightInd/>
                    <w:snapToGrid/>
                    <w:spacing w:line="240" w:lineRule="exact"/>
                    <w:ind w:firstLine="0" w:firstLineChars="0"/>
                    <w:jc w:val="left"/>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-禁止在长江流域河湖管理范围内倾倒、填埋、堆放、弃置、处理固体废物。</w:t>
                  </w:r>
                </w:p>
                <w:p w14:paraId="2F7E1EEE">
                  <w:pPr>
                    <w:pStyle w:val="83"/>
                    <w:keepNext w:val="0"/>
                    <w:keepLines w:val="0"/>
                    <w:pageBreakBefore w:val="0"/>
                    <w:kinsoku/>
                    <w:wordWrap/>
                    <w:overflowPunct/>
                    <w:topLinePunct w:val="0"/>
                    <w:autoSpaceDE/>
                    <w:autoSpaceDN/>
                    <w:bidi w:val="0"/>
                    <w:adjustRightInd/>
                    <w:snapToGrid/>
                    <w:spacing w:line="240" w:lineRule="exact"/>
                    <w:ind w:firstLine="0" w:firstLineChars="0"/>
                    <w:jc w:val="left"/>
                    <w:textAlignment w:val="auto"/>
                    <w:rPr>
                      <w:rFonts w:hint="default" w:ascii="Times New Roman" w:hAnsi="Times New Roman" w:eastAsia="宋体" w:cs="Times New Roman"/>
                      <w:color w:val="auto"/>
                      <w:kern w:val="0"/>
                      <w:sz w:val="21"/>
                      <w:szCs w:val="21"/>
                    </w:rPr>
                  </w:pPr>
                </w:p>
                <w:p w14:paraId="73771E63">
                  <w:pPr>
                    <w:pStyle w:val="83"/>
                    <w:keepNext w:val="0"/>
                    <w:keepLines w:val="0"/>
                    <w:pageBreakBefore w:val="0"/>
                    <w:kinsoku/>
                    <w:wordWrap/>
                    <w:overflowPunct/>
                    <w:topLinePunct w:val="0"/>
                    <w:autoSpaceDE/>
                    <w:autoSpaceDN/>
                    <w:bidi w:val="0"/>
                    <w:adjustRightInd/>
                    <w:snapToGrid/>
                    <w:spacing w:line="240" w:lineRule="exact"/>
                    <w:ind w:firstLine="0" w:firstLineChars="0"/>
                    <w:jc w:val="left"/>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限制开发建设活动的要求</w:t>
                  </w:r>
                </w:p>
                <w:p w14:paraId="1669F9F6">
                  <w:pPr>
                    <w:pStyle w:val="83"/>
                    <w:keepNext w:val="0"/>
                    <w:keepLines w:val="0"/>
                    <w:pageBreakBefore w:val="0"/>
                    <w:kinsoku/>
                    <w:wordWrap/>
                    <w:overflowPunct/>
                    <w:topLinePunct w:val="0"/>
                    <w:autoSpaceDE/>
                    <w:autoSpaceDN/>
                    <w:bidi w:val="0"/>
                    <w:adjustRightInd/>
                    <w:snapToGrid/>
                    <w:spacing w:line="240" w:lineRule="exact"/>
                    <w:ind w:firstLine="0" w:firstLineChars="0"/>
                    <w:jc w:val="left"/>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-按照相关要求严控水泥新增产能。</w:t>
                  </w:r>
                </w:p>
                <w:p w14:paraId="138BBE22">
                  <w:pPr>
                    <w:pStyle w:val="83"/>
                    <w:keepNext w:val="0"/>
                    <w:keepLines w:val="0"/>
                    <w:pageBreakBefore w:val="0"/>
                    <w:kinsoku/>
                    <w:wordWrap/>
                    <w:overflowPunct/>
                    <w:topLinePunct w:val="0"/>
                    <w:autoSpaceDE/>
                    <w:autoSpaceDN/>
                    <w:bidi w:val="0"/>
                    <w:adjustRightInd/>
                    <w:snapToGrid/>
                    <w:spacing w:line="240" w:lineRule="exact"/>
                    <w:ind w:firstLine="0" w:firstLineChars="0"/>
                    <w:jc w:val="left"/>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涉及法定保护地，严格按照国家及地方法律法规、管理办法等相关要求进行控制。配套旅游、基础设施等建设项目，在符合规划和相关保护要求的前提下，应实施生态避让、减缓影响及生态恢复措施。</w:t>
                  </w:r>
                </w:p>
                <w:p w14:paraId="78F027B0">
                  <w:pPr>
                    <w:pStyle w:val="83"/>
                    <w:keepNext w:val="0"/>
                    <w:keepLines w:val="0"/>
                    <w:pageBreakBefore w:val="0"/>
                    <w:kinsoku/>
                    <w:wordWrap/>
                    <w:overflowPunct/>
                    <w:topLinePunct w:val="0"/>
                    <w:autoSpaceDE/>
                    <w:autoSpaceDN/>
                    <w:bidi w:val="0"/>
                    <w:adjustRightInd/>
                    <w:snapToGrid/>
                    <w:spacing w:line="240" w:lineRule="exact"/>
                    <w:ind w:firstLine="0" w:firstLineChars="0"/>
                    <w:jc w:val="left"/>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按照相关要求严控水泥新增产能。</w:t>
                  </w:r>
                </w:p>
                <w:p w14:paraId="1504CCC2">
                  <w:pPr>
                    <w:pStyle w:val="83"/>
                    <w:keepNext w:val="0"/>
                    <w:keepLines w:val="0"/>
                    <w:pageBreakBefore w:val="0"/>
                    <w:kinsoku/>
                    <w:wordWrap/>
                    <w:overflowPunct/>
                    <w:topLinePunct w:val="0"/>
                    <w:autoSpaceDE/>
                    <w:autoSpaceDN/>
                    <w:bidi w:val="0"/>
                    <w:adjustRightInd/>
                    <w:snapToGrid/>
                    <w:spacing w:line="240" w:lineRule="exact"/>
                    <w:ind w:firstLine="0" w:firstLineChars="0"/>
                    <w:jc w:val="left"/>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禁止在长江干流岸线三公里范围内和重要支流岸线一公里范围内新建、改建、扩建尾矿库；但是以提升安全、生态环境保护水平为目的的改建除外。</w:t>
                  </w:r>
                </w:p>
                <w:p w14:paraId="31B89E81">
                  <w:pPr>
                    <w:pStyle w:val="83"/>
                    <w:keepNext w:val="0"/>
                    <w:keepLines w:val="0"/>
                    <w:pageBreakBefore w:val="0"/>
                    <w:kinsoku/>
                    <w:wordWrap/>
                    <w:overflowPunct/>
                    <w:topLinePunct w:val="0"/>
                    <w:autoSpaceDE/>
                    <w:autoSpaceDN/>
                    <w:bidi w:val="0"/>
                    <w:adjustRightInd/>
                    <w:snapToGrid/>
                    <w:spacing w:line="240" w:lineRule="exact"/>
                    <w:ind w:firstLine="0" w:firstLineChars="0"/>
                    <w:jc w:val="left"/>
                    <w:textAlignment w:val="auto"/>
                    <w:rPr>
                      <w:rFonts w:hint="default" w:ascii="Times New Roman" w:hAnsi="Times New Roman" w:eastAsia="宋体" w:cs="Times New Roman"/>
                      <w:color w:val="auto"/>
                      <w:kern w:val="0"/>
                      <w:sz w:val="21"/>
                      <w:szCs w:val="21"/>
                    </w:rPr>
                  </w:pPr>
                </w:p>
                <w:p w14:paraId="20F9F3CE">
                  <w:pPr>
                    <w:pStyle w:val="83"/>
                    <w:keepNext w:val="0"/>
                    <w:keepLines w:val="0"/>
                    <w:pageBreakBefore w:val="0"/>
                    <w:kinsoku/>
                    <w:wordWrap/>
                    <w:overflowPunct/>
                    <w:topLinePunct w:val="0"/>
                    <w:autoSpaceDE/>
                    <w:autoSpaceDN/>
                    <w:bidi w:val="0"/>
                    <w:adjustRightInd/>
                    <w:snapToGrid/>
                    <w:spacing w:line="240" w:lineRule="exact"/>
                    <w:ind w:firstLine="0" w:firstLineChars="0"/>
                    <w:jc w:val="left"/>
                    <w:textAlignment w:val="auto"/>
                    <w:rPr>
                      <w:rFonts w:hint="default" w:ascii="Times New Roman" w:hAnsi="Times New Roman" w:eastAsia="宋体" w:cs="Times New Roman"/>
                      <w:color w:val="auto"/>
                      <w:kern w:val="0"/>
                      <w:sz w:val="21"/>
                      <w:szCs w:val="21"/>
                    </w:rPr>
                  </w:pPr>
                </w:p>
                <w:p w14:paraId="3DE4025F">
                  <w:pPr>
                    <w:pStyle w:val="83"/>
                    <w:keepNext w:val="0"/>
                    <w:keepLines w:val="0"/>
                    <w:pageBreakBefore w:val="0"/>
                    <w:kinsoku/>
                    <w:wordWrap/>
                    <w:overflowPunct/>
                    <w:topLinePunct w:val="0"/>
                    <w:autoSpaceDE/>
                    <w:autoSpaceDN/>
                    <w:bidi w:val="0"/>
                    <w:adjustRightInd/>
                    <w:snapToGrid/>
                    <w:spacing w:line="240" w:lineRule="exact"/>
                    <w:ind w:firstLine="0" w:firstLineChars="0"/>
                    <w:jc w:val="left"/>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不符合空间布局要求活动的退出要求</w:t>
                  </w:r>
                </w:p>
                <w:p w14:paraId="12E6507C">
                  <w:pPr>
                    <w:pStyle w:val="83"/>
                    <w:keepNext w:val="0"/>
                    <w:keepLines w:val="0"/>
                    <w:pageBreakBefore w:val="0"/>
                    <w:kinsoku/>
                    <w:wordWrap/>
                    <w:overflowPunct/>
                    <w:topLinePunct w:val="0"/>
                    <w:autoSpaceDE/>
                    <w:autoSpaceDN/>
                    <w:bidi w:val="0"/>
                    <w:adjustRightInd/>
                    <w:snapToGrid/>
                    <w:spacing w:line="240" w:lineRule="exact"/>
                    <w:ind w:firstLine="0" w:firstLineChars="0"/>
                    <w:jc w:val="left"/>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针对现有水泥企业，强化污染治理和污染物减排，依法依规整治或搬迁。</w:t>
                  </w:r>
                </w:p>
                <w:p w14:paraId="15DC832E">
                  <w:pPr>
                    <w:pStyle w:val="83"/>
                    <w:keepNext w:val="0"/>
                    <w:keepLines w:val="0"/>
                    <w:pageBreakBefore w:val="0"/>
                    <w:kinsoku/>
                    <w:wordWrap/>
                    <w:overflowPunct/>
                    <w:topLinePunct w:val="0"/>
                    <w:autoSpaceDE/>
                    <w:autoSpaceDN/>
                    <w:bidi w:val="0"/>
                    <w:adjustRightInd/>
                    <w:snapToGrid/>
                    <w:spacing w:line="240" w:lineRule="exact"/>
                    <w:ind w:firstLine="0" w:firstLineChars="0"/>
                    <w:jc w:val="left"/>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全面取缔禁养区内规模化畜禽养殖场。</w:t>
                  </w:r>
                </w:p>
                <w:p w14:paraId="017844CC">
                  <w:pPr>
                    <w:pStyle w:val="83"/>
                    <w:keepNext w:val="0"/>
                    <w:keepLines w:val="0"/>
                    <w:pageBreakBefore w:val="0"/>
                    <w:kinsoku/>
                    <w:wordWrap/>
                    <w:overflowPunct/>
                    <w:topLinePunct w:val="0"/>
                    <w:autoSpaceDE/>
                    <w:autoSpaceDN/>
                    <w:bidi w:val="0"/>
                    <w:adjustRightInd/>
                    <w:snapToGrid/>
                    <w:spacing w:line="240" w:lineRule="exact"/>
                    <w:ind w:firstLine="0" w:firstLineChars="0"/>
                    <w:jc w:val="left"/>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2025年基本完成全域内</w:t>
                  </w:r>
                  <w:r>
                    <w:rPr>
                      <w:rFonts w:hint="default" w:ascii="Times New Roman" w:hAnsi="Times New Roman" w:eastAsia="宋体" w:cs="Times New Roman"/>
                      <w:color w:val="auto"/>
                      <w:kern w:val="0"/>
                      <w:sz w:val="21"/>
                      <w:szCs w:val="21"/>
                      <w:lang w:eastAsia="zh-CN"/>
                    </w:rPr>
                    <w:t>“</w:t>
                  </w:r>
                  <w:r>
                    <w:rPr>
                      <w:rFonts w:hint="default" w:ascii="Times New Roman" w:hAnsi="Times New Roman" w:eastAsia="宋体" w:cs="Times New Roman"/>
                      <w:color w:val="auto"/>
                      <w:kern w:val="0"/>
                      <w:sz w:val="21"/>
                      <w:szCs w:val="21"/>
                    </w:rPr>
                    <w:t>散乱污</w:t>
                  </w:r>
                  <w:r>
                    <w:rPr>
                      <w:rFonts w:hint="default" w:ascii="Times New Roman" w:hAnsi="Times New Roman" w:eastAsia="宋体" w:cs="Times New Roman"/>
                      <w:color w:val="auto"/>
                      <w:kern w:val="0"/>
                      <w:sz w:val="21"/>
                      <w:szCs w:val="21"/>
                      <w:lang w:eastAsia="zh-CN"/>
                    </w:rPr>
                    <w:t>”</w:t>
                  </w:r>
                  <w:r>
                    <w:rPr>
                      <w:rFonts w:hint="default" w:ascii="Times New Roman" w:hAnsi="Times New Roman" w:eastAsia="宋体" w:cs="Times New Roman"/>
                      <w:color w:val="auto"/>
                      <w:kern w:val="0"/>
                      <w:sz w:val="21"/>
                      <w:szCs w:val="21"/>
                    </w:rPr>
                    <w:t>企业整治工作。</w:t>
                  </w:r>
                </w:p>
                <w:p w14:paraId="4843C17E">
                  <w:pPr>
                    <w:pStyle w:val="83"/>
                    <w:keepNext w:val="0"/>
                    <w:keepLines w:val="0"/>
                    <w:pageBreakBefore w:val="0"/>
                    <w:kinsoku/>
                    <w:wordWrap/>
                    <w:overflowPunct/>
                    <w:topLinePunct w:val="0"/>
                    <w:autoSpaceDE/>
                    <w:autoSpaceDN/>
                    <w:bidi w:val="0"/>
                    <w:adjustRightInd/>
                    <w:snapToGrid/>
                    <w:spacing w:line="240" w:lineRule="exact"/>
                    <w:ind w:firstLine="0" w:firstLineChars="0"/>
                    <w:jc w:val="left"/>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在全市范围深入开展集中整治</w:t>
                  </w:r>
                  <w:r>
                    <w:rPr>
                      <w:rFonts w:hint="default" w:ascii="Times New Roman" w:hAnsi="Times New Roman" w:eastAsia="宋体" w:cs="Times New Roman"/>
                      <w:color w:val="auto"/>
                      <w:kern w:val="0"/>
                      <w:sz w:val="21"/>
                      <w:szCs w:val="21"/>
                      <w:lang w:eastAsia="zh-CN"/>
                    </w:rPr>
                    <w:t>“</w:t>
                  </w:r>
                  <w:r>
                    <w:rPr>
                      <w:rFonts w:hint="default" w:ascii="Times New Roman" w:hAnsi="Times New Roman" w:eastAsia="宋体" w:cs="Times New Roman"/>
                      <w:color w:val="auto"/>
                      <w:kern w:val="0"/>
                      <w:sz w:val="21"/>
                      <w:szCs w:val="21"/>
                    </w:rPr>
                    <w:t>散乱污</w:t>
                  </w:r>
                  <w:r>
                    <w:rPr>
                      <w:rFonts w:hint="default" w:ascii="Times New Roman" w:hAnsi="Times New Roman" w:eastAsia="宋体" w:cs="Times New Roman"/>
                      <w:color w:val="auto"/>
                      <w:kern w:val="0"/>
                      <w:sz w:val="21"/>
                      <w:szCs w:val="21"/>
                      <w:lang w:eastAsia="zh-CN"/>
                    </w:rPr>
                    <w:t>”</w:t>
                  </w:r>
                  <w:r>
                    <w:rPr>
                      <w:rFonts w:hint="default" w:ascii="Times New Roman" w:hAnsi="Times New Roman" w:eastAsia="宋体" w:cs="Times New Roman"/>
                      <w:color w:val="auto"/>
                      <w:kern w:val="0"/>
                      <w:sz w:val="21"/>
                      <w:szCs w:val="21"/>
                    </w:rPr>
                    <w:t>工业企业，对不符合产业政策和规划布局的，一律责令停产、限期搬迁或关停；</w:t>
                  </w:r>
                </w:p>
                <w:p w14:paraId="50DED642">
                  <w:pPr>
                    <w:pStyle w:val="83"/>
                    <w:keepNext w:val="0"/>
                    <w:keepLines w:val="0"/>
                    <w:pageBreakBefore w:val="0"/>
                    <w:kinsoku/>
                    <w:wordWrap/>
                    <w:overflowPunct/>
                    <w:topLinePunct w:val="0"/>
                    <w:autoSpaceDE/>
                    <w:autoSpaceDN/>
                    <w:bidi w:val="0"/>
                    <w:adjustRightInd/>
                    <w:snapToGrid/>
                    <w:spacing w:line="240" w:lineRule="exact"/>
                    <w:ind w:firstLine="0" w:firstLineChars="0"/>
                    <w:jc w:val="left"/>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其他空间布局约束要求</w:t>
                  </w:r>
                </w:p>
                <w:p w14:paraId="5F471D4C">
                  <w:pPr>
                    <w:pStyle w:val="83"/>
                    <w:keepNext w:val="0"/>
                    <w:keepLines w:val="0"/>
                    <w:pageBreakBefore w:val="0"/>
                    <w:kinsoku/>
                    <w:wordWrap/>
                    <w:overflowPunct/>
                    <w:topLinePunct w:val="0"/>
                    <w:autoSpaceDE/>
                    <w:autoSpaceDN/>
                    <w:bidi w:val="0"/>
                    <w:adjustRightInd/>
                    <w:snapToGrid/>
                    <w:spacing w:line="240" w:lineRule="exact"/>
                    <w:ind w:firstLine="0" w:firstLineChars="0"/>
                    <w:jc w:val="left"/>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暂无</w:t>
                  </w:r>
                </w:p>
                <w:p w14:paraId="69D22B86">
                  <w:pPr>
                    <w:pStyle w:val="83"/>
                    <w:keepNext w:val="0"/>
                    <w:keepLines w:val="0"/>
                    <w:pageBreakBefore w:val="0"/>
                    <w:kinsoku/>
                    <w:wordWrap/>
                    <w:overflowPunct/>
                    <w:topLinePunct w:val="0"/>
                    <w:autoSpaceDE/>
                    <w:autoSpaceDN/>
                    <w:bidi w:val="0"/>
                    <w:adjustRightInd/>
                    <w:snapToGrid/>
                    <w:spacing w:line="240" w:lineRule="exact"/>
                    <w:ind w:firstLine="0" w:firstLineChars="0"/>
                    <w:jc w:val="left"/>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污染物排放管控：</w:t>
                  </w:r>
                </w:p>
                <w:p w14:paraId="6D6E645D">
                  <w:pPr>
                    <w:pStyle w:val="83"/>
                    <w:keepNext w:val="0"/>
                    <w:keepLines w:val="0"/>
                    <w:pageBreakBefore w:val="0"/>
                    <w:kinsoku/>
                    <w:wordWrap/>
                    <w:overflowPunct/>
                    <w:topLinePunct w:val="0"/>
                    <w:autoSpaceDE/>
                    <w:autoSpaceDN/>
                    <w:bidi w:val="0"/>
                    <w:adjustRightInd/>
                    <w:snapToGrid/>
                    <w:spacing w:line="240" w:lineRule="exact"/>
                    <w:ind w:firstLine="0" w:firstLineChars="0"/>
                    <w:jc w:val="left"/>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允许排放量要求</w:t>
                  </w:r>
                </w:p>
                <w:p w14:paraId="2E549F87">
                  <w:pPr>
                    <w:pStyle w:val="83"/>
                    <w:keepNext w:val="0"/>
                    <w:keepLines w:val="0"/>
                    <w:pageBreakBefore w:val="0"/>
                    <w:kinsoku/>
                    <w:wordWrap/>
                    <w:overflowPunct/>
                    <w:topLinePunct w:val="0"/>
                    <w:autoSpaceDE/>
                    <w:autoSpaceDN/>
                    <w:bidi w:val="0"/>
                    <w:adjustRightInd/>
                    <w:snapToGrid/>
                    <w:spacing w:line="240" w:lineRule="exact"/>
                    <w:ind w:firstLine="0" w:firstLineChars="0"/>
                    <w:jc w:val="left"/>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暂无</w:t>
                  </w:r>
                </w:p>
                <w:p w14:paraId="5305C48D">
                  <w:pPr>
                    <w:pStyle w:val="83"/>
                    <w:keepNext w:val="0"/>
                    <w:keepLines w:val="0"/>
                    <w:pageBreakBefore w:val="0"/>
                    <w:kinsoku/>
                    <w:wordWrap/>
                    <w:overflowPunct/>
                    <w:topLinePunct w:val="0"/>
                    <w:autoSpaceDE/>
                    <w:autoSpaceDN/>
                    <w:bidi w:val="0"/>
                    <w:adjustRightInd/>
                    <w:snapToGrid/>
                    <w:spacing w:line="240" w:lineRule="exact"/>
                    <w:ind w:firstLine="0" w:firstLineChars="0"/>
                    <w:jc w:val="left"/>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现有源提标升级改造</w:t>
                  </w:r>
                </w:p>
                <w:p w14:paraId="667B5FFB">
                  <w:pPr>
                    <w:pStyle w:val="83"/>
                    <w:keepNext w:val="0"/>
                    <w:keepLines w:val="0"/>
                    <w:pageBreakBefore w:val="0"/>
                    <w:kinsoku/>
                    <w:wordWrap/>
                    <w:overflowPunct/>
                    <w:topLinePunct w:val="0"/>
                    <w:autoSpaceDE/>
                    <w:autoSpaceDN/>
                    <w:bidi w:val="0"/>
                    <w:adjustRightInd/>
                    <w:snapToGrid/>
                    <w:spacing w:line="240" w:lineRule="exact"/>
                    <w:ind w:firstLine="0" w:firstLineChars="0"/>
                    <w:jc w:val="left"/>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加快现有乡镇污水处理设施升级改造，按要求达《城镇污水处理厂污染物排放标准》一级A标后排放。</w:t>
                  </w:r>
                </w:p>
                <w:p w14:paraId="6988F353">
                  <w:pPr>
                    <w:pStyle w:val="83"/>
                    <w:keepNext w:val="0"/>
                    <w:keepLines w:val="0"/>
                    <w:pageBreakBefore w:val="0"/>
                    <w:kinsoku/>
                    <w:wordWrap/>
                    <w:overflowPunct/>
                    <w:topLinePunct w:val="0"/>
                    <w:autoSpaceDE/>
                    <w:autoSpaceDN/>
                    <w:bidi w:val="0"/>
                    <w:adjustRightInd/>
                    <w:snapToGrid/>
                    <w:spacing w:line="240" w:lineRule="exact"/>
                    <w:ind w:firstLine="0" w:firstLineChars="0"/>
                    <w:jc w:val="left"/>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在矿产资源开发活动集中区域，废水执行重金属污染物排放特别限值。</w:t>
                  </w:r>
                </w:p>
                <w:p w14:paraId="20C90C78">
                  <w:pPr>
                    <w:pStyle w:val="83"/>
                    <w:keepNext w:val="0"/>
                    <w:keepLines w:val="0"/>
                    <w:pageBreakBefore w:val="0"/>
                    <w:kinsoku/>
                    <w:wordWrap/>
                    <w:overflowPunct/>
                    <w:topLinePunct w:val="0"/>
                    <w:autoSpaceDE/>
                    <w:autoSpaceDN/>
                    <w:bidi w:val="0"/>
                    <w:adjustRightInd/>
                    <w:snapToGrid/>
                    <w:spacing w:line="240" w:lineRule="exact"/>
                    <w:ind w:firstLine="0" w:firstLineChars="0"/>
                    <w:jc w:val="left"/>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火电、水泥等行业按相关要求推进大气污染物超低排放和深度治理。</w:t>
                  </w:r>
                </w:p>
                <w:p w14:paraId="1B9A56B1">
                  <w:pPr>
                    <w:pStyle w:val="83"/>
                    <w:keepNext w:val="0"/>
                    <w:keepLines w:val="0"/>
                    <w:pageBreakBefore w:val="0"/>
                    <w:kinsoku/>
                    <w:wordWrap/>
                    <w:overflowPunct/>
                    <w:topLinePunct w:val="0"/>
                    <w:autoSpaceDE/>
                    <w:autoSpaceDN/>
                    <w:bidi w:val="0"/>
                    <w:adjustRightInd/>
                    <w:snapToGrid/>
                    <w:spacing w:line="240" w:lineRule="exact"/>
                    <w:ind w:firstLine="0" w:firstLineChars="0"/>
                    <w:jc w:val="left"/>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砖瓦行业实施脱硫、除尘升级改造，污染物排放达到《砖瓦工业大气污染物排放标准》相关要求。</w:t>
                  </w:r>
                </w:p>
                <w:p w14:paraId="3180F394">
                  <w:pPr>
                    <w:pStyle w:val="83"/>
                    <w:keepNext w:val="0"/>
                    <w:keepLines w:val="0"/>
                    <w:pageBreakBefore w:val="0"/>
                    <w:kinsoku/>
                    <w:wordWrap/>
                    <w:overflowPunct/>
                    <w:topLinePunct w:val="0"/>
                    <w:autoSpaceDE/>
                    <w:autoSpaceDN/>
                    <w:bidi w:val="0"/>
                    <w:adjustRightInd/>
                    <w:snapToGrid/>
                    <w:spacing w:line="240" w:lineRule="exact"/>
                    <w:ind w:firstLine="0" w:firstLineChars="0"/>
                    <w:jc w:val="left"/>
                    <w:textAlignment w:val="auto"/>
                    <w:rPr>
                      <w:rFonts w:hint="default" w:ascii="Times New Roman" w:hAnsi="Times New Roman" w:eastAsia="宋体" w:cs="Times New Roman"/>
                      <w:color w:val="auto"/>
                      <w:kern w:val="0"/>
                      <w:sz w:val="21"/>
                      <w:szCs w:val="21"/>
                    </w:rPr>
                  </w:pPr>
                </w:p>
                <w:p w14:paraId="034C8D07">
                  <w:pPr>
                    <w:pStyle w:val="83"/>
                    <w:keepNext w:val="0"/>
                    <w:keepLines w:val="0"/>
                    <w:pageBreakBefore w:val="0"/>
                    <w:kinsoku/>
                    <w:wordWrap/>
                    <w:overflowPunct/>
                    <w:topLinePunct w:val="0"/>
                    <w:autoSpaceDE/>
                    <w:autoSpaceDN/>
                    <w:bidi w:val="0"/>
                    <w:adjustRightInd/>
                    <w:snapToGrid/>
                    <w:spacing w:line="240" w:lineRule="exact"/>
                    <w:ind w:firstLine="0" w:firstLineChars="0"/>
                    <w:jc w:val="left"/>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其他污染物排放管控要求</w:t>
                  </w:r>
                </w:p>
                <w:p w14:paraId="64B0C4C5">
                  <w:pPr>
                    <w:pStyle w:val="83"/>
                    <w:keepNext w:val="0"/>
                    <w:keepLines w:val="0"/>
                    <w:pageBreakBefore w:val="0"/>
                    <w:kinsoku/>
                    <w:wordWrap/>
                    <w:overflowPunct/>
                    <w:topLinePunct w:val="0"/>
                    <w:autoSpaceDE/>
                    <w:autoSpaceDN/>
                    <w:bidi w:val="0"/>
                    <w:adjustRightInd/>
                    <w:snapToGrid/>
                    <w:spacing w:line="240" w:lineRule="exact"/>
                    <w:ind w:firstLine="0" w:firstLineChars="0"/>
                    <w:jc w:val="left"/>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新增源等量或倍量替代</w:t>
                  </w:r>
                  <w:r>
                    <w:rPr>
                      <w:rFonts w:hint="default" w:ascii="Times New Roman" w:hAnsi="Times New Roman" w:eastAsia="宋体" w:cs="Times New Roman"/>
                      <w:color w:val="auto"/>
                      <w:kern w:val="0"/>
                      <w:sz w:val="21"/>
                      <w:szCs w:val="21"/>
                      <w:lang w:eastAsia="zh-CN"/>
                    </w:rPr>
                    <w:t>：</w:t>
                  </w:r>
                  <w:r>
                    <w:rPr>
                      <w:rFonts w:hint="default" w:ascii="Times New Roman" w:hAnsi="Times New Roman" w:eastAsia="宋体" w:cs="Times New Roman"/>
                      <w:color w:val="auto"/>
                      <w:kern w:val="0"/>
                      <w:sz w:val="21"/>
                      <w:szCs w:val="21"/>
                    </w:rPr>
                    <w:t>上一年度水环境质量未完成目标的，新建排放水污染的建设项目按照总量管控要求进行倍量削减替代。上一年度空气质量年平均浓度不达标的城市，建设项目新增相关污染物按照总量管控要求进行倍量削减替代。大气环境重点管控区内，新增大气污染物排放的建设项目实施总量削减替代。污染物排放绩效水平准入要求</w:t>
                  </w:r>
                  <w:r>
                    <w:rPr>
                      <w:rFonts w:hint="default" w:ascii="Times New Roman" w:hAnsi="Times New Roman" w:eastAsia="宋体" w:cs="Times New Roman"/>
                      <w:color w:val="auto"/>
                      <w:kern w:val="0"/>
                      <w:sz w:val="21"/>
                      <w:szCs w:val="21"/>
                      <w:lang w:eastAsia="zh-CN"/>
                    </w:rPr>
                    <w:t>：</w:t>
                  </w:r>
                  <w:r>
                    <w:rPr>
                      <w:rFonts w:hint="default" w:ascii="Times New Roman" w:hAnsi="Times New Roman" w:eastAsia="宋体" w:cs="Times New Roman"/>
                      <w:color w:val="auto"/>
                      <w:kern w:val="0"/>
                      <w:sz w:val="21"/>
                      <w:szCs w:val="21"/>
                    </w:rPr>
                    <w:t>屠宰项目必须配套污水处理设施或进入城市污水管网。</w:t>
                  </w:r>
                </w:p>
                <w:p w14:paraId="0D0A8EB9">
                  <w:pPr>
                    <w:pStyle w:val="83"/>
                    <w:keepNext w:val="0"/>
                    <w:keepLines w:val="0"/>
                    <w:pageBreakBefore w:val="0"/>
                    <w:kinsoku/>
                    <w:wordWrap/>
                    <w:overflowPunct/>
                    <w:topLinePunct w:val="0"/>
                    <w:autoSpaceDE/>
                    <w:autoSpaceDN/>
                    <w:bidi w:val="0"/>
                    <w:adjustRightInd/>
                    <w:snapToGrid/>
                    <w:spacing w:line="240" w:lineRule="exact"/>
                    <w:ind w:firstLine="0" w:firstLineChars="0"/>
                    <w:jc w:val="left"/>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大气环境重点管控区内加强</w:t>
                  </w:r>
                  <w:r>
                    <w:rPr>
                      <w:rFonts w:hint="default" w:ascii="Times New Roman" w:hAnsi="Times New Roman" w:eastAsia="宋体" w:cs="Times New Roman"/>
                      <w:color w:val="auto"/>
                      <w:kern w:val="0"/>
                      <w:sz w:val="21"/>
                      <w:szCs w:val="21"/>
                      <w:lang w:eastAsia="zh-CN"/>
                    </w:rPr>
                    <w:t>“</w:t>
                  </w:r>
                  <w:r>
                    <w:rPr>
                      <w:rFonts w:hint="default" w:ascii="Times New Roman" w:hAnsi="Times New Roman" w:eastAsia="宋体" w:cs="Times New Roman"/>
                      <w:color w:val="auto"/>
                      <w:kern w:val="0"/>
                      <w:sz w:val="21"/>
                      <w:szCs w:val="21"/>
                    </w:rPr>
                    <w:t>高架源</w:t>
                  </w:r>
                  <w:r>
                    <w:rPr>
                      <w:rFonts w:hint="default" w:ascii="Times New Roman" w:hAnsi="Times New Roman" w:eastAsia="宋体" w:cs="Times New Roman"/>
                      <w:color w:val="auto"/>
                      <w:kern w:val="0"/>
                      <w:sz w:val="21"/>
                      <w:szCs w:val="21"/>
                      <w:lang w:eastAsia="zh-CN"/>
                    </w:rPr>
                    <w:t>”</w:t>
                  </w:r>
                  <w:r>
                    <w:rPr>
                      <w:rFonts w:hint="default" w:ascii="Times New Roman" w:hAnsi="Times New Roman" w:eastAsia="宋体" w:cs="Times New Roman"/>
                      <w:color w:val="auto"/>
                      <w:kern w:val="0"/>
                      <w:sz w:val="21"/>
                      <w:szCs w:val="21"/>
                    </w:rPr>
                    <w:t>污染治理，深化施工扬尘监管，严格落实</w:t>
                  </w:r>
                  <w:r>
                    <w:rPr>
                      <w:rFonts w:hint="default" w:ascii="Times New Roman" w:hAnsi="Times New Roman" w:eastAsia="宋体" w:cs="Times New Roman"/>
                      <w:color w:val="auto"/>
                      <w:kern w:val="0"/>
                      <w:sz w:val="21"/>
                      <w:szCs w:val="21"/>
                      <w:lang w:eastAsia="zh-CN"/>
                    </w:rPr>
                    <w:t>“</w:t>
                  </w:r>
                  <w:r>
                    <w:rPr>
                      <w:rFonts w:hint="default" w:ascii="Times New Roman" w:hAnsi="Times New Roman" w:eastAsia="宋体" w:cs="Times New Roman"/>
                      <w:color w:val="auto"/>
                      <w:kern w:val="0"/>
                      <w:sz w:val="21"/>
                      <w:szCs w:val="21"/>
                    </w:rPr>
                    <w:t>六必须、六不准</w:t>
                  </w:r>
                  <w:r>
                    <w:rPr>
                      <w:rFonts w:hint="default" w:ascii="Times New Roman" w:hAnsi="Times New Roman" w:eastAsia="宋体" w:cs="Times New Roman"/>
                      <w:color w:val="auto"/>
                      <w:kern w:val="0"/>
                      <w:sz w:val="21"/>
                      <w:szCs w:val="21"/>
                      <w:lang w:eastAsia="zh-CN"/>
                    </w:rPr>
                    <w:t>”</w:t>
                  </w:r>
                  <w:r>
                    <w:rPr>
                      <w:rFonts w:hint="default" w:ascii="Times New Roman" w:hAnsi="Times New Roman" w:eastAsia="宋体" w:cs="Times New Roman"/>
                      <w:color w:val="auto"/>
                      <w:kern w:val="0"/>
                      <w:sz w:val="21"/>
                      <w:szCs w:val="21"/>
                    </w:rPr>
                    <w:t>管控要求，强化道路施工管控，提高道路清扫机械化和精细化作业水平。-至2022年底，基本实现乡镇污水处理设施全覆盖，配套建设污水收集管网，乡镇污水处理率达到65%。</w:t>
                  </w:r>
                </w:p>
                <w:p w14:paraId="158B8573">
                  <w:pPr>
                    <w:pStyle w:val="83"/>
                    <w:keepNext w:val="0"/>
                    <w:keepLines w:val="0"/>
                    <w:pageBreakBefore w:val="0"/>
                    <w:kinsoku/>
                    <w:wordWrap/>
                    <w:overflowPunct/>
                    <w:topLinePunct w:val="0"/>
                    <w:autoSpaceDE/>
                    <w:autoSpaceDN/>
                    <w:bidi w:val="0"/>
                    <w:adjustRightInd/>
                    <w:snapToGrid/>
                    <w:spacing w:line="240" w:lineRule="exact"/>
                    <w:ind w:firstLine="0" w:firstLineChars="0"/>
                    <w:jc w:val="left"/>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-到2023年底，力争全市生活垃圾焚烧处理能力占比达60%以上，各县（市）生活垃圾无害化处理率保持95%以上，乡镇及行政村生活垃圾收转运处置体系基本实现全覆盖。</w:t>
                  </w:r>
                </w:p>
                <w:p w14:paraId="3B72EF20">
                  <w:pPr>
                    <w:pStyle w:val="83"/>
                    <w:keepNext w:val="0"/>
                    <w:keepLines w:val="0"/>
                    <w:pageBreakBefore w:val="0"/>
                    <w:kinsoku/>
                    <w:wordWrap/>
                    <w:overflowPunct/>
                    <w:topLinePunct w:val="0"/>
                    <w:autoSpaceDE/>
                    <w:autoSpaceDN/>
                    <w:bidi w:val="0"/>
                    <w:adjustRightInd/>
                    <w:snapToGrid/>
                    <w:spacing w:line="240" w:lineRule="exact"/>
                    <w:ind w:firstLine="0" w:firstLineChars="0"/>
                    <w:jc w:val="left"/>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-到2025年，农药包装废弃物回收率达80%；粮油绿色高质高效示范区、茶叶主产区和现代农业园区农药包装废弃物回收率100%。</w:t>
                  </w:r>
                </w:p>
                <w:p w14:paraId="2CFA7537">
                  <w:pPr>
                    <w:pStyle w:val="83"/>
                    <w:keepNext w:val="0"/>
                    <w:keepLines w:val="0"/>
                    <w:pageBreakBefore w:val="0"/>
                    <w:kinsoku/>
                    <w:wordWrap/>
                    <w:overflowPunct/>
                    <w:topLinePunct w:val="0"/>
                    <w:autoSpaceDE/>
                    <w:autoSpaceDN/>
                    <w:bidi w:val="0"/>
                    <w:adjustRightInd/>
                    <w:snapToGrid/>
                    <w:spacing w:line="240" w:lineRule="exact"/>
                    <w:ind w:firstLine="0" w:firstLineChars="0"/>
                    <w:jc w:val="left"/>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-到2025年，全国主要农作物化肥、农药利用率达43%，测土配方施肥技术推广覆盖率保持在90%以上，控制农村面源污染，采取灌排分离等措施控制农田氮磷流失。</w:t>
                  </w:r>
                </w:p>
                <w:p w14:paraId="24EDFCF3">
                  <w:pPr>
                    <w:pStyle w:val="83"/>
                    <w:keepNext w:val="0"/>
                    <w:keepLines w:val="0"/>
                    <w:pageBreakBefore w:val="0"/>
                    <w:kinsoku/>
                    <w:wordWrap/>
                    <w:overflowPunct/>
                    <w:topLinePunct w:val="0"/>
                    <w:autoSpaceDE/>
                    <w:autoSpaceDN/>
                    <w:bidi w:val="0"/>
                    <w:adjustRightInd/>
                    <w:snapToGrid/>
                    <w:spacing w:line="240" w:lineRule="exact"/>
                    <w:ind w:firstLine="0" w:firstLineChars="0"/>
                    <w:jc w:val="left"/>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到2025年，新、改扩建规模化畜禽养殖场（小区）要实施雨污分流、粪便污水资源化利用；规模化畜禽养殖场（小区）粪污处理设施装备配套率达到95%以上，粪污综合利用率达到80%以上，大型规模养殖场粪污处理设施装备配套率达到100%，畜禽粪污基本实现资源化利用；散养密集区要实行畜禽粪便污水分户收集、集中处理利用。</w:t>
                  </w:r>
                </w:p>
                <w:p w14:paraId="15199E5F">
                  <w:pPr>
                    <w:pStyle w:val="83"/>
                    <w:keepNext w:val="0"/>
                    <w:keepLines w:val="0"/>
                    <w:pageBreakBefore w:val="0"/>
                    <w:kinsoku/>
                    <w:wordWrap/>
                    <w:overflowPunct/>
                    <w:topLinePunct w:val="0"/>
                    <w:autoSpaceDE/>
                    <w:autoSpaceDN/>
                    <w:bidi w:val="0"/>
                    <w:adjustRightInd/>
                    <w:snapToGrid/>
                    <w:spacing w:line="240" w:lineRule="exact"/>
                    <w:ind w:firstLine="0" w:firstLineChars="0"/>
                    <w:jc w:val="left"/>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-到2025年，废旧农膜回收利用率达到85%以上。</w:t>
                  </w:r>
                </w:p>
                <w:p w14:paraId="52F1A67D">
                  <w:pPr>
                    <w:pStyle w:val="83"/>
                    <w:keepNext w:val="0"/>
                    <w:keepLines w:val="0"/>
                    <w:pageBreakBefore w:val="0"/>
                    <w:kinsoku/>
                    <w:wordWrap/>
                    <w:overflowPunct/>
                    <w:topLinePunct w:val="0"/>
                    <w:autoSpaceDE/>
                    <w:autoSpaceDN/>
                    <w:bidi w:val="0"/>
                    <w:adjustRightInd/>
                    <w:snapToGrid/>
                    <w:spacing w:line="240" w:lineRule="exact"/>
                    <w:ind w:firstLine="0" w:firstLineChars="0"/>
                    <w:jc w:val="left"/>
                    <w:textAlignment w:val="auto"/>
                    <w:rPr>
                      <w:rFonts w:hint="default" w:ascii="Times New Roman" w:hAnsi="Times New Roman" w:eastAsia="宋体" w:cs="Times New Roman"/>
                      <w:color w:val="auto"/>
                      <w:kern w:val="0"/>
                      <w:sz w:val="21"/>
                      <w:szCs w:val="21"/>
                    </w:rPr>
                  </w:pPr>
                </w:p>
                <w:p w14:paraId="2DD0EDEF">
                  <w:pPr>
                    <w:pStyle w:val="83"/>
                    <w:keepNext w:val="0"/>
                    <w:keepLines w:val="0"/>
                    <w:pageBreakBefore w:val="0"/>
                    <w:kinsoku/>
                    <w:wordWrap/>
                    <w:overflowPunct/>
                    <w:topLinePunct w:val="0"/>
                    <w:autoSpaceDE/>
                    <w:autoSpaceDN/>
                    <w:bidi w:val="0"/>
                    <w:adjustRightInd/>
                    <w:snapToGrid/>
                    <w:spacing w:line="240" w:lineRule="exact"/>
                    <w:ind w:firstLine="0" w:firstLineChars="0"/>
                    <w:jc w:val="left"/>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环境风险防控：</w:t>
                  </w:r>
                </w:p>
                <w:p w14:paraId="68352FF8">
                  <w:pPr>
                    <w:pStyle w:val="83"/>
                    <w:keepNext w:val="0"/>
                    <w:keepLines w:val="0"/>
                    <w:pageBreakBefore w:val="0"/>
                    <w:kinsoku/>
                    <w:wordWrap/>
                    <w:overflowPunct/>
                    <w:topLinePunct w:val="0"/>
                    <w:autoSpaceDE/>
                    <w:autoSpaceDN/>
                    <w:bidi w:val="0"/>
                    <w:adjustRightInd/>
                    <w:snapToGrid/>
                    <w:spacing w:line="240" w:lineRule="exact"/>
                    <w:ind w:firstLine="0" w:firstLineChars="0"/>
                    <w:jc w:val="left"/>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联防联控要求</w:t>
                  </w:r>
                </w:p>
                <w:p w14:paraId="16DF1839">
                  <w:pPr>
                    <w:pStyle w:val="83"/>
                    <w:keepNext w:val="0"/>
                    <w:keepLines w:val="0"/>
                    <w:pageBreakBefore w:val="0"/>
                    <w:kinsoku/>
                    <w:wordWrap/>
                    <w:overflowPunct/>
                    <w:topLinePunct w:val="0"/>
                    <w:autoSpaceDE/>
                    <w:autoSpaceDN/>
                    <w:bidi w:val="0"/>
                    <w:adjustRightInd/>
                    <w:snapToGrid/>
                    <w:spacing w:line="240" w:lineRule="exact"/>
                    <w:ind w:firstLine="0" w:firstLineChars="0"/>
                    <w:jc w:val="left"/>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强化区域联防联控，严格落实《关于建立跨省流域上下游突发水污染事件联防联控机制的指导意见》；定期召开区域大气环境形式分析会，强化信息共享和联动合作，实行环境规划，标准，环评，执法，信息公开</w:t>
                  </w:r>
                  <w:r>
                    <w:rPr>
                      <w:rFonts w:hint="default" w:ascii="Times New Roman" w:hAnsi="Times New Roman" w:eastAsia="宋体" w:cs="Times New Roman"/>
                      <w:color w:val="auto"/>
                      <w:kern w:val="0"/>
                      <w:sz w:val="21"/>
                      <w:szCs w:val="21"/>
                      <w:lang w:eastAsia="zh-CN"/>
                    </w:rPr>
                    <w:t>“</w:t>
                  </w:r>
                  <w:r>
                    <w:rPr>
                      <w:rFonts w:hint="default" w:ascii="Times New Roman" w:hAnsi="Times New Roman" w:eastAsia="宋体" w:cs="Times New Roman"/>
                      <w:color w:val="auto"/>
                      <w:kern w:val="0"/>
                      <w:sz w:val="21"/>
                      <w:szCs w:val="21"/>
                    </w:rPr>
                    <w:t>六统一</w:t>
                  </w:r>
                  <w:r>
                    <w:rPr>
                      <w:rFonts w:hint="default" w:ascii="Times New Roman" w:hAnsi="Times New Roman" w:eastAsia="宋体" w:cs="Times New Roman"/>
                      <w:color w:val="auto"/>
                      <w:kern w:val="0"/>
                      <w:sz w:val="21"/>
                      <w:szCs w:val="21"/>
                      <w:lang w:eastAsia="zh-CN"/>
                    </w:rPr>
                    <w:t>”</w:t>
                  </w:r>
                  <w:r>
                    <w:rPr>
                      <w:rFonts w:hint="default" w:ascii="Times New Roman" w:hAnsi="Times New Roman" w:eastAsia="宋体" w:cs="Times New Roman"/>
                      <w:color w:val="auto"/>
                      <w:kern w:val="0"/>
                      <w:sz w:val="21"/>
                      <w:szCs w:val="21"/>
                    </w:rPr>
                    <w:t>，协力推进大气污染源头防控，加强川东北区域大气污染防止合作</w:t>
                  </w:r>
                </w:p>
                <w:p w14:paraId="3B269527">
                  <w:pPr>
                    <w:pStyle w:val="83"/>
                    <w:keepNext w:val="0"/>
                    <w:keepLines w:val="0"/>
                    <w:pageBreakBefore w:val="0"/>
                    <w:kinsoku/>
                    <w:wordWrap/>
                    <w:overflowPunct/>
                    <w:topLinePunct w:val="0"/>
                    <w:autoSpaceDE/>
                    <w:autoSpaceDN/>
                    <w:bidi w:val="0"/>
                    <w:adjustRightInd/>
                    <w:snapToGrid/>
                    <w:spacing w:line="240" w:lineRule="exact"/>
                    <w:ind w:firstLine="0" w:firstLineChars="0"/>
                    <w:jc w:val="left"/>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其他环境风险防控要求</w:t>
                  </w:r>
                </w:p>
                <w:p w14:paraId="1AAF97B8">
                  <w:pPr>
                    <w:pStyle w:val="83"/>
                    <w:keepNext w:val="0"/>
                    <w:keepLines w:val="0"/>
                    <w:pageBreakBefore w:val="0"/>
                    <w:kinsoku/>
                    <w:wordWrap/>
                    <w:overflowPunct/>
                    <w:topLinePunct w:val="0"/>
                    <w:autoSpaceDE/>
                    <w:autoSpaceDN/>
                    <w:bidi w:val="0"/>
                    <w:adjustRightInd/>
                    <w:snapToGrid/>
                    <w:spacing w:line="240" w:lineRule="exact"/>
                    <w:ind w:firstLine="0" w:firstLineChars="0"/>
                    <w:jc w:val="left"/>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企业环境风险防控要求</w:t>
                  </w:r>
                  <w:r>
                    <w:rPr>
                      <w:rFonts w:hint="default" w:ascii="Times New Roman" w:hAnsi="Times New Roman" w:eastAsia="宋体" w:cs="Times New Roman"/>
                      <w:color w:val="auto"/>
                      <w:kern w:val="0"/>
                      <w:sz w:val="21"/>
                      <w:szCs w:val="21"/>
                      <w:lang w:eastAsia="zh-CN"/>
                    </w:rPr>
                    <w:t>：</w:t>
                  </w:r>
                  <w:r>
                    <w:rPr>
                      <w:rFonts w:hint="default" w:ascii="Times New Roman" w:hAnsi="Times New Roman" w:eastAsia="宋体" w:cs="Times New Roman"/>
                      <w:color w:val="auto"/>
                      <w:kern w:val="0"/>
                      <w:sz w:val="21"/>
                      <w:szCs w:val="21"/>
                    </w:rPr>
                    <w:t>工业企业退出用地，须经评估、修复满足相应用地功能后，方可改变用途。</w:t>
                  </w:r>
                </w:p>
                <w:p w14:paraId="012D569B">
                  <w:pPr>
                    <w:pStyle w:val="83"/>
                    <w:keepNext w:val="0"/>
                    <w:keepLines w:val="0"/>
                    <w:pageBreakBefore w:val="0"/>
                    <w:kinsoku/>
                    <w:wordWrap/>
                    <w:overflowPunct/>
                    <w:topLinePunct w:val="0"/>
                    <w:autoSpaceDE/>
                    <w:autoSpaceDN/>
                    <w:bidi w:val="0"/>
                    <w:adjustRightInd/>
                    <w:snapToGrid/>
                    <w:spacing w:line="240" w:lineRule="exact"/>
                    <w:ind w:firstLine="0" w:firstLineChars="0"/>
                    <w:jc w:val="left"/>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加强</w:t>
                  </w:r>
                  <w:r>
                    <w:rPr>
                      <w:rFonts w:hint="default" w:ascii="Times New Roman" w:hAnsi="Times New Roman" w:eastAsia="宋体" w:cs="Times New Roman"/>
                      <w:color w:val="auto"/>
                      <w:kern w:val="0"/>
                      <w:sz w:val="21"/>
                      <w:szCs w:val="21"/>
                      <w:lang w:eastAsia="zh-CN"/>
                    </w:rPr>
                    <w:t>“</w:t>
                  </w:r>
                  <w:r>
                    <w:rPr>
                      <w:rFonts w:hint="default" w:ascii="Times New Roman" w:hAnsi="Times New Roman" w:eastAsia="宋体" w:cs="Times New Roman"/>
                      <w:color w:val="auto"/>
                      <w:kern w:val="0"/>
                      <w:sz w:val="21"/>
                      <w:szCs w:val="21"/>
                    </w:rPr>
                    <w:t>散乱污</w:t>
                  </w:r>
                  <w:r>
                    <w:rPr>
                      <w:rFonts w:hint="default" w:ascii="Times New Roman" w:hAnsi="Times New Roman" w:eastAsia="宋体" w:cs="Times New Roman"/>
                      <w:color w:val="auto"/>
                      <w:kern w:val="0"/>
                      <w:sz w:val="21"/>
                      <w:szCs w:val="21"/>
                      <w:lang w:eastAsia="zh-CN"/>
                    </w:rPr>
                    <w:t>”</w:t>
                  </w:r>
                  <w:r>
                    <w:rPr>
                      <w:rFonts w:hint="default" w:ascii="Times New Roman" w:hAnsi="Times New Roman" w:eastAsia="宋体" w:cs="Times New Roman"/>
                      <w:color w:val="auto"/>
                      <w:kern w:val="0"/>
                      <w:sz w:val="21"/>
                      <w:szCs w:val="21"/>
                    </w:rPr>
                    <w:t>企业环境风险防控。对拟收回土地使用权的有色金属矿采选、有色金属冶炼、石油加工、化工、焦化、电镀、制革、天然（页岩）气开采、铅蓄电池、汽车制造、农药、危废处置、电子拆解等行业企业用地，以及用途拟变更为居住和商业、学校、医疗、养老机构等公共设施的上述企业用地，以及由重度污染农用地转为的城镇建设用地，开展土壤环境状况调查评估。用地环境风险防控要求</w:t>
                  </w:r>
                  <w:r>
                    <w:rPr>
                      <w:rFonts w:hint="default" w:ascii="Times New Roman" w:hAnsi="Times New Roman" w:eastAsia="宋体" w:cs="Times New Roman"/>
                      <w:color w:val="auto"/>
                      <w:kern w:val="0"/>
                      <w:sz w:val="21"/>
                      <w:szCs w:val="21"/>
                      <w:lang w:eastAsia="zh-CN"/>
                    </w:rPr>
                    <w:t>：</w:t>
                  </w:r>
                  <w:r>
                    <w:rPr>
                      <w:rFonts w:hint="default" w:ascii="Times New Roman" w:hAnsi="Times New Roman" w:eastAsia="宋体" w:cs="Times New Roman"/>
                      <w:color w:val="auto"/>
                      <w:kern w:val="0"/>
                      <w:sz w:val="21"/>
                      <w:szCs w:val="21"/>
                    </w:rPr>
                    <w:t>严禁将城镇生活垃圾、污泥、工业废物直接用作肥料，禁止处理不达标的污泥进入耕地；禁止在农用地排放、倾倒、使用污泥、清淤底泥、尾矿（渣）等可能对土壤造成污染的固体废物。</w:t>
                  </w:r>
                </w:p>
                <w:p w14:paraId="758AEEA4">
                  <w:pPr>
                    <w:pStyle w:val="83"/>
                    <w:keepNext w:val="0"/>
                    <w:keepLines w:val="0"/>
                    <w:pageBreakBefore w:val="0"/>
                    <w:kinsoku/>
                    <w:wordWrap/>
                    <w:overflowPunct/>
                    <w:topLinePunct w:val="0"/>
                    <w:autoSpaceDE/>
                    <w:autoSpaceDN/>
                    <w:bidi w:val="0"/>
                    <w:adjustRightInd/>
                    <w:snapToGrid/>
                    <w:spacing w:line="240" w:lineRule="exact"/>
                    <w:ind w:firstLine="0" w:firstLineChars="0"/>
                    <w:jc w:val="left"/>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定期对单元内尾矿库进行风险巡查，建立监测系统和环境风险应急预案；完善各尾矿库渗滤液收集、处理、回用系统，杜绝事故排放；尾矿库闭矿后因地制宜进行植被恢复和综合利用。</w:t>
                  </w:r>
                </w:p>
                <w:p w14:paraId="22BA305B">
                  <w:pPr>
                    <w:pStyle w:val="83"/>
                    <w:keepNext w:val="0"/>
                    <w:keepLines w:val="0"/>
                    <w:pageBreakBefore w:val="0"/>
                    <w:kinsoku/>
                    <w:wordWrap/>
                    <w:overflowPunct/>
                    <w:topLinePunct w:val="0"/>
                    <w:autoSpaceDE/>
                    <w:autoSpaceDN/>
                    <w:bidi w:val="0"/>
                    <w:adjustRightInd/>
                    <w:snapToGrid/>
                    <w:spacing w:line="240" w:lineRule="exact"/>
                    <w:ind w:firstLine="0" w:firstLineChars="0"/>
                    <w:jc w:val="left"/>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规范排土场、渣场等整治。禁止处理不达标的污泥进入耕地。</w:t>
                  </w:r>
                </w:p>
                <w:p w14:paraId="4E8CFF28">
                  <w:pPr>
                    <w:pStyle w:val="83"/>
                    <w:keepNext w:val="0"/>
                    <w:keepLines w:val="0"/>
                    <w:pageBreakBefore w:val="0"/>
                    <w:kinsoku/>
                    <w:wordWrap/>
                    <w:overflowPunct/>
                    <w:topLinePunct w:val="0"/>
                    <w:autoSpaceDE/>
                    <w:autoSpaceDN/>
                    <w:bidi w:val="0"/>
                    <w:adjustRightInd/>
                    <w:snapToGrid/>
                    <w:spacing w:line="240" w:lineRule="exact"/>
                    <w:ind w:firstLine="0" w:firstLineChars="0"/>
                    <w:jc w:val="left"/>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严格控制林地、草地、园地的农药使用量，禁止使用高毒、高残留农药。</w:t>
                  </w:r>
                </w:p>
                <w:p w14:paraId="7BC37B25">
                  <w:pPr>
                    <w:pStyle w:val="83"/>
                    <w:keepNext w:val="0"/>
                    <w:keepLines w:val="0"/>
                    <w:pageBreakBefore w:val="0"/>
                    <w:kinsoku/>
                    <w:wordWrap/>
                    <w:overflowPunct/>
                    <w:topLinePunct w:val="0"/>
                    <w:autoSpaceDE/>
                    <w:autoSpaceDN/>
                    <w:bidi w:val="0"/>
                    <w:adjustRightInd/>
                    <w:snapToGrid/>
                    <w:spacing w:line="240" w:lineRule="exact"/>
                    <w:ind w:firstLine="0" w:firstLineChars="0"/>
                    <w:jc w:val="left"/>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到2030年，全市受污染耕地安全利用率达到95%以上，污染地块安全利用率达到95%以上。</w:t>
                  </w:r>
                </w:p>
                <w:p w14:paraId="2D9DC425">
                  <w:pPr>
                    <w:pStyle w:val="83"/>
                    <w:keepNext w:val="0"/>
                    <w:keepLines w:val="0"/>
                    <w:pageBreakBefore w:val="0"/>
                    <w:kinsoku/>
                    <w:wordWrap/>
                    <w:overflowPunct/>
                    <w:topLinePunct w:val="0"/>
                    <w:autoSpaceDE/>
                    <w:autoSpaceDN/>
                    <w:bidi w:val="0"/>
                    <w:adjustRightInd/>
                    <w:snapToGrid/>
                    <w:spacing w:line="240" w:lineRule="exact"/>
                    <w:ind w:firstLine="0" w:firstLineChars="0"/>
                    <w:jc w:val="left"/>
                    <w:textAlignment w:val="auto"/>
                    <w:rPr>
                      <w:rFonts w:hint="default" w:ascii="Times New Roman" w:hAnsi="Times New Roman" w:eastAsia="宋体" w:cs="Times New Roman"/>
                      <w:color w:val="auto"/>
                      <w:kern w:val="0"/>
                      <w:sz w:val="21"/>
                      <w:szCs w:val="21"/>
                    </w:rPr>
                  </w:pPr>
                </w:p>
                <w:p w14:paraId="36B8BA2E">
                  <w:pPr>
                    <w:pStyle w:val="83"/>
                    <w:keepNext w:val="0"/>
                    <w:keepLines w:val="0"/>
                    <w:pageBreakBefore w:val="0"/>
                    <w:kinsoku/>
                    <w:wordWrap/>
                    <w:overflowPunct/>
                    <w:topLinePunct w:val="0"/>
                    <w:autoSpaceDE/>
                    <w:autoSpaceDN/>
                    <w:bidi w:val="0"/>
                    <w:adjustRightInd/>
                    <w:snapToGrid/>
                    <w:spacing w:line="240" w:lineRule="exact"/>
                    <w:ind w:firstLine="0" w:firstLineChars="0"/>
                    <w:jc w:val="left"/>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资源开发利用效率要求：</w:t>
                  </w:r>
                </w:p>
                <w:p w14:paraId="7CC1723C">
                  <w:pPr>
                    <w:pStyle w:val="83"/>
                    <w:keepNext w:val="0"/>
                    <w:keepLines w:val="0"/>
                    <w:pageBreakBefore w:val="0"/>
                    <w:kinsoku/>
                    <w:wordWrap/>
                    <w:overflowPunct/>
                    <w:topLinePunct w:val="0"/>
                    <w:autoSpaceDE/>
                    <w:autoSpaceDN/>
                    <w:bidi w:val="0"/>
                    <w:adjustRightInd/>
                    <w:snapToGrid/>
                    <w:spacing w:line="240" w:lineRule="exact"/>
                    <w:ind w:firstLine="0" w:firstLineChars="0"/>
                    <w:jc w:val="left"/>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水资源利用总量要求</w:t>
                  </w:r>
                </w:p>
                <w:p w14:paraId="737123D5">
                  <w:pPr>
                    <w:pStyle w:val="83"/>
                    <w:keepNext w:val="0"/>
                    <w:keepLines w:val="0"/>
                    <w:pageBreakBefore w:val="0"/>
                    <w:kinsoku/>
                    <w:wordWrap/>
                    <w:overflowPunct/>
                    <w:topLinePunct w:val="0"/>
                    <w:autoSpaceDE/>
                    <w:autoSpaceDN/>
                    <w:bidi w:val="0"/>
                    <w:adjustRightInd/>
                    <w:snapToGrid/>
                    <w:spacing w:line="240" w:lineRule="exact"/>
                    <w:ind w:firstLine="0" w:firstLineChars="0"/>
                    <w:jc w:val="left"/>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-到2025年，农田灌溉水有效利用系数达到0.57以上。</w:t>
                  </w:r>
                </w:p>
                <w:p w14:paraId="691A27FD">
                  <w:pPr>
                    <w:pStyle w:val="83"/>
                    <w:keepNext w:val="0"/>
                    <w:keepLines w:val="0"/>
                    <w:pageBreakBefore w:val="0"/>
                    <w:kinsoku/>
                    <w:wordWrap/>
                    <w:overflowPunct/>
                    <w:topLinePunct w:val="0"/>
                    <w:autoSpaceDE/>
                    <w:autoSpaceDN/>
                    <w:bidi w:val="0"/>
                    <w:adjustRightInd/>
                    <w:snapToGrid/>
                    <w:spacing w:line="240" w:lineRule="exact"/>
                    <w:ind w:firstLine="0" w:firstLineChars="0"/>
                    <w:jc w:val="left"/>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地下水开采要求</w:t>
                  </w:r>
                </w:p>
                <w:p w14:paraId="0890BF64">
                  <w:pPr>
                    <w:pStyle w:val="83"/>
                    <w:keepNext w:val="0"/>
                    <w:keepLines w:val="0"/>
                    <w:pageBreakBefore w:val="0"/>
                    <w:kinsoku/>
                    <w:wordWrap/>
                    <w:overflowPunct/>
                    <w:topLinePunct w:val="0"/>
                    <w:autoSpaceDE/>
                    <w:autoSpaceDN/>
                    <w:bidi w:val="0"/>
                    <w:adjustRightInd/>
                    <w:snapToGrid/>
                    <w:spacing w:line="240" w:lineRule="exact"/>
                    <w:ind w:firstLine="0" w:firstLineChars="0"/>
                    <w:jc w:val="left"/>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以省市下发指标为准</w:t>
                  </w:r>
                </w:p>
                <w:p w14:paraId="126B88AE">
                  <w:pPr>
                    <w:pStyle w:val="83"/>
                    <w:keepNext w:val="0"/>
                    <w:keepLines w:val="0"/>
                    <w:pageBreakBefore w:val="0"/>
                    <w:kinsoku/>
                    <w:wordWrap/>
                    <w:overflowPunct/>
                    <w:topLinePunct w:val="0"/>
                    <w:autoSpaceDE/>
                    <w:autoSpaceDN/>
                    <w:bidi w:val="0"/>
                    <w:adjustRightInd/>
                    <w:snapToGrid/>
                    <w:spacing w:line="240" w:lineRule="exact"/>
                    <w:ind w:firstLine="0" w:firstLineChars="0"/>
                    <w:jc w:val="left"/>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能源利用总量及效率要求</w:t>
                  </w:r>
                </w:p>
                <w:p w14:paraId="73B68697">
                  <w:pPr>
                    <w:pStyle w:val="83"/>
                    <w:keepNext w:val="0"/>
                    <w:keepLines w:val="0"/>
                    <w:pageBreakBefore w:val="0"/>
                    <w:kinsoku/>
                    <w:wordWrap/>
                    <w:overflowPunct/>
                    <w:topLinePunct w:val="0"/>
                    <w:autoSpaceDE/>
                    <w:autoSpaceDN/>
                    <w:bidi w:val="0"/>
                    <w:adjustRightInd/>
                    <w:snapToGrid/>
                    <w:spacing w:line="240" w:lineRule="exact"/>
                    <w:ind w:firstLine="0" w:firstLineChars="0"/>
                    <w:jc w:val="left"/>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推进清洁能源的推广使用，全面推进散煤清洁化整治；禁止新建每小时10蒸吨以下的燃煤锅炉及其他燃煤设施。</w:t>
                  </w:r>
                </w:p>
                <w:p w14:paraId="6C6C757C">
                  <w:pPr>
                    <w:pStyle w:val="83"/>
                    <w:keepNext w:val="0"/>
                    <w:keepLines w:val="0"/>
                    <w:pageBreakBefore w:val="0"/>
                    <w:kinsoku/>
                    <w:wordWrap/>
                    <w:overflowPunct/>
                    <w:topLinePunct w:val="0"/>
                    <w:autoSpaceDE/>
                    <w:autoSpaceDN/>
                    <w:bidi w:val="0"/>
                    <w:adjustRightInd/>
                    <w:snapToGrid/>
                    <w:spacing w:line="240" w:lineRule="exact"/>
                    <w:ind w:firstLine="0" w:firstLineChars="0"/>
                    <w:jc w:val="left"/>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禁止焚烧秸秆和垃圾，到2025年底，秸秆综合利用率达到86%以上。</w:t>
                  </w:r>
                </w:p>
                <w:p w14:paraId="1537C92C">
                  <w:pPr>
                    <w:pStyle w:val="83"/>
                    <w:keepNext w:val="0"/>
                    <w:keepLines w:val="0"/>
                    <w:pageBreakBefore w:val="0"/>
                    <w:kinsoku/>
                    <w:wordWrap/>
                    <w:overflowPunct/>
                    <w:topLinePunct w:val="0"/>
                    <w:autoSpaceDE/>
                    <w:autoSpaceDN/>
                    <w:bidi w:val="0"/>
                    <w:adjustRightInd/>
                    <w:snapToGrid/>
                    <w:spacing w:line="240" w:lineRule="exact"/>
                    <w:ind w:firstLine="0" w:firstLineChars="0"/>
                    <w:jc w:val="left"/>
                    <w:textAlignment w:val="auto"/>
                    <w:rPr>
                      <w:rFonts w:hint="default" w:ascii="Times New Roman" w:hAnsi="Times New Roman" w:eastAsia="宋体" w:cs="Times New Roman"/>
                      <w:color w:val="auto"/>
                      <w:kern w:val="0"/>
                      <w:sz w:val="21"/>
                      <w:szCs w:val="21"/>
                    </w:rPr>
                  </w:pPr>
                </w:p>
                <w:p w14:paraId="223BEC6C">
                  <w:pPr>
                    <w:pStyle w:val="83"/>
                    <w:keepNext w:val="0"/>
                    <w:keepLines w:val="0"/>
                    <w:pageBreakBefore w:val="0"/>
                    <w:kinsoku/>
                    <w:wordWrap/>
                    <w:overflowPunct/>
                    <w:topLinePunct w:val="0"/>
                    <w:autoSpaceDE/>
                    <w:autoSpaceDN/>
                    <w:bidi w:val="0"/>
                    <w:adjustRightInd/>
                    <w:snapToGrid/>
                    <w:spacing w:line="240" w:lineRule="exact"/>
                    <w:ind w:firstLine="0" w:firstLineChars="0"/>
                    <w:jc w:val="left"/>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禁燃区要求</w:t>
                  </w:r>
                </w:p>
                <w:p w14:paraId="13E12BFE">
                  <w:pPr>
                    <w:pStyle w:val="83"/>
                    <w:keepNext w:val="0"/>
                    <w:keepLines w:val="0"/>
                    <w:pageBreakBefore w:val="0"/>
                    <w:kinsoku/>
                    <w:wordWrap/>
                    <w:overflowPunct/>
                    <w:topLinePunct w:val="0"/>
                    <w:autoSpaceDE/>
                    <w:autoSpaceDN/>
                    <w:bidi w:val="0"/>
                    <w:adjustRightInd/>
                    <w:snapToGrid/>
                    <w:spacing w:line="240" w:lineRule="exact"/>
                    <w:ind w:firstLine="0" w:firstLineChars="0"/>
                    <w:jc w:val="left"/>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高污染燃料禁燃区内禁止燃用的燃料为《高污染燃料目录》（2017）中Ⅲ类（严格）燃料组合，包括：（一）煤炭及其制品；（二）石油焦、油页岩、原油、重油、渣油、煤焦油；（三）非专用锅炉或未配置高效除尘设施的专用锅炉燃用的生物质成型燃料。</w:t>
                  </w:r>
                </w:p>
                <w:p w14:paraId="5167F323">
                  <w:pPr>
                    <w:pStyle w:val="83"/>
                    <w:keepNext w:val="0"/>
                    <w:keepLines w:val="0"/>
                    <w:pageBreakBefore w:val="0"/>
                    <w:kinsoku/>
                    <w:wordWrap/>
                    <w:overflowPunct/>
                    <w:topLinePunct w:val="0"/>
                    <w:autoSpaceDE/>
                    <w:autoSpaceDN/>
                    <w:bidi w:val="0"/>
                    <w:adjustRightInd/>
                    <w:snapToGrid/>
                    <w:spacing w:line="240" w:lineRule="exact"/>
                    <w:ind w:firstLine="0" w:firstLineChars="0"/>
                    <w:jc w:val="left"/>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-禁燃区内禁止销售、燃用高污染燃料；禁止新建、改建、扩建燃用高污染燃料的设施和设备。</w:t>
                  </w:r>
                </w:p>
                <w:p w14:paraId="26CB6ACE">
                  <w:pPr>
                    <w:pStyle w:val="83"/>
                    <w:keepNext w:val="0"/>
                    <w:keepLines w:val="0"/>
                    <w:pageBreakBefore w:val="0"/>
                    <w:kinsoku/>
                    <w:wordWrap/>
                    <w:overflowPunct/>
                    <w:topLinePunct w:val="0"/>
                    <w:autoSpaceDE/>
                    <w:autoSpaceDN/>
                    <w:bidi w:val="0"/>
                    <w:adjustRightInd/>
                    <w:snapToGrid/>
                    <w:spacing w:line="240" w:lineRule="exact"/>
                    <w:ind w:firstLine="0" w:firstLineChars="0"/>
                    <w:jc w:val="left"/>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-禁燃区内已建成的高污染燃料燃用设施由辖区人民政府制定限期改造计划，改用天然气、页岩气、液化石油气、电或其他清洁能源。</w:t>
                  </w:r>
                </w:p>
                <w:p w14:paraId="3ECA47F1">
                  <w:pPr>
                    <w:pStyle w:val="83"/>
                    <w:keepNext w:val="0"/>
                    <w:keepLines w:val="0"/>
                    <w:pageBreakBefore w:val="0"/>
                    <w:kinsoku/>
                    <w:wordWrap/>
                    <w:overflowPunct/>
                    <w:topLinePunct w:val="0"/>
                    <w:autoSpaceDE/>
                    <w:autoSpaceDN/>
                    <w:bidi w:val="0"/>
                    <w:adjustRightInd/>
                    <w:snapToGrid/>
                    <w:spacing w:line="240" w:lineRule="exact"/>
                    <w:ind w:firstLine="0" w:firstLineChars="0"/>
                    <w:jc w:val="left"/>
                    <w:textAlignment w:val="auto"/>
                    <w:rPr>
                      <w:rFonts w:hint="default" w:ascii="Times New Roman" w:hAnsi="Times New Roman" w:eastAsia="宋体" w:cs="Times New Roman"/>
                      <w:color w:val="auto"/>
                      <w:kern w:val="0"/>
                      <w:sz w:val="21"/>
                      <w:szCs w:val="21"/>
                    </w:rPr>
                  </w:pPr>
                </w:p>
                <w:p w14:paraId="7F8412CD">
                  <w:pPr>
                    <w:pStyle w:val="83"/>
                    <w:keepNext w:val="0"/>
                    <w:keepLines w:val="0"/>
                    <w:pageBreakBefore w:val="0"/>
                    <w:kinsoku/>
                    <w:wordWrap/>
                    <w:overflowPunct/>
                    <w:topLinePunct w:val="0"/>
                    <w:autoSpaceDE/>
                    <w:autoSpaceDN/>
                    <w:bidi w:val="0"/>
                    <w:adjustRightInd/>
                    <w:snapToGrid/>
                    <w:spacing w:line="240" w:lineRule="exact"/>
                    <w:ind w:firstLine="0" w:firstLineChars="0"/>
                    <w:jc w:val="left"/>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其他资源利用效率要求</w:t>
                  </w:r>
                </w:p>
                <w:p w14:paraId="7C227DA7">
                  <w:pPr>
                    <w:pStyle w:val="83"/>
                    <w:keepNext w:val="0"/>
                    <w:keepLines w:val="0"/>
                    <w:pageBreakBefore w:val="0"/>
                    <w:kinsoku/>
                    <w:wordWrap/>
                    <w:overflowPunct/>
                    <w:topLinePunct w:val="0"/>
                    <w:autoSpaceDE/>
                    <w:autoSpaceDN/>
                    <w:bidi w:val="0"/>
                    <w:adjustRightInd/>
                    <w:snapToGrid/>
                    <w:spacing w:line="240" w:lineRule="exact"/>
                    <w:ind w:firstLine="0" w:firstLineChars="0"/>
                    <w:jc w:val="left"/>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暂无</w:t>
                  </w:r>
                </w:p>
              </w:tc>
              <w:tc>
                <w:tcPr>
                  <w:tcW w:w="274" w:type="pct"/>
                  <w:tcBorders>
                    <w:tl2br w:val="nil"/>
                    <w:tr2bl w:val="nil"/>
                  </w:tcBorders>
                  <w:vAlign w:val="center"/>
                </w:tcPr>
                <w:p w14:paraId="34E827EB">
                  <w:pPr>
                    <w:pStyle w:val="83"/>
                    <w:keepNext w:val="0"/>
                    <w:keepLines w:val="0"/>
                    <w:pageBreakBefore w:val="0"/>
                    <w:widowControl/>
                    <w:kinsoku/>
                    <w:wordWrap/>
                    <w:overflowPunct/>
                    <w:topLinePunct w:val="0"/>
                    <w:autoSpaceDE/>
                    <w:autoSpaceDN/>
                    <w:bidi w:val="0"/>
                    <w:adjustRightInd/>
                    <w:snapToGrid/>
                    <w:spacing w:line="240" w:lineRule="exact"/>
                    <w:ind w:firstLine="0" w:firstLineChars="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环境风险防控</w:t>
                  </w:r>
                </w:p>
              </w:tc>
              <w:tc>
                <w:tcPr>
                  <w:tcW w:w="1134" w:type="pct"/>
                  <w:tcBorders>
                    <w:tl2br w:val="nil"/>
                    <w:tr2bl w:val="nil"/>
                  </w:tcBorders>
                  <w:shd w:val="clear" w:color="auto" w:fill="auto"/>
                  <w:vAlign w:val="center"/>
                </w:tcPr>
                <w:p w14:paraId="6FB41F19">
                  <w:pPr>
                    <w:pStyle w:val="83"/>
                    <w:keepNext w:val="0"/>
                    <w:keepLines w:val="0"/>
                    <w:pageBreakBefore w:val="0"/>
                    <w:widowControl/>
                    <w:shd w:val="clear" w:color="auto" w:fill="FFFFFF"/>
                    <w:kinsoku/>
                    <w:wordWrap/>
                    <w:overflowPunct/>
                    <w:topLinePunct w:val="0"/>
                    <w:autoSpaceDE/>
                    <w:autoSpaceDN/>
                    <w:bidi w:val="0"/>
                    <w:adjustRightInd/>
                    <w:snapToGrid/>
                    <w:spacing w:line="240" w:lineRule="exact"/>
                    <w:ind w:firstLine="0" w:firstLineChars="0"/>
                    <w:jc w:val="left"/>
                    <w:textAlignment w:val="auto"/>
                    <w:rPr>
                      <w:rStyle w:val="26"/>
                      <w:rFonts w:hint="default" w:ascii="Times New Roman" w:hAnsi="Times New Roman" w:eastAsia="宋体" w:cs="Times New Roman"/>
                      <w:color w:val="auto"/>
                      <w:kern w:val="2"/>
                      <w:sz w:val="21"/>
                      <w:szCs w:val="21"/>
                      <w:lang w:val="en-US" w:eastAsia="zh-CN" w:bidi="ar-SA"/>
                    </w:rPr>
                  </w:pPr>
                  <w:r>
                    <w:rPr>
                      <w:rStyle w:val="26"/>
                      <w:rFonts w:hint="default" w:ascii="Times New Roman" w:hAnsi="Times New Roman" w:eastAsia="宋体" w:cs="Times New Roman"/>
                      <w:color w:val="auto"/>
                      <w:kern w:val="2"/>
                      <w:sz w:val="21"/>
                      <w:szCs w:val="21"/>
                      <w:lang w:val="en-US" w:eastAsia="zh-CN" w:bidi="ar-SA"/>
                    </w:rPr>
                    <w:t>严格管控类农用地管控要求</w:t>
                  </w:r>
                </w:p>
                <w:p w14:paraId="5316391C">
                  <w:pPr>
                    <w:pStyle w:val="83"/>
                    <w:keepNext w:val="0"/>
                    <w:keepLines w:val="0"/>
                    <w:pageBreakBefore w:val="0"/>
                    <w:widowControl/>
                    <w:shd w:val="clear" w:color="auto" w:fill="FFFFFF"/>
                    <w:kinsoku/>
                    <w:wordWrap/>
                    <w:overflowPunct/>
                    <w:topLinePunct w:val="0"/>
                    <w:autoSpaceDE/>
                    <w:autoSpaceDN/>
                    <w:bidi w:val="0"/>
                    <w:adjustRightInd/>
                    <w:snapToGrid/>
                    <w:spacing w:line="240" w:lineRule="exact"/>
                    <w:ind w:firstLine="0" w:firstLineChars="0"/>
                    <w:jc w:val="left"/>
                    <w:textAlignment w:val="auto"/>
                    <w:rPr>
                      <w:rStyle w:val="26"/>
                      <w:rFonts w:hint="default" w:ascii="Times New Roman" w:hAnsi="Times New Roman" w:eastAsia="宋体" w:cs="Times New Roman"/>
                      <w:color w:val="auto"/>
                      <w:kern w:val="2"/>
                      <w:sz w:val="21"/>
                      <w:szCs w:val="21"/>
                      <w:lang w:val="en-US" w:eastAsia="zh-CN" w:bidi="ar-SA"/>
                    </w:rPr>
                  </w:pPr>
                  <w:r>
                    <w:rPr>
                      <w:rStyle w:val="26"/>
                      <w:rFonts w:hint="default" w:ascii="Times New Roman" w:hAnsi="Times New Roman" w:eastAsia="宋体" w:cs="Times New Roman"/>
                      <w:color w:val="auto"/>
                      <w:kern w:val="2"/>
                      <w:sz w:val="21"/>
                      <w:szCs w:val="21"/>
                      <w:lang w:val="en-US" w:eastAsia="zh-CN" w:bidi="ar-SA"/>
                    </w:rPr>
                    <w:t>执行达州市工业重点管控单元总体要求</w:t>
                  </w:r>
                </w:p>
                <w:p w14:paraId="7F330787">
                  <w:pPr>
                    <w:pStyle w:val="83"/>
                    <w:keepNext w:val="0"/>
                    <w:keepLines w:val="0"/>
                    <w:pageBreakBefore w:val="0"/>
                    <w:widowControl/>
                    <w:shd w:val="clear" w:color="auto" w:fill="FFFFFF"/>
                    <w:kinsoku/>
                    <w:wordWrap/>
                    <w:overflowPunct/>
                    <w:topLinePunct w:val="0"/>
                    <w:autoSpaceDE/>
                    <w:autoSpaceDN/>
                    <w:bidi w:val="0"/>
                    <w:adjustRightInd/>
                    <w:snapToGrid/>
                    <w:spacing w:line="240" w:lineRule="exact"/>
                    <w:ind w:firstLine="0" w:firstLineChars="0"/>
                    <w:jc w:val="left"/>
                    <w:textAlignment w:val="auto"/>
                    <w:rPr>
                      <w:rStyle w:val="26"/>
                      <w:rFonts w:hint="default" w:ascii="Times New Roman" w:hAnsi="Times New Roman" w:eastAsia="宋体" w:cs="Times New Roman"/>
                      <w:color w:val="auto"/>
                      <w:kern w:val="2"/>
                      <w:sz w:val="21"/>
                      <w:szCs w:val="21"/>
                      <w:lang w:val="en-US" w:eastAsia="zh-CN" w:bidi="ar-SA"/>
                    </w:rPr>
                  </w:pPr>
                  <w:r>
                    <w:rPr>
                      <w:rStyle w:val="26"/>
                      <w:rFonts w:hint="default" w:ascii="Times New Roman" w:hAnsi="Times New Roman" w:eastAsia="宋体" w:cs="Times New Roman"/>
                      <w:color w:val="auto"/>
                      <w:kern w:val="2"/>
                      <w:sz w:val="21"/>
                      <w:szCs w:val="21"/>
                      <w:lang w:val="en-US" w:eastAsia="zh-CN" w:bidi="ar-SA"/>
                    </w:rPr>
                    <w:t>安全利用类农用地管控要求</w:t>
                  </w:r>
                </w:p>
                <w:p w14:paraId="6A18A147">
                  <w:pPr>
                    <w:pStyle w:val="83"/>
                    <w:keepNext w:val="0"/>
                    <w:keepLines w:val="0"/>
                    <w:pageBreakBefore w:val="0"/>
                    <w:widowControl/>
                    <w:shd w:val="clear" w:color="auto" w:fill="FFFFFF"/>
                    <w:kinsoku/>
                    <w:wordWrap/>
                    <w:overflowPunct/>
                    <w:topLinePunct w:val="0"/>
                    <w:autoSpaceDE/>
                    <w:autoSpaceDN/>
                    <w:bidi w:val="0"/>
                    <w:adjustRightInd/>
                    <w:snapToGrid/>
                    <w:spacing w:line="240" w:lineRule="exact"/>
                    <w:ind w:firstLine="0" w:firstLineChars="0"/>
                    <w:jc w:val="left"/>
                    <w:textAlignment w:val="auto"/>
                    <w:rPr>
                      <w:rStyle w:val="26"/>
                      <w:rFonts w:hint="default" w:ascii="Times New Roman" w:hAnsi="Times New Roman" w:eastAsia="宋体" w:cs="Times New Roman"/>
                      <w:color w:val="auto"/>
                      <w:kern w:val="2"/>
                      <w:sz w:val="21"/>
                      <w:szCs w:val="21"/>
                      <w:lang w:val="en-US" w:eastAsia="zh-CN" w:bidi="ar-SA"/>
                    </w:rPr>
                  </w:pPr>
                  <w:r>
                    <w:rPr>
                      <w:rStyle w:val="26"/>
                      <w:rFonts w:hint="default" w:ascii="Times New Roman" w:hAnsi="Times New Roman" w:eastAsia="宋体" w:cs="Times New Roman"/>
                      <w:color w:val="auto"/>
                      <w:kern w:val="2"/>
                      <w:sz w:val="21"/>
                      <w:szCs w:val="21"/>
                      <w:lang w:val="en-US" w:eastAsia="zh-CN" w:bidi="ar-SA"/>
                    </w:rPr>
                    <w:t>执行达州市工业重点管控单元总体要求</w:t>
                  </w:r>
                </w:p>
                <w:p w14:paraId="4BC8EFD0">
                  <w:pPr>
                    <w:pStyle w:val="83"/>
                    <w:keepNext w:val="0"/>
                    <w:keepLines w:val="0"/>
                    <w:pageBreakBefore w:val="0"/>
                    <w:widowControl/>
                    <w:shd w:val="clear" w:color="auto" w:fill="FFFFFF"/>
                    <w:kinsoku/>
                    <w:wordWrap/>
                    <w:overflowPunct/>
                    <w:topLinePunct w:val="0"/>
                    <w:autoSpaceDE/>
                    <w:autoSpaceDN/>
                    <w:bidi w:val="0"/>
                    <w:adjustRightInd/>
                    <w:snapToGrid/>
                    <w:spacing w:line="240" w:lineRule="exact"/>
                    <w:ind w:firstLine="0" w:firstLineChars="0"/>
                    <w:jc w:val="left"/>
                    <w:textAlignment w:val="auto"/>
                    <w:rPr>
                      <w:rStyle w:val="26"/>
                      <w:rFonts w:hint="default" w:ascii="Times New Roman" w:hAnsi="Times New Roman" w:eastAsia="宋体" w:cs="Times New Roman"/>
                      <w:color w:val="auto"/>
                      <w:kern w:val="2"/>
                      <w:sz w:val="21"/>
                      <w:szCs w:val="21"/>
                      <w:lang w:val="en-US" w:eastAsia="zh-CN" w:bidi="ar-SA"/>
                    </w:rPr>
                  </w:pPr>
                  <w:r>
                    <w:rPr>
                      <w:rStyle w:val="26"/>
                      <w:rFonts w:hint="default" w:ascii="Times New Roman" w:hAnsi="Times New Roman" w:eastAsia="宋体" w:cs="Times New Roman"/>
                      <w:color w:val="auto"/>
                      <w:kern w:val="2"/>
                      <w:sz w:val="21"/>
                      <w:szCs w:val="21"/>
                      <w:lang w:val="en-US" w:eastAsia="zh-CN" w:bidi="ar-SA"/>
                    </w:rPr>
                    <w:t>污染地块管控要求</w:t>
                  </w:r>
                </w:p>
                <w:p w14:paraId="0117ECC4">
                  <w:pPr>
                    <w:pStyle w:val="83"/>
                    <w:keepNext w:val="0"/>
                    <w:keepLines w:val="0"/>
                    <w:pageBreakBefore w:val="0"/>
                    <w:widowControl/>
                    <w:shd w:val="clear" w:color="auto" w:fill="FFFFFF"/>
                    <w:kinsoku/>
                    <w:wordWrap/>
                    <w:overflowPunct/>
                    <w:topLinePunct w:val="0"/>
                    <w:autoSpaceDE/>
                    <w:autoSpaceDN/>
                    <w:bidi w:val="0"/>
                    <w:adjustRightInd/>
                    <w:snapToGrid/>
                    <w:spacing w:line="240" w:lineRule="exact"/>
                    <w:ind w:firstLine="0" w:firstLineChars="0"/>
                    <w:jc w:val="left"/>
                    <w:textAlignment w:val="auto"/>
                    <w:rPr>
                      <w:rStyle w:val="26"/>
                      <w:rFonts w:hint="default" w:ascii="Times New Roman" w:hAnsi="Times New Roman" w:eastAsia="宋体" w:cs="Times New Roman"/>
                      <w:color w:val="auto"/>
                      <w:kern w:val="2"/>
                      <w:sz w:val="21"/>
                      <w:szCs w:val="21"/>
                      <w:lang w:val="en-US" w:eastAsia="zh-CN" w:bidi="ar-SA"/>
                    </w:rPr>
                  </w:pPr>
                  <w:r>
                    <w:rPr>
                      <w:rStyle w:val="26"/>
                      <w:rFonts w:hint="default" w:ascii="Times New Roman" w:hAnsi="Times New Roman" w:eastAsia="宋体" w:cs="Times New Roman"/>
                      <w:color w:val="auto"/>
                      <w:kern w:val="2"/>
                      <w:sz w:val="21"/>
                      <w:szCs w:val="21"/>
                      <w:lang w:val="en-US" w:eastAsia="zh-CN" w:bidi="ar-SA"/>
                    </w:rPr>
                    <w:t>执行达州市工业重点管控单元总体要求</w:t>
                  </w:r>
                </w:p>
                <w:p w14:paraId="7A563C1C">
                  <w:pPr>
                    <w:pStyle w:val="83"/>
                    <w:keepNext w:val="0"/>
                    <w:keepLines w:val="0"/>
                    <w:pageBreakBefore w:val="0"/>
                    <w:widowControl/>
                    <w:shd w:val="clear" w:color="auto" w:fill="FFFFFF"/>
                    <w:kinsoku/>
                    <w:wordWrap/>
                    <w:overflowPunct/>
                    <w:topLinePunct w:val="0"/>
                    <w:autoSpaceDE/>
                    <w:autoSpaceDN/>
                    <w:bidi w:val="0"/>
                    <w:adjustRightInd/>
                    <w:snapToGrid/>
                    <w:spacing w:line="240" w:lineRule="exact"/>
                    <w:ind w:firstLine="0" w:firstLineChars="0"/>
                    <w:jc w:val="left"/>
                    <w:textAlignment w:val="auto"/>
                    <w:rPr>
                      <w:rStyle w:val="26"/>
                      <w:rFonts w:hint="default" w:ascii="Times New Roman" w:hAnsi="Times New Roman" w:eastAsia="宋体" w:cs="Times New Roman"/>
                      <w:color w:val="auto"/>
                      <w:kern w:val="2"/>
                      <w:sz w:val="21"/>
                      <w:szCs w:val="21"/>
                      <w:lang w:val="en-US" w:eastAsia="zh-CN" w:bidi="ar-SA"/>
                    </w:rPr>
                  </w:pPr>
                  <w:r>
                    <w:rPr>
                      <w:rStyle w:val="26"/>
                      <w:rFonts w:hint="default" w:ascii="Times New Roman" w:hAnsi="Times New Roman" w:eastAsia="宋体" w:cs="Times New Roman"/>
                      <w:color w:val="auto"/>
                      <w:kern w:val="2"/>
                      <w:sz w:val="21"/>
                      <w:szCs w:val="21"/>
                      <w:lang w:val="en-US" w:eastAsia="zh-CN" w:bidi="ar-SA"/>
                    </w:rPr>
                    <w:t>园区环境风险防控要求</w:t>
                  </w:r>
                </w:p>
                <w:p w14:paraId="726D5125">
                  <w:pPr>
                    <w:pStyle w:val="83"/>
                    <w:keepNext w:val="0"/>
                    <w:keepLines w:val="0"/>
                    <w:pageBreakBefore w:val="0"/>
                    <w:widowControl/>
                    <w:shd w:val="clear" w:color="auto" w:fill="FFFFFF"/>
                    <w:kinsoku/>
                    <w:wordWrap/>
                    <w:overflowPunct/>
                    <w:topLinePunct w:val="0"/>
                    <w:autoSpaceDE/>
                    <w:autoSpaceDN/>
                    <w:bidi w:val="0"/>
                    <w:adjustRightInd/>
                    <w:snapToGrid/>
                    <w:spacing w:line="240" w:lineRule="exact"/>
                    <w:ind w:firstLine="0" w:firstLineChars="0"/>
                    <w:jc w:val="left"/>
                    <w:textAlignment w:val="auto"/>
                    <w:rPr>
                      <w:rStyle w:val="26"/>
                      <w:rFonts w:hint="default" w:ascii="Times New Roman" w:hAnsi="Times New Roman" w:eastAsia="宋体" w:cs="Times New Roman"/>
                      <w:color w:val="auto"/>
                      <w:kern w:val="2"/>
                      <w:sz w:val="21"/>
                      <w:szCs w:val="21"/>
                      <w:lang w:val="en-US" w:eastAsia="zh-CN" w:bidi="ar-SA"/>
                    </w:rPr>
                  </w:pPr>
                  <w:r>
                    <w:rPr>
                      <w:rStyle w:val="26"/>
                      <w:rFonts w:hint="default" w:ascii="Times New Roman" w:hAnsi="Times New Roman" w:eastAsia="宋体" w:cs="Times New Roman"/>
                      <w:color w:val="auto"/>
                      <w:kern w:val="2"/>
                      <w:sz w:val="21"/>
                      <w:szCs w:val="21"/>
                      <w:lang w:val="en-US" w:eastAsia="zh-CN" w:bidi="ar-SA"/>
                    </w:rPr>
                    <w:t>执行达州市工业重点管控单元总体要求</w:t>
                  </w:r>
                </w:p>
                <w:p w14:paraId="4308F9BA">
                  <w:pPr>
                    <w:pStyle w:val="83"/>
                    <w:keepNext w:val="0"/>
                    <w:keepLines w:val="0"/>
                    <w:pageBreakBefore w:val="0"/>
                    <w:widowControl/>
                    <w:shd w:val="clear" w:color="auto" w:fill="FFFFFF"/>
                    <w:kinsoku/>
                    <w:wordWrap/>
                    <w:overflowPunct/>
                    <w:topLinePunct w:val="0"/>
                    <w:autoSpaceDE/>
                    <w:autoSpaceDN/>
                    <w:bidi w:val="0"/>
                    <w:adjustRightInd/>
                    <w:snapToGrid/>
                    <w:spacing w:line="240" w:lineRule="exact"/>
                    <w:ind w:firstLine="0" w:firstLineChars="0"/>
                    <w:jc w:val="left"/>
                    <w:textAlignment w:val="auto"/>
                    <w:rPr>
                      <w:rStyle w:val="26"/>
                      <w:rFonts w:hint="default" w:ascii="Times New Roman" w:hAnsi="Times New Roman" w:eastAsia="宋体" w:cs="Times New Roman"/>
                      <w:color w:val="auto"/>
                      <w:kern w:val="2"/>
                      <w:sz w:val="21"/>
                      <w:szCs w:val="21"/>
                      <w:lang w:val="en-US" w:eastAsia="zh-CN" w:bidi="ar-SA"/>
                    </w:rPr>
                  </w:pPr>
                  <w:r>
                    <w:rPr>
                      <w:rStyle w:val="26"/>
                      <w:rFonts w:hint="default" w:ascii="Times New Roman" w:hAnsi="Times New Roman" w:eastAsia="宋体" w:cs="Times New Roman"/>
                      <w:color w:val="auto"/>
                      <w:kern w:val="2"/>
                      <w:sz w:val="21"/>
                      <w:szCs w:val="21"/>
                      <w:lang w:val="en-US" w:eastAsia="zh-CN" w:bidi="ar-SA"/>
                    </w:rPr>
                    <w:t>企业环境风险防控要求</w:t>
                  </w:r>
                </w:p>
                <w:p w14:paraId="79E82575">
                  <w:pPr>
                    <w:pStyle w:val="83"/>
                    <w:keepNext w:val="0"/>
                    <w:keepLines w:val="0"/>
                    <w:pageBreakBefore w:val="0"/>
                    <w:widowControl/>
                    <w:shd w:val="clear" w:color="auto" w:fill="FFFFFF"/>
                    <w:kinsoku/>
                    <w:wordWrap/>
                    <w:overflowPunct/>
                    <w:topLinePunct w:val="0"/>
                    <w:autoSpaceDE/>
                    <w:autoSpaceDN/>
                    <w:bidi w:val="0"/>
                    <w:adjustRightInd/>
                    <w:snapToGrid/>
                    <w:spacing w:line="240" w:lineRule="exact"/>
                    <w:ind w:firstLine="0" w:firstLineChars="0"/>
                    <w:jc w:val="left"/>
                    <w:textAlignment w:val="auto"/>
                    <w:rPr>
                      <w:rStyle w:val="26"/>
                      <w:rFonts w:hint="default" w:ascii="Times New Roman" w:hAnsi="Times New Roman" w:eastAsia="宋体" w:cs="Times New Roman"/>
                      <w:color w:val="auto"/>
                      <w:kern w:val="2"/>
                      <w:sz w:val="21"/>
                      <w:szCs w:val="21"/>
                      <w:lang w:val="en-US" w:eastAsia="zh-CN" w:bidi="ar-SA"/>
                    </w:rPr>
                  </w:pPr>
                  <w:r>
                    <w:rPr>
                      <w:rStyle w:val="26"/>
                      <w:rFonts w:hint="default" w:ascii="Times New Roman" w:hAnsi="Times New Roman" w:eastAsia="宋体" w:cs="Times New Roman"/>
                      <w:color w:val="auto"/>
                      <w:kern w:val="2"/>
                      <w:sz w:val="21"/>
                      <w:szCs w:val="21"/>
                      <w:lang w:val="en-US" w:eastAsia="zh-CN" w:bidi="ar-SA"/>
                    </w:rPr>
                    <w:t>执行达州市工业重点管控单元总体要求</w:t>
                  </w:r>
                </w:p>
                <w:p w14:paraId="3FA2F2FB">
                  <w:pPr>
                    <w:pStyle w:val="83"/>
                    <w:keepNext w:val="0"/>
                    <w:keepLines w:val="0"/>
                    <w:pageBreakBefore w:val="0"/>
                    <w:widowControl/>
                    <w:shd w:val="clear" w:color="auto" w:fill="FFFFFF"/>
                    <w:kinsoku/>
                    <w:wordWrap/>
                    <w:overflowPunct/>
                    <w:topLinePunct w:val="0"/>
                    <w:autoSpaceDE/>
                    <w:autoSpaceDN/>
                    <w:bidi w:val="0"/>
                    <w:adjustRightInd/>
                    <w:snapToGrid/>
                    <w:spacing w:line="240" w:lineRule="exact"/>
                    <w:ind w:firstLine="0" w:firstLineChars="0"/>
                    <w:jc w:val="left"/>
                    <w:textAlignment w:val="auto"/>
                    <w:rPr>
                      <w:rFonts w:hint="default" w:ascii="Times New Roman" w:hAnsi="Times New Roman" w:eastAsia="宋体" w:cs="Times New Roman"/>
                      <w:color w:val="auto"/>
                      <w:kern w:val="2"/>
                      <w:sz w:val="21"/>
                      <w:szCs w:val="21"/>
                      <w:lang w:val="en-US" w:eastAsia="zh-CN" w:bidi="ar-SA"/>
                    </w:rPr>
                  </w:pPr>
                  <w:r>
                    <w:rPr>
                      <w:rStyle w:val="26"/>
                      <w:rFonts w:hint="default" w:ascii="Times New Roman" w:hAnsi="Times New Roman" w:eastAsia="宋体" w:cs="Times New Roman"/>
                      <w:color w:val="auto"/>
                      <w:kern w:val="2"/>
                      <w:sz w:val="21"/>
                      <w:szCs w:val="21"/>
                      <w:lang w:val="en-US" w:eastAsia="zh-CN" w:bidi="ar-SA"/>
                    </w:rPr>
                    <w:t>其他环境风险防控要求/</w:t>
                  </w:r>
                </w:p>
              </w:tc>
              <w:tc>
                <w:tcPr>
                  <w:tcW w:w="879" w:type="pct"/>
                  <w:tcBorders>
                    <w:tl2br w:val="nil"/>
                    <w:tr2bl w:val="nil"/>
                  </w:tcBorders>
                  <w:vAlign w:val="center"/>
                </w:tcPr>
                <w:p w14:paraId="52DC67B8">
                  <w:pPr>
                    <w:pStyle w:val="83"/>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项目环境风险潜势为I，评价等级为简单分析，在落实环评提出的风险防范措施后，环境风险可控。</w:t>
                  </w:r>
                </w:p>
              </w:tc>
              <w:tc>
                <w:tcPr>
                  <w:tcW w:w="193" w:type="pct"/>
                  <w:tcBorders>
                    <w:tl2br w:val="nil"/>
                    <w:tr2bl w:val="nil"/>
                  </w:tcBorders>
                  <w:vAlign w:val="center"/>
                </w:tcPr>
                <w:p w14:paraId="58A45D88">
                  <w:pPr>
                    <w:pStyle w:val="83"/>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r w14:paraId="3F1C82E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78" w:type="pct"/>
                  <w:vMerge w:val="continue"/>
                  <w:tcBorders>
                    <w:tl2br w:val="nil"/>
                    <w:tr2bl w:val="nil"/>
                  </w:tcBorders>
                  <w:vAlign w:val="center"/>
                </w:tcPr>
                <w:p w14:paraId="2E76FC75">
                  <w:pPr>
                    <w:pStyle w:val="83"/>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ZH51172230001</w:t>
                  </w:r>
                </w:p>
              </w:tc>
              <w:tc>
                <w:tcPr>
                  <w:tcW w:w="297" w:type="pct"/>
                  <w:vMerge w:val="continue"/>
                  <w:tcBorders>
                    <w:tl2br w:val="nil"/>
                    <w:tr2bl w:val="nil"/>
                  </w:tcBorders>
                  <w:vAlign w:val="center"/>
                </w:tcPr>
                <w:p w14:paraId="13DC1472">
                  <w:pPr>
                    <w:pStyle w:val="83"/>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宣汉县一般管控单元</w:t>
                  </w:r>
                </w:p>
              </w:tc>
              <w:tc>
                <w:tcPr>
                  <w:tcW w:w="2040" w:type="pct"/>
                  <w:vMerge w:val="continue"/>
                  <w:tcBorders>
                    <w:tl2br w:val="nil"/>
                    <w:tr2bl w:val="nil"/>
                  </w:tcBorders>
                  <w:vAlign w:val="center"/>
                </w:tcPr>
                <w:p w14:paraId="5A00BF60">
                  <w:pPr>
                    <w:pStyle w:val="83"/>
                    <w:keepNext w:val="0"/>
                    <w:keepLines w:val="0"/>
                    <w:pageBreakBefore w:val="0"/>
                    <w:kinsoku/>
                    <w:wordWrap/>
                    <w:overflowPunct/>
                    <w:topLinePunct w:val="0"/>
                    <w:autoSpaceDE/>
                    <w:autoSpaceDN/>
                    <w:bidi w:val="0"/>
                    <w:adjustRightInd/>
                    <w:snapToGrid/>
                    <w:spacing w:line="240" w:lineRule="exact"/>
                    <w:ind w:firstLine="0" w:firstLineChars="0"/>
                    <w:jc w:val="left"/>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空间布局约束：</w:t>
                  </w:r>
                </w:p>
                <w:p w14:paraId="36F041A9">
                  <w:pPr>
                    <w:pStyle w:val="83"/>
                    <w:keepNext w:val="0"/>
                    <w:keepLines w:val="0"/>
                    <w:pageBreakBefore w:val="0"/>
                    <w:kinsoku/>
                    <w:wordWrap/>
                    <w:overflowPunct/>
                    <w:topLinePunct w:val="0"/>
                    <w:autoSpaceDE/>
                    <w:autoSpaceDN/>
                    <w:bidi w:val="0"/>
                    <w:adjustRightInd/>
                    <w:snapToGrid/>
                    <w:spacing w:line="240" w:lineRule="exact"/>
                    <w:ind w:firstLine="0" w:firstLineChars="0"/>
                    <w:jc w:val="left"/>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禁止开发建设活动的要求</w:t>
                  </w:r>
                </w:p>
                <w:p w14:paraId="603E22EF">
                  <w:pPr>
                    <w:pStyle w:val="83"/>
                    <w:keepNext w:val="0"/>
                    <w:keepLines w:val="0"/>
                    <w:pageBreakBefore w:val="0"/>
                    <w:kinsoku/>
                    <w:wordWrap/>
                    <w:overflowPunct/>
                    <w:topLinePunct w:val="0"/>
                    <w:autoSpaceDE/>
                    <w:autoSpaceDN/>
                    <w:bidi w:val="0"/>
                    <w:adjustRightInd/>
                    <w:snapToGrid/>
                    <w:spacing w:line="240" w:lineRule="exact"/>
                    <w:ind w:firstLine="0" w:firstLineChars="0"/>
                    <w:jc w:val="left"/>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-禁止在长江干支流1公里范围内新建、扩建化工园区和化工项目。</w:t>
                  </w:r>
                </w:p>
                <w:p w14:paraId="7BCA5B82">
                  <w:pPr>
                    <w:pStyle w:val="83"/>
                    <w:keepNext w:val="0"/>
                    <w:keepLines w:val="0"/>
                    <w:pageBreakBefore w:val="0"/>
                    <w:kinsoku/>
                    <w:wordWrap/>
                    <w:overflowPunct/>
                    <w:topLinePunct w:val="0"/>
                    <w:autoSpaceDE/>
                    <w:autoSpaceDN/>
                    <w:bidi w:val="0"/>
                    <w:adjustRightInd/>
                    <w:snapToGrid/>
                    <w:spacing w:line="240" w:lineRule="exact"/>
                    <w:ind w:firstLine="0" w:firstLineChars="0"/>
                    <w:jc w:val="left"/>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-禁止在法律法规规定的禁采区内新建矿山；禁止土法采、选、冶严重污染环境的矿产资源。</w:t>
                  </w:r>
                </w:p>
                <w:p w14:paraId="2051BF36">
                  <w:pPr>
                    <w:pStyle w:val="83"/>
                    <w:keepNext w:val="0"/>
                    <w:keepLines w:val="0"/>
                    <w:pageBreakBefore w:val="0"/>
                    <w:kinsoku/>
                    <w:wordWrap/>
                    <w:overflowPunct/>
                    <w:topLinePunct w:val="0"/>
                    <w:autoSpaceDE/>
                    <w:autoSpaceDN/>
                    <w:bidi w:val="0"/>
                    <w:adjustRightInd/>
                    <w:snapToGrid/>
                    <w:spacing w:line="240" w:lineRule="exact"/>
                    <w:ind w:firstLine="0" w:firstLineChars="0"/>
                    <w:jc w:val="left"/>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-涉及永久基本农田的区域，除法律规定的重点建设项目选址确实无法避让外，其他任何建设不得占用。</w:t>
                  </w:r>
                </w:p>
                <w:p w14:paraId="3AC7F0AF">
                  <w:pPr>
                    <w:pStyle w:val="83"/>
                    <w:keepNext w:val="0"/>
                    <w:keepLines w:val="0"/>
                    <w:pageBreakBefore w:val="0"/>
                    <w:kinsoku/>
                    <w:wordWrap/>
                    <w:overflowPunct/>
                    <w:topLinePunct w:val="0"/>
                    <w:autoSpaceDE/>
                    <w:autoSpaceDN/>
                    <w:bidi w:val="0"/>
                    <w:adjustRightInd/>
                    <w:snapToGrid/>
                    <w:spacing w:line="240" w:lineRule="exact"/>
                    <w:ind w:firstLine="0" w:firstLineChars="0"/>
                    <w:jc w:val="left"/>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-禁止在长江流域河湖管理范围内倾倒、填埋、堆放、弃置、处理固体废物。</w:t>
                  </w:r>
                </w:p>
                <w:p w14:paraId="21D3DA0F">
                  <w:pPr>
                    <w:pStyle w:val="83"/>
                    <w:keepNext w:val="0"/>
                    <w:keepLines w:val="0"/>
                    <w:pageBreakBefore w:val="0"/>
                    <w:kinsoku/>
                    <w:wordWrap/>
                    <w:overflowPunct/>
                    <w:topLinePunct w:val="0"/>
                    <w:autoSpaceDE/>
                    <w:autoSpaceDN/>
                    <w:bidi w:val="0"/>
                    <w:adjustRightInd/>
                    <w:snapToGrid/>
                    <w:spacing w:line="240" w:lineRule="exact"/>
                    <w:ind w:firstLine="0" w:firstLineChars="0"/>
                    <w:jc w:val="left"/>
                    <w:textAlignment w:val="auto"/>
                    <w:rPr>
                      <w:rFonts w:hint="default" w:ascii="Times New Roman" w:hAnsi="Times New Roman" w:eastAsia="宋体" w:cs="Times New Roman"/>
                      <w:color w:val="auto"/>
                      <w:kern w:val="0"/>
                      <w:sz w:val="21"/>
                      <w:szCs w:val="21"/>
                    </w:rPr>
                  </w:pPr>
                </w:p>
                <w:p w14:paraId="50ADC7B1">
                  <w:pPr>
                    <w:pStyle w:val="83"/>
                    <w:keepNext w:val="0"/>
                    <w:keepLines w:val="0"/>
                    <w:pageBreakBefore w:val="0"/>
                    <w:kinsoku/>
                    <w:wordWrap/>
                    <w:overflowPunct/>
                    <w:topLinePunct w:val="0"/>
                    <w:autoSpaceDE/>
                    <w:autoSpaceDN/>
                    <w:bidi w:val="0"/>
                    <w:adjustRightInd/>
                    <w:snapToGrid/>
                    <w:spacing w:line="240" w:lineRule="exact"/>
                    <w:ind w:firstLine="0" w:firstLineChars="0"/>
                    <w:jc w:val="left"/>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限制开发建设活动的要求</w:t>
                  </w:r>
                </w:p>
                <w:p w14:paraId="74E6E39D">
                  <w:pPr>
                    <w:pStyle w:val="83"/>
                    <w:keepNext w:val="0"/>
                    <w:keepLines w:val="0"/>
                    <w:pageBreakBefore w:val="0"/>
                    <w:kinsoku/>
                    <w:wordWrap/>
                    <w:overflowPunct/>
                    <w:topLinePunct w:val="0"/>
                    <w:autoSpaceDE/>
                    <w:autoSpaceDN/>
                    <w:bidi w:val="0"/>
                    <w:adjustRightInd/>
                    <w:snapToGrid/>
                    <w:spacing w:line="240" w:lineRule="exact"/>
                    <w:ind w:firstLine="0" w:firstLineChars="0"/>
                    <w:jc w:val="left"/>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-按照相关要求严控水泥新增产能。</w:t>
                  </w:r>
                </w:p>
                <w:p w14:paraId="6FBE6E0A">
                  <w:pPr>
                    <w:pStyle w:val="83"/>
                    <w:keepNext w:val="0"/>
                    <w:keepLines w:val="0"/>
                    <w:pageBreakBefore w:val="0"/>
                    <w:kinsoku/>
                    <w:wordWrap/>
                    <w:overflowPunct/>
                    <w:topLinePunct w:val="0"/>
                    <w:autoSpaceDE/>
                    <w:autoSpaceDN/>
                    <w:bidi w:val="0"/>
                    <w:adjustRightInd/>
                    <w:snapToGrid/>
                    <w:spacing w:line="240" w:lineRule="exact"/>
                    <w:ind w:firstLine="0" w:firstLineChars="0"/>
                    <w:jc w:val="left"/>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涉及法定保护地，严格按照国家及地方法律法规、管理办法等相关要求进行控制。配套旅游、基础设施等建设项目，在符合规划和相关保护要求的前提下，应实施生态避让、减缓影响及生态恢复措施。</w:t>
                  </w:r>
                </w:p>
                <w:p w14:paraId="67FEBC81">
                  <w:pPr>
                    <w:pStyle w:val="83"/>
                    <w:keepNext w:val="0"/>
                    <w:keepLines w:val="0"/>
                    <w:pageBreakBefore w:val="0"/>
                    <w:kinsoku/>
                    <w:wordWrap/>
                    <w:overflowPunct/>
                    <w:topLinePunct w:val="0"/>
                    <w:autoSpaceDE/>
                    <w:autoSpaceDN/>
                    <w:bidi w:val="0"/>
                    <w:adjustRightInd/>
                    <w:snapToGrid/>
                    <w:spacing w:line="240" w:lineRule="exact"/>
                    <w:ind w:firstLine="0" w:firstLineChars="0"/>
                    <w:jc w:val="left"/>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按照相关要求严控水泥新增产能。</w:t>
                  </w:r>
                </w:p>
                <w:p w14:paraId="08916DC7">
                  <w:pPr>
                    <w:pStyle w:val="83"/>
                    <w:keepNext w:val="0"/>
                    <w:keepLines w:val="0"/>
                    <w:pageBreakBefore w:val="0"/>
                    <w:kinsoku/>
                    <w:wordWrap/>
                    <w:overflowPunct/>
                    <w:topLinePunct w:val="0"/>
                    <w:autoSpaceDE/>
                    <w:autoSpaceDN/>
                    <w:bidi w:val="0"/>
                    <w:adjustRightInd/>
                    <w:snapToGrid/>
                    <w:spacing w:line="240" w:lineRule="exact"/>
                    <w:ind w:firstLine="0" w:firstLineChars="0"/>
                    <w:jc w:val="left"/>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禁止在长江干流岸线三公里范围内和重要支流岸线一公里范围内新建、改建、扩建尾矿库；但是以提升安全、生态环境保护水平为目的的改建除外。</w:t>
                  </w:r>
                </w:p>
                <w:p w14:paraId="1F21EF42">
                  <w:pPr>
                    <w:pStyle w:val="83"/>
                    <w:keepNext w:val="0"/>
                    <w:keepLines w:val="0"/>
                    <w:pageBreakBefore w:val="0"/>
                    <w:kinsoku/>
                    <w:wordWrap/>
                    <w:overflowPunct/>
                    <w:topLinePunct w:val="0"/>
                    <w:autoSpaceDE/>
                    <w:autoSpaceDN/>
                    <w:bidi w:val="0"/>
                    <w:adjustRightInd/>
                    <w:snapToGrid/>
                    <w:spacing w:line="240" w:lineRule="exact"/>
                    <w:ind w:firstLine="0" w:firstLineChars="0"/>
                    <w:jc w:val="left"/>
                    <w:textAlignment w:val="auto"/>
                    <w:rPr>
                      <w:rFonts w:hint="default" w:ascii="Times New Roman" w:hAnsi="Times New Roman" w:eastAsia="宋体" w:cs="Times New Roman"/>
                      <w:color w:val="auto"/>
                      <w:kern w:val="0"/>
                      <w:sz w:val="21"/>
                      <w:szCs w:val="21"/>
                    </w:rPr>
                  </w:pPr>
                </w:p>
                <w:p w14:paraId="66A86795">
                  <w:pPr>
                    <w:pStyle w:val="83"/>
                    <w:keepNext w:val="0"/>
                    <w:keepLines w:val="0"/>
                    <w:pageBreakBefore w:val="0"/>
                    <w:kinsoku/>
                    <w:wordWrap/>
                    <w:overflowPunct/>
                    <w:topLinePunct w:val="0"/>
                    <w:autoSpaceDE/>
                    <w:autoSpaceDN/>
                    <w:bidi w:val="0"/>
                    <w:adjustRightInd/>
                    <w:snapToGrid/>
                    <w:spacing w:line="240" w:lineRule="exact"/>
                    <w:ind w:firstLine="0" w:firstLineChars="0"/>
                    <w:jc w:val="left"/>
                    <w:textAlignment w:val="auto"/>
                    <w:rPr>
                      <w:rFonts w:hint="default" w:ascii="Times New Roman" w:hAnsi="Times New Roman" w:eastAsia="宋体" w:cs="Times New Roman"/>
                      <w:color w:val="auto"/>
                      <w:kern w:val="0"/>
                      <w:sz w:val="21"/>
                      <w:szCs w:val="21"/>
                    </w:rPr>
                  </w:pPr>
                </w:p>
                <w:p w14:paraId="4DDBE0AE">
                  <w:pPr>
                    <w:pStyle w:val="83"/>
                    <w:keepNext w:val="0"/>
                    <w:keepLines w:val="0"/>
                    <w:pageBreakBefore w:val="0"/>
                    <w:kinsoku/>
                    <w:wordWrap/>
                    <w:overflowPunct/>
                    <w:topLinePunct w:val="0"/>
                    <w:autoSpaceDE/>
                    <w:autoSpaceDN/>
                    <w:bidi w:val="0"/>
                    <w:adjustRightInd/>
                    <w:snapToGrid/>
                    <w:spacing w:line="240" w:lineRule="exact"/>
                    <w:ind w:firstLine="0" w:firstLineChars="0"/>
                    <w:jc w:val="left"/>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不符合空间布局要求活动的退出要求</w:t>
                  </w:r>
                </w:p>
                <w:p w14:paraId="30B74409">
                  <w:pPr>
                    <w:pStyle w:val="83"/>
                    <w:keepNext w:val="0"/>
                    <w:keepLines w:val="0"/>
                    <w:pageBreakBefore w:val="0"/>
                    <w:kinsoku/>
                    <w:wordWrap/>
                    <w:overflowPunct/>
                    <w:topLinePunct w:val="0"/>
                    <w:autoSpaceDE/>
                    <w:autoSpaceDN/>
                    <w:bidi w:val="0"/>
                    <w:adjustRightInd/>
                    <w:snapToGrid/>
                    <w:spacing w:line="240" w:lineRule="exact"/>
                    <w:ind w:firstLine="0" w:firstLineChars="0"/>
                    <w:jc w:val="left"/>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针对现有水泥企业，强化污染治理和污染物减排，依法依规整治或搬迁。</w:t>
                  </w:r>
                </w:p>
                <w:p w14:paraId="215BC23D">
                  <w:pPr>
                    <w:pStyle w:val="83"/>
                    <w:keepNext w:val="0"/>
                    <w:keepLines w:val="0"/>
                    <w:pageBreakBefore w:val="0"/>
                    <w:kinsoku/>
                    <w:wordWrap/>
                    <w:overflowPunct/>
                    <w:topLinePunct w:val="0"/>
                    <w:autoSpaceDE/>
                    <w:autoSpaceDN/>
                    <w:bidi w:val="0"/>
                    <w:adjustRightInd/>
                    <w:snapToGrid/>
                    <w:spacing w:line="240" w:lineRule="exact"/>
                    <w:ind w:firstLine="0" w:firstLineChars="0"/>
                    <w:jc w:val="left"/>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全面取缔禁养区内规模化畜禽养殖场。</w:t>
                  </w:r>
                </w:p>
                <w:p w14:paraId="7EC1AC23">
                  <w:pPr>
                    <w:pStyle w:val="83"/>
                    <w:keepNext w:val="0"/>
                    <w:keepLines w:val="0"/>
                    <w:pageBreakBefore w:val="0"/>
                    <w:kinsoku/>
                    <w:wordWrap/>
                    <w:overflowPunct/>
                    <w:topLinePunct w:val="0"/>
                    <w:autoSpaceDE/>
                    <w:autoSpaceDN/>
                    <w:bidi w:val="0"/>
                    <w:adjustRightInd/>
                    <w:snapToGrid/>
                    <w:spacing w:line="240" w:lineRule="exact"/>
                    <w:ind w:firstLine="0" w:firstLineChars="0"/>
                    <w:jc w:val="left"/>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2025年基本完成全域内</w:t>
                  </w:r>
                  <w:r>
                    <w:rPr>
                      <w:rFonts w:hint="default" w:ascii="Times New Roman" w:hAnsi="Times New Roman" w:eastAsia="宋体" w:cs="Times New Roman"/>
                      <w:color w:val="auto"/>
                      <w:kern w:val="0"/>
                      <w:sz w:val="21"/>
                      <w:szCs w:val="21"/>
                      <w:lang w:eastAsia="zh-CN"/>
                    </w:rPr>
                    <w:t>“</w:t>
                  </w:r>
                  <w:r>
                    <w:rPr>
                      <w:rFonts w:hint="default" w:ascii="Times New Roman" w:hAnsi="Times New Roman" w:eastAsia="宋体" w:cs="Times New Roman"/>
                      <w:color w:val="auto"/>
                      <w:kern w:val="0"/>
                      <w:sz w:val="21"/>
                      <w:szCs w:val="21"/>
                    </w:rPr>
                    <w:t>散乱污</w:t>
                  </w:r>
                  <w:r>
                    <w:rPr>
                      <w:rFonts w:hint="default" w:ascii="Times New Roman" w:hAnsi="Times New Roman" w:eastAsia="宋体" w:cs="Times New Roman"/>
                      <w:color w:val="auto"/>
                      <w:kern w:val="0"/>
                      <w:sz w:val="21"/>
                      <w:szCs w:val="21"/>
                      <w:lang w:eastAsia="zh-CN"/>
                    </w:rPr>
                    <w:t>”</w:t>
                  </w:r>
                  <w:r>
                    <w:rPr>
                      <w:rFonts w:hint="default" w:ascii="Times New Roman" w:hAnsi="Times New Roman" w:eastAsia="宋体" w:cs="Times New Roman"/>
                      <w:color w:val="auto"/>
                      <w:kern w:val="0"/>
                      <w:sz w:val="21"/>
                      <w:szCs w:val="21"/>
                    </w:rPr>
                    <w:t>企业整治工作。</w:t>
                  </w:r>
                </w:p>
                <w:p w14:paraId="2BB0FD8D">
                  <w:pPr>
                    <w:pStyle w:val="83"/>
                    <w:keepNext w:val="0"/>
                    <w:keepLines w:val="0"/>
                    <w:pageBreakBefore w:val="0"/>
                    <w:kinsoku/>
                    <w:wordWrap/>
                    <w:overflowPunct/>
                    <w:topLinePunct w:val="0"/>
                    <w:autoSpaceDE/>
                    <w:autoSpaceDN/>
                    <w:bidi w:val="0"/>
                    <w:adjustRightInd/>
                    <w:snapToGrid/>
                    <w:spacing w:line="240" w:lineRule="exact"/>
                    <w:ind w:firstLine="0" w:firstLineChars="0"/>
                    <w:jc w:val="left"/>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在全市范围深入开展集中整治</w:t>
                  </w:r>
                  <w:r>
                    <w:rPr>
                      <w:rFonts w:hint="default" w:ascii="Times New Roman" w:hAnsi="Times New Roman" w:eastAsia="宋体" w:cs="Times New Roman"/>
                      <w:color w:val="auto"/>
                      <w:kern w:val="0"/>
                      <w:sz w:val="21"/>
                      <w:szCs w:val="21"/>
                      <w:lang w:eastAsia="zh-CN"/>
                    </w:rPr>
                    <w:t>“</w:t>
                  </w:r>
                  <w:r>
                    <w:rPr>
                      <w:rFonts w:hint="default" w:ascii="Times New Roman" w:hAnsi="Times New Roman" w:eastAsia="宋体" w:cs="Times New Roman"/>
                      <w:color w:val="auto"/>
                      <w:kern w:val="0"/>
                      <w:sz w:val="21"/>
                      <w:szCs w:val="21"/>
                    </w:rPr>
                    <w:t>散乱污</w:t>
                  </w:r>
                  <w:r>
                    <w:rPr>
                      <w:rFonts w:hint="default" w:ascii="Times New Roman" w:hAnsi="Times New Roman" w:eastAsia="宋体" w:cs="Times New Roman"/>
                      <w:color w:val="auto"/>
                      <w:kern w:val="0"/>
                      <w:sz w:val="21"/>
                      <w:szCs w:val="21"/>
                      <w:lang w:eastAsia="zh-CN"/>
                    </w:rPr>
                    <w:t>”</w:t>
                  </w:r>
                  <w:r>
                    <w:rPr>
                      <w:rFonts w:hint="default" w:ascii="Times New Roman" w:hAnsi="Times New Roman" w:eastAsia="宋体" w:cs="Times New Roman"/>
                      <w:color w:val="auto"/>
                      <w:kern w:val="0"/>
                      <w:sz w:val="21"/>
                      <w:szCs w:val="21"/>
                    </w:rPr>
                    <w:t>工业企业，对不符合产业政策和规划布局的，一律责令停产、限期搬迁或关停；</w:t>
                  </w:r>
                </w:p>
                <w:p w14:paraId="386B1DFE">
                  <w:pPr>
                    <w:pStyle w:val="83"/>
                    <w:keepNext w:val="0"/>
                    <w:keepLines w:val="0"/>
                    <w:pageBreakBefore w:val="0"/>
                    <w:kinsoku/>
                    <w:wordWrap/>
                    <w:overflowPunct/>
                    <w:topLinePunct w:val="0"/>
                    <w:autoSpaceDE/>
                    <w:autoSpaceDN/>
                    <w:bidi w:val="0"/>
                    <w:adjustRightInd/>
                    <w:snapToGrid/>
                    <w:spacing w:line="240" w:lineRule="exact"/>
                    <w:ind w:firstLine="0" w:firstLineChars="0"/>
                    <w:jc w:val="left"/>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其他空间布局约束要求</w:t>
                  </w:r>
                </w:p>
                <w:p w14:paraId="64674DE6">
                  <w:pPr>
                    <w:pStyle w:val="83"/>
                    <w:keepNext w:val="0"/>
                    <w:keepLines w:val="0"/>
                    <w:pageBreakBefore w:val="0"/>
                    <w:kinsoku/>
                    <w:wordWrap/>
                    <w:overflowPunct/>
                    <w:topLinePunct w:val="0"/>
                    <w:autoSpaceDE/>
                    <w:autoSpaceDN/>
                    <w:bidi w:val="0"/>
                    <w:adjustRightInd/>
                    <w:snapToGrid/>
                    <w:spacing w:line="240" w:lineRule="exact"/>
                    <w:ind w:firstLine="0" w:firstLineChars="0"/>
                    <w:jc w:val="left"/>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暂无</w:t>
                  </w:r>
                </w:p>
                <w:p w14:paraId="41087B69">
                  <w:pPr>
                    <w:pStyle w:val="83"/>
                    <w:keepNext w:val="0"/>
                    <w:keepLines w:val="0"/>
                    <w:pageBreakBefore w:val="0"/>
                    <w:kinsoku/>
                    <w:wordWrap/>
                    <w:overflowPunct/>
                    <w:topLinePunct w:val="0"/>
                    <w:autoSpaceDE/>
                    <w:autoSpaceDN/>
                    <w:bidi w:val="0"/>
                    <w:adjustRightInd/>
                    <w:snapToGrid/>
                    <w:spacing w:line="240" w:lineRule="exact"/>
                    <w:ind w:firstLine="0" w:firstLineChars="0"/>
                    <w:jc w:val="left"/>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污染物排放管控：</w:t>
                  </w:r>
                </w:p>
                <w:p w14:paraId="48A8B1AD">
                  <w:pPr>
                    <w:pStyle w:val="83"/>
                    <w:keepNext w:val="0"/>
                    <w:keepLines w:val="0"/>
                    <w:pageBreakBefore w:val="0"/>
                    <w:kinsoku/>
                    <w:wordWrap/>
                    <w:overflowPunct/>
                    <w:topLinePunct w:val="0"/>
                    <w:autoSpaceDE/>
                    <w:autoSpaceDN/>
                    <w:bidi w:val="0"/>
                    <w:adjustRightInd/>
                    <w:snapToGrid/>
                    <w:spacing w:line="240" w:lineRule="exact"/>
                    <w:ind w:firstLine="0" w:firstLineChars="0"/>
                    <w:jc w:val="left"/>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允许排放量要求</w:t>
                  </w:r>
                </w:p>
                <w:p w14:paraId="680F74F6">
                  <w:pPr>
                    <w:pStyle w:val="83"/>
                    <w:keepNext w:val="0"/>
                    <w:keepLines w:val="0"/>
                    <w:pageBreakBefore w:val="0"/>
                    <w:kinsoku/>
                    <w:wordWrap/>
                    <w:overflowPunct/>
                    <w:topLinePunct w:val="0"/>
                    <w:autoSpaceDE/>
                    <w:autoSpaceDN/>
                    <w:bidi w:val="0"/>
                    <w:adjustRightInd/>
                    <w:snapToGrid/>
                    <w:spacing w:line="240" w:lineRule="exact"/>
                    <w:ind w:firstLine="0" w:firstLineChars="0"/>
                    <w:jc w:val="left"/>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暂无</w:t>
                  </w:r>
                </w:p>
                <w:p w14:paraId="291DCE96">
                  <w:pPr>
                    <w:pStyle w:val="83"/>
                    <w:keepNext w:val="0"/>
                    <w:keepLines w:val="0"/>
                    <w:pageBreakBefore w:val="0"/>
                    <w:kinsoku/>
                    <w:wordWrap/>
                    <w:overflowPunct/>
                    <w:topLinePunct w:val="0"/>
                    <w:autoSpaceDE/>
                    <w:autoSpaceDN/>
                    <w:bidi w:val="0"/>
                    <w:adjustRightInd/>
                    <w:snapToGrid/>
                    <w:spacing w:line="240" w:lineRule="exact"/>
                    <w:ind w:firstLine="0" w:firstLineChars="0"/>
                    <w:jc w:val="left"/>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现有源提标升级改造</w:t>
                  </w:r>
                </w:p>
                <w:p w14:paraId="0958B02F">
                  <w:pPr>
                    <w:pStyle w:val="83"/>
                    <w:keepNext w:val="0"/>
                    <w:keepLines w:val="0"/>
                    <w:pageBreakBefore w:val="0"/>
                    <w:kinsoku/>
                    <w:wordWrap/>
                    <w:overflowPunct/>
                    <w:topLinePunct w:val="0"/>
                    <w:autoSpaceDE/>
                    <w:autoSpaceDN/>
                    <w:bidi w:val="0"/>
                    <w:adjustRightInd/>
                    <w:snapToGrid/>
                    <w:spacing w:line="240" w:lineRule="exact"/>
                    <w:ind w:firstLine="0" w:firstLineChars="0"/>
                    <w:jc w:val="left"/>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加快现有乡镇污水处理设施升级改造，按要求达《城镇污水处理厂污染物排放标准》一级A标后排放。</w:t>
                  </w:r>
                </w:p>
                <w:p w14:paraId="6C80F079">
                  <w:pPr>
                    <w:pStyle w:val="83"/>
                    <w:keepNext w:val="0"/>
                    <w:keepLines w:val="0"/>
                    <w:pageBreakBefore w:val="0"/>
                    <w:kinsoku/>
                    <w:wordWrap/>
                    <w:overflowPunct/>
                    <w:topLinePunct w:val="0"/>
                    <w:autoSpaceDE/>
                    <w:autoSpaceDN/>
                    <w:bidi w:val="0"/>
                    <w:adjustRightInd/>
                    <w:snapToGrid/>
                    <w:spacing w:line="240" w:lineRule="exact"/>
                    <w:ind w:firstLine="0" w:firstLineChars="0"/>
                    <w:jc w:val="left"/>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在矿产资源开发活动集中区域，废水执行重金属污染物排放特别限值。</w:t>
                  </w:r>
                </w:p>
                <w:p w14:paraId="1FD9C6D2">
                  <w:pPr>
                    <w:pStyle w:val="83"/>
                    <w:keepNext w:val="0"/>
                    <w:keepLines w:val="0"/>
                    <w:pageBreakBefore w:val="0"/>
                    <w:kinsoku/>
                    <w:wordWrap/>
                    <w:overflowPunct/>
                    <w:topLinePunct w:val="0"/>
                    <w:autoSpaceDE/>
                    <w:autoSpaceDN/>
                    <w:bidi w:val="0"/>
                    <w:adjustRightInd/>
                    <w:snapToGrid/>
                    <w:spacing w:line="240" w:lineRule="exact"/>
                    <w:ind w:firstLine="0" w:firstLineChars="0"/>
                    <w:jc w:val="left"/>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火电、水泥等行业按相关要求推进大气污染物超低排放和深度治理。</w:t>
                  </w:r>
                </w:p>
                <w:p w14:paraId="02582D38">
                  <w:pPr>
                    <w:pStyle w:val="83"/>
                    <w:keepNext w:val="0"/>
                    <w:keepLines w:val="0"/>
                    <w:pageBreakBefore w:val="0"/>
                    <w:kinsoku/>
                    <w:wordWrap/>
                    <w:overflowPunct/>
                    <w:topLinePunct w:val="0"/>
                    <w:autoSpaceDE/>
                    <w:autoSpaceDN/>
                    <w:bidi w:val="0"/>
                    <w:adjustRightInd/>
                    <w:snapToGrid/>
                    <w:spacing w:line="240" w:lineRule="exact"/>
                    <w:ind w:firstLine="0" w:firstLineChars="0"/>
                    <w:jc w:val="left"/>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砖瓦行业实施脱硫、除尘升级改造，污染物排放达到《砖瓦工业大气污染物排放标准》相关要求。</w:t>
                  </w:r>
                </w:p>
                <w:p w14:paraId="171F3F96">
                  <w:pPr>
                    <w:pStyle w:val="83"/>
                    <w:keepNext w:val="0"/>
                    <w:keepLines w:val="0"/>
                    <w:pageBreakBefore w:val="0"/>
                    <w:kinsoku/>
                    <w:wordWrap/>
                    <w:overflowPunct/>
                    <w:topLinePunct w:val="0"/>
                    <w:autoSpaceDE/>
                    <w:autoSpaceDN/>
                    <w:bidi w:val="0"/>
                    <w:adjustRightInd/>
                    <w:snapToGrid/>
                    <w:spacing w:line="240" w:lineRule="exact"/>
                    <w:ind w:firstLine="0" w:firstLineChars="0"/>
                    <w:jc w:val="left"/>
                    <w:textAlignment w:val="auto"/>
                    <w:rPr>
                      <w:rFonts w:hint="default" w:ascii="Times New Roman" w:hAnsi="Times New Roman" w:eastAsia="宋体" w:cs="Times New Roman"/>
                      <w:color w:val="auto"/>
                      <w:kern w:val="0"/>
                      <w:sz w:val="21"/>
                      <w:szCs w:val="21"/>
                    </w:rPr>
                  </w:pPr>
                </w:p>
                <w:p w14:paraId="442FA537">
                  <w:pPr>
                    <w:pStyle w:val="83"/>
                    <w:keepNext w:val="0"/>
                    <w:keepLines w:val="0"/>
                    <w:pageBreakBefore w:val="0"/>
                    <w:kinsoku/>
                    <w:wordWrap/>
                    <w:overflowPunct/>
                    <w:topLinePunct w:val="0"/>
                    <w:autoSpaceDE/>
                    <w:autoSpaceDN/>
                    <w:bidi w:val="0"/>
                    <w:adjustRightInd/>
                    <w:snapToGrid/>
                    <w:spacing w:line="240" w:lineRule="exact"/>
                    <w:ind w:firstLine="0" w:firstLineChars="0"/>
                    <w:jc w:val="left"/>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其他污染物排放管控要求</w:t>
                  </w:r>
                </w:p>
                <w:p w14:paraId="22BF8C9F">
                  <w:pPr>
                    <w:pStyle w:val="83"/>
                    <w:keepNext w:val="0"/>
                    <w:keepLines w:val="0"/>
                    <w:pageBreakBefore w:val="0"/>
                    <w:kinsoku/>
                    <w:wordWrap/>
                    <w:overflowPunct/>
                    <w:topLinePunct w:val="0"/>
                    <w:autoSpaceDE/>
                    <w:autoSpaceDN/>
                    <w:bidi w:val="0"/>
                    <w:adjustRightInd/>
                    <w:snapToGrid/>
                    <w:spacing w:line="240" w:lineRule="exact"/>
                    <w:ind w:firstLine="0" w:firstLineChars="0"/>
                    <w:jc w:val="left"/>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新增源等量或倍量替代</w:t>
                  </w:r>
                  <w:r>
                    <w:rPr>
                      <w:rFonts w:hint="default" w:ascii="Times New Roman" w:hAnsi="Times New Roman" w:eastAsia="宋体" w:cs="Times New Roman"/>
                      <w:color w:val="auto"/>
                      <w:kern w:val="0"/>
                      <w:sz w:val="21"/>
                      <w:szCs w:val="21"/>
                      <w:lang w:eastAsia="zh-CN"/>
                    </w:rPr>
                    <w:t>：</w:t>
                  </w:r>
                  <w:r>
                    <w:rPr>
                      <w:rFonts w:hint="default" w:ascii="Times New Roman" w:hAnsi="Times New Roman" w:eastAsia="宋体" w:cs="Times New Roman"/>
                      <w:color w:val="auto"/>
                      <w:kern w:val="0"/>
                      <w:sz w:val="21"/>
                      <w:szCs w:val="21"/>
                    </w:rPr>
                    <w:t>上一年度水环境质量未完成目标的，新建排放水污染的建设项目按照总量管控要求进行倍量削减替代。上一年度空气质量年平均浓度不达标的城市，建设项目新增相关污染物按照总量管控要求进行倍量削减替代。大气环境重点管控区内，新增大气污染物排放的建设项目实施总量削减替代。污染物排放绩效水平准入要求</w:t>
                  </w:r>
                  <w:r>
                    <w:rPr>
                      <w:rFonts w:hint="default" w:ascii="Times New Roman" w:hAnsi="Times New Roman" w:eastAsia="宋体" w:cs="Times New Roman"/>
                      <w:color w:val="auto"/>
                      <w:kern w:val="0"/>
                      <w:sz w:val="21"/>
                      <w:szCs w:val="21"/>
                      <w:lang w:eastAsia="zh-CN"/>
                    </w:rPr>
                    <w:t>：</w:t>
                  </w:r>
                  <w:r>
                    <w:rPr>
                      <w:rFonts w:hint="default" w:ascii="Times New Roman" w:hAnsi="Times New Roman" w:eastAsia="宋体" w:cs="Times New Roman"/>
                      <w:color w:val="auto"/>
                      <w:kern w:val="0"/>
                      <w:sz w:val="21"/>
                      <w:szCs w:val="21"/>
                    </w:rPr>
                    <w:t>屠宰项目必须配套污水处理设施或进入城市污水管网。</w:t>
                  </w:r>
                </w:p>
                <w:p w14:paraId="1B84F024">
                  <w:pPr>
                    <w:pStyle w:val="83"/>
                    <w:keepNext w:val="0"/>
                    <w:keepLines w:val="0"/>
                    <w:pageBreakBefore w:val="0"/>
                    <w:kinsoku/>
                    <w:wordWrap/>
                    <w:overflowPunct/>
                    <w:topLinePunct w:val="0"/>
                    <w:autoSpaceDE/>
                    <w:autoSpaceDN/>
                    <w:bidi w:val="0"/>
                    <w:adjustRightInd/>
                    <w:snapToGrid/>
                    <w:spacing w:line="240" w:lineRule="exact"/>
                    <w:ind w:firstLine="0" w:firstLineChars="0"/>
                    <w:jc w:val="left"/>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大气环境重点管控区内加强</w:t>
                  </w:r>
                  <w:r>
                    <w:rPr>
                      <w:rFonts w:hint="default" w:ascii="Times New Roman" w:hAnsi="Times New Roman" w:eastAsia="宋体" w:cs="Times New Roman"/>
                      <w:color w:val="auto"/>
                      <w:kern w:val="0"/>
                      <w:sz w:val="21"/>
                      <w:szCs w:val="21"/>
                      <w:lang w:eastAsia="zh-CN"/>
                    </w:rPr>
                    <w:t>“</w:t>
                  </w:r>
                  <w:r>
                    <w:rPr>
                      <w:rFonts w:hint="default" w:ascii="Times New Roman" w:hAnsi="Times New Roman" w:eastAsia="宋体" w:cs="Times New Roman"/>
                      <w:color w:val="auto"/>
                      <w:kern w:val="0"/>
                      <w:sz w:val="21"/>
                      <w:szCs w:val="21"/>
                    </w:rPr>
                    <w:t>高架源</w:t>
                  </w:r>
                  <w:r>
                    <w:rPr>
                      <w:rFonts w:hint="default" w:ascii="Times New Roman" w:hAnsi="Times New Roman" w:eastAsia="宋体" w:cs="Times New Roman"/>
                      <w:color w:val="auto"/>
                      <w:kern w:val="0"/>
                      <w:sz w:val="21"/>
                      <w:szCs w:val="21"/>
                      <w:lang w:eastAsia="zh-CN"/>
                    </w:rPr>
                    <w:t>”</w:t>
                  </w:r>
                  <w:r>
                    <w:rPr>
                      <w:rFonts w:hint="default" w:ascii="Times New Roman" w:hAnsi="Times New Roman" w:eastAsia="宋体" w:cs="Times New Roman"/>
                      <w:color w:val="auto"/>
                      <w:kern w:val="0"/>
                      <w:sz w:val="21"/>
                      <w:szCs w:val="21"/>
                    </w:rPr>
                    <w:t>污染治理，深化施工扬尘监管，严格落实</w:t>
                  </w:r>
                  <w:r>
                    <w:rPr>
                      <w:rFonts w:hint="default" w:ascii="Times New Roman" w:hAnsi="Times New Roman" w:eastAsia="宋体" w:cs="Times New Roman"/>
                      <w:color w:val="auto"/>
                      <w:kern w:val="0"/>
                      <w:sz w:val="21"/>
                      <w:szCs w:val="21"/>
                      <w:lang w:eastAsia="zh-CN"/>
                    </w:rPr>
                    <w:t>“</w:t>
                  </w:r>
                  <w:r>
                    <w:rPr>
                      <w:rFonts w:hint="default" w:ascii="Times New Roman" w:hAnsi="Times New Roman" w:eastAsia="宋体" w:cs="Times New Roman"/>
                      <w:color w:val="auto"/>
                      <w:kern w:val="0"/>
                      <w:sz w:val="21"/>
                      <w:szCs w:val="21"/>
                    </w:rPr>
                    <w:t>六必须、六不准</w:t>
                  </w:r>
                  <w:r>
                    <w:rPr>
                      <w:rFonts w:hint="default" w:ascii="Times New Roman" w:hAnsi="Times New Roman" w:eastAsia="宋体" w:cs="Times New Roman"/>
                      <w:color w:val="auto"/>
                      <w:kern w:val="0"/>
                      <w:sz w:val="21"/>
                      <w:szCs w:val="21"/>
                      <w:lang w:eastAsia="zh-CN"/>
                    </w:rPr>
                    <w:t>”</w:t>
                  </w:r>
                  <w:r>
                    <w:rPr>
                      <w:rFonts w:hint="default" w:ascii="Times New Roman" w:hAnsi="Times New Roman" w:eastAsia="宋体" w:cs="Times New Roman"/>
                      <w:color w:val="auto"/>
                      <w:kern w:val="0"/>
                      <w:sz w:val="21"/>
                      <w:szCs w:val="21"/>
                    </w:rPr>
                    <w:t>管控要求，强化道路施工管控，提高道路清扫机械化和精细化作业水平。-至2022年底，基本实现乡镇污水处理设施全覆盖，配套建设污水收集管网，乡镇污水处理率达到65%。</w:t>
                  </w:r>
                </w:p>
                <w:p w14:paraId="58BC47BF">
                  <w:pPr>
                    <w:pStyle w:val="83"/>
                    <w:keepNext w:val="0"/>
                    <w:keepLines w:val="0"/>
                    <w:pageBreakBefore w:val="0"/>
                    <w:kinsoku/>
                    <w:wordWrap/>
                    <w:overflowPunct/>
                    <w:topLinePunct w:val="0"/>
                    <w:autoSpaceDE/>
                    <w:autoSpaceDN/>
                    <w:bidi w:val="0"/>
                    <w:adjustRightInd/>
                    <w:snapToGrid/>
                    <w:spacing w:line="240" w:lineRule="exact"/>
                    <w:ind w:firstLine="0" w:firstLineChars="0"/>
                    <w:jc w:val="left"/>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-到2023年底，力争全市生活垃圾焚烧处理能力占比达60%以上，各县（市）生活垃圾无害化处理率保持95%以上，乡镇及行政村生活垃圾收转运处置体系基本实现全覆盖。</w:t>
                  </w:r>
                </w:p>
                <w:p w14:paraId="798CF0B4">
                  <w:pPr>
                    <w:pStyle w:val="83"/>
                    <w:keepNext w:val="0"/>
                    <w:keepLines w:val="0"/>
                    <w:pageBreakBefore w:val="0"/>
                    <w:kinsoku/>
                    <w:wordWrap/>
                    <w:overflowPunct/>
                    <w:topLinePunct w:val="0"/>
                    <w:autoSpaceDE/>
                    <w:autoSpaceDN/>
                    <w:bidi w:val="0"/>
                    <w:adjustRightInd/>
                    <w:snapToGrid/>
                    <w:spacing w:line="240" w:lineRule="exact"/>
                    <w:ind w:firstLine="0" w:firstLineChars="0"/>
                    <w:jc w:val="left"/>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-到2025年，农药包装废弃物回收率达80%；粮油绿色高质高效示范区、茶叶主产区和现代农业园区农药包装废弃物回收率100%。</w:t>
                  </w:r>
                </w:p>
                <w:p w14:paraId="1138BCCA">
                  <w:pPr>
                    <w:pStyle w:val="83"/>
                    <w:keepNext w:val="0"/>
                    <w:keepLines w:val="0"/>
                    <w:pageBreakBefore w:val="0"/>
                    <w:kinsoku/>
                    <w:wordWrap/>
                    <w:overflowPunct/>
                    <w:topLinePunct w:val="0"/>
                    <w:autoSpaceDE/>
                    <w:autoSpaceDN/>
                    <w:bidi w:val="0"/>
                    <w:adjustRightInd/>
                    <w:snapToGrid/>
                    <w:spacing w:line="240" w:lineRule="exact"/>
                    <w:ind w:firstLine="0" w:firstLineChars="0"/>
                    <w:jc w:val="left"/>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-到2025年，全国主要农作物化肥、农药利用率达43%，测土配方施肥技术推广覆盖率保持在90%以上，控制农村面源污染，采取灌排分离等措施控制农田氮磷流失。</w:t>
                  </w:r>
                </w:p>
                <w:p w14:paraId="4FA0E494">
                  <w:pPr>
                    <w:pStyle w:val="83"/>
                    <w:keepNext w:val="0"/>
                    <w:keepLines w:val="0"/>
                    <w:pageBreakBefore w:val="0"/>
                    <w:kinsoku/>
                    <w:wordWrap/>
                    <w:overflowPunct/>
                    <w:topLinePunct w:val="0"/>
                    <w:autoSpaceDE/>
                    <w:autoSpaceDN/>
                    <w:bidi w:val="0"/>
                    <w:adjustRightInd/>
                    <w:snapToGrid/>
                    <w:spacing w:line="240" w:lineRule="exact"/>
                    <w:ind w:firstLine="0" w:firstLineChars="0"/>
                    <w:jc w:val="left"/>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到2025年，新、改扩建规模化畜禽养殖场（小区）要实施雨污分流、粪便污水资源化利用；规模化畜禽养殖场（小区）粪污处理设施装备配套率达到95%以上，粪污综合利用率达到80%以上，大型规模养殖场粪污处理设施装备配套率达到100%，畜禽粪污基本实现资源化利用；散养密集区要实行畜禽粪便污水分户收集、集中处理利用。</w:t>
                  </w:r>
                </w:p>
                <w:p w14:paraId="5F0E00C8">
                  <w:pPr>
                    <w:pStyle w:val="83"/>
                    <w:keepNext w:val="0"/>
                    <w:keepLines w:val="0"/>
                    <w:pageBreakBefore w:val="0"/>
                    <w:kinsoku/>
                    <w:wordWrap/>
                    <w:overflowPunct/>
                    <w:topLinePunct w:val="0"/>
                    <w:autoSpaceDE/>
                    <w:autoSpaceDN/>
                    <w:bidi w:val="0"/>
                    <w:adjustRightInd/>
                    <w:snapToGrid/>
                    <w:spacing w:line="240" w:lineRule="exact"/>
                    <w:ind w:firstLine="0" w:firstLineChars="0"/>
                    <w:jc w:val="left"/>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-到2025年，废旧农膜回收利用率达到85%以上。</w:t>
                  </w:r>
                </w:p>
                <w:p w14:paraId="0ECD9E7C">
                  <w:pPr>
                    <w:pStyle w:val="83"/>
                    <w:keepNext w:val="0"/>
                    <w:keepLines w:val="0"/>
                    <w:pageBreakBefore w:val="0"/>
                    <w:kinsoku/>
                    <w:wordWrap/>
                    <w:overflowPunct/>
                    <w:topLinePunct w:val="0"/>
                    <w:autoSpaceDE/>
                    <w:autoSpaceDN/>
                    <w:bidi w:val="0"/>
                    <w:adjustRightInd/>
                    <w:snapToGrid/>
                    <w:spacing w:line="240" w:lineRule="exact"/>
                    <w:ind w:firstLine="0" w:firstLineChars="0"/>
                    <w:jc w:val="left"/>
                    <w:textAlignment w:val="auto"/>
                    <w:rPr>
                      <w:rFonts w:hint="default" w:ascii="Times New Roman" w:hAnsi="Times New Roman" w:eastAsia="宋体" w:cs="Times New Roman"/>
                      <w:color w:val="auto"/>
                      <w:kern w:val="0"/>
                      <w:sz w:val="21"/>
                      <w:szCs w:val="21"/>
                    </w:rPr>
                  </w:pPr>
                </w:p>
                <w:p w14:paraId="09833FEC">
                  <w:pPr>
                    <w:pStyle w:val="83"/>
                    <w:keepNext w:val="0"/>
                    <w:keepLines w:val="0"/>
                    <w:pageBreakBefore w:val="0"/>
                    <w:kinsoku/>
                    <w:wordWrap/>
                    <w:overflowPunct/>
                    <w:topLinePunct w:val="0"/>
                    <w:autoSpaceDE/>
                    <w:autoSpaceDN/>
                    <w:bidi w:val="0"/>
                    <w:adjustRightInd/>
                    <w:snapToGrid/>
                    <w:spacing w:line="240" w:lineRule="exact"/>
                    <w:ind w:firstLine="0" w:firstLineChars="0"/>
                    <w:jc w:val="left"/>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环境风险防控：</w:t>
                  </w:r>
                </w:p>
                <w:p w14:paraId="1C649A68">
                  <w:pPr>
                    <w:pStyle w:val="83"/>
                    <w:keepNext w:val="0"/>
                    <w:keepLines w:val="0"/>
                    <w:pageBreakBefore w:val="0"/>
                    <w:kinsoku/>
                    <w:wordWrap/>
                    <w:overflowPunct/>
                    <w:topLinePunct w:val="0"/>
                    <w:autoSpaceDE/>
                    <w:autoSpaceDN/>
                    <w:bidi w:val="0"/>
                    <w:adjustRightInd/>
                    <w:snapToGrid/>
                    <w:spacing w:line="240" w:lineRule="exact"/>
                    <w:ind w:firstLine="0" w:firstLineChars="0"/>
                    <w:jc w:val="left"/>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联防联控要求</w:t>
                  </w:r>
                </w:p>
                <w:p w14:paraId="6DB3928F">
                  <w:pPr>
                    <w:pStyle w:val="83"/>
                    <w:keepNext w:val="0"/>
                    <w:keepLines w:val="0"/>
                    <w:pageBreakBefore w:val="0"/>
                    <w:kinsoku/>
                    <w:wordWrap/>
                    <w:overflowPunct/>
                    <w:topLinePunct w:val="0"/>
                    <w:autoSpaceDE/>
                    <w:autoSpaceDN/>
                    <w:bidi w:val="0"/>
                    <w:adjustRightInd/>
                    <w:snapToGrid/>
                    <w:spacing w:line="240" w:lineRule="exact"/>
                    <w:ind w:firstLine="0" w:firstLineChars="0"/>
                    <w:jc w:val="left"/>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强化区域联防联控，严格落实《关于建立跨省流域上下游突发水污染事件联防联控机制的指导意见》；定期召开区域大气环境形式分析会，强化信息共享和联动合作，实行环境规划，标准，环评，执法，信息公开</w:t>
                  </w:r>
                  <w:r>
                    <w:rPr>
                      <w:rFonts w:hint="default" w:ascii="Times New Roman" w:hAnsi="Times New Roman" w:eastAsia="宋体" w:cs="Times New Roman"/>
                      <w:color w:val="auto"/>
                      <w:kern w:val="0"/>
                      <w:sz w:val="21"/>
                      <w:szCs w:val="21"/>
                      <w:lang w:eastAsia="zh-CN"/>
                    </w:rPr>
                    <w:t>“</w:t>
                  </w:r>
                  <w:r>
                    <w:rPr>
                      <w:rFonts w:hint="default" w:ascii="Times New Roman" w:hAnsi="Times New Roman" w:eastAsia="宋体" w:cs="Times New Roman"/>
                      <w:color w:val="auto"/>
                      <w:kern w:val="0"/>
                      <w:sz w:val="21"/>
                      <w:szCs w:val="21"/>
                    </w:rPr>
                    <w:t>六统一</w:t>
                  </w:r>
                  <w:r>
                    <w:rPr>
                      <w:rFonts w:hint="default" w:ascii="Times New Roman" w:hAnsi="Times New Roman" w:eastAsia="宋体" w:cs="Times New Roman"/>
                      <w:color w:val="auto"/>
                      <w:kern w:val="0"/>
                      <w:sz w:val="21"/>
                      <w:szCs w:val="21"/>
                      <w:lang w:eastAsia="zh-CN"/>
                    </w:rPr>
                    <w:t>”</w:t>
                  </w:r>
                  <w:r>
                    <w:rPr>
                      <w:rFonts w:hint="default" w:ascii="Times New Roman" w:hAnsi="Times New Roman" w:eastAsia="宋体" w:cs="Times New Roman"/>
                      <w:color w:val="auto"/>
                      <w:kern w:val="0"/>
                      <w:sz w:val="21"/>
                      <w:szCs w:val="21"/>
                    </w:rPr>
                    <w:t>，协力推进大气污染源头防控，加强川东北区域大气污染防止合作</w:t>
                  </w:r>
                </w:p>
                <w:p w14:paraId="2DBF3397">
                  <w:pPr>
                    <w:pStyle w:val="83"/>
                    <w:keepNext w:val="0"/>
                    <w:keepLines w:val="0"/>
                    <w:pageBreakBefore w:val="0"/>
                    <w:kinsoku/>
                    <w:wordWrap/>
                    <w:overflowPunct/>
                    <w:topLinePunct w:val="0"/>
                    <w:autoSpaceDE/>
                    <w:autoSpaceDN/>
                    <w:bidi w:val="0"/>
                    <w:adjustRightInd/>
                    <w:snapToGrid/>
                    <w:spacing w:line="240" w:lineRule="exact"/>
                    <w:ind w:firstLine="0" w:firstLineChars="0"/>
                    <w:jc w:val="left"/>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其他环境风险防控要求</w:t>
                  </w:r>
                </w:p>
                <w:p w14:paraId="1640B732">
                  <w:pPr>
                    <w:pStyle w:val="83"/>
                    <w:keepNext w:val="0"/>
                    <w:keepLines w:val="0"/>
                    <w:pageBreakBefore w:val="0"/>
                    <w:kinsoku/>
                    <w:wordWrap/>
                    <w:overflowPunct/>
                    <w:topLinePunct w:val="0"/>
                    <w:autoSpaceDE/>
                    <w:autoSpaceDN/>
                    <w:bidi w:val="0"/>
                    <w:adjustRightInd/>
                    <w:snapToGrid/>
                    <w:spacing w:line="240" w:lineRule="exact"/>
                    <w:ind w:firstLine="0" w:firstLineChars="0"/>
                    <w:jc w:val="left"/>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企业环境风险防控要求</w:t>
                  </w:r>
                  <w:r>
                    <w:rPr>
                      <w:rFonts w:hint="default" w:ascii="Times New Roman" w:hAnsi="Times New Roman" w:eastAsia="宋体" w:cs="Times New Roman"/>
                      <w:color w:val="auto"/>
                      <w:kern w:val="0"/>
                      <w:sz w:val="21"/>
                      <w:szCs w:val="21"/>
                      <w:lang w:eastAsia="zh-CN"/>
                    </w:rPr>
                    <w:t>：</w:t>
                  </w:r>
                  <w:r>
                    <w:rPr>
                      <w:rFonts w:hint="default" w:ascii="Times New Roman" w:hAnsi="Times New Roman" w:eastAsia="宋体" w:cs="Times New Roman"/>
                      <w:color w:val="auto"/>
                      <w:kern w:val="0"/>
                      <w:sz w:val="21"/>
                      <w:szCs w:val="21"/>
                    </w:rPr>
                    <w:t>工业企业退出用地，须经评估、修复满足相应用地功能后，方可改变用途。</w:t>
                  </w:r>
                </w:p>
                <w:p w14:paraId="2B2BE794">
                  <w:pPr>
                    <w:pStyle w:val="83"/>
                    <w:keepNext w:val="0"/>
                    <w:keepLines w:val="0"/>
                    <w:pageBreakBefore w:val="0"/>
                    <w:kinsoku/>
                    <w:wordWrap/>
                    <w:overflowPunct/>
                    <w:topLinePunct w:val="0"/>
                    <w:autoSpaceDE/>
                    <w:autoSpaceDN/>
                    <w:bidi w:val="0"/>
                    <w:adjustRightInd/>
                    <w:snapToGrid/>
                    <w:spacing w:line="240" w:lineRule="exact"/>
                    <w:ind w:firstLine="0" w:firstLineChars="0"/>
                    <w:jc w:val="left"/>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加强</w:t>
                  </w:r>
                  <w:r>
                    <w:rPr>
                      <w:rFonts w:hint="default" w:ascii="Times New Roman" w:hAnsi="Times New Roman" w:eastAsia="宋体" w:cs="Times New Roman"/>
                      <w:color w:val="auto"/>
                      <w:kern w:val="0"/>
                      <w:sz w:val="21"/>
                      <w:szCs w:val="21"/>
                      <w:lang w:eastAsia="zh-CN"/>
                    </w:rPr>
                    <w:t>“</w:t>
                  </w:r>
                  <w:r>
                    <w:rPr>
                      <w:rFonts w:hint="default" w:ascii="Times New Roman" w:hAnsi="Times New Roman" w:eastAsia="宋体" w:cs="Times New Roman"/>
                      <w:color w:val="auto"/>
                      <w:kern w:val="0"/>
                      <w:sz w:val="21"/>
                      <w:szCs w:val="21"/>
                    </w:rPr>
                    <w:t>散乱污</w:t>
                  </w:r>
                  <w:r>
                    <w:rPr>
                      <w:rFonts w:hint="default" w:ascii="Times New Roman" w:hAnsi="Times New Roman" w:eastAsia="宋体" w:cs="Times New Roman"/>
                      <w:color w:val="auto"/>
                      <w:kern w:val="0"/>
                      <w:sz w:val="21"/>
                      <w:szCs w:val="21"/>
                      <w:lang w:eastAsia="zh-CN"/>
                    </w:rPr>
                    <w:t>”</w:t>
                  </w:r>
                  <w:r>
                    <w:rPr>
                      <w:rFonts w:hint="default" w:ascii="Times New Roman" w:hAnsi="Times New Roman" w:eastAsia="宋体" w:cs="Times New Roman"/>
                      <w:color w:val="auto"/>
                      <w:kern w:val="0"/>
                      <w:sz w:val="21"/>
                      <w:szCs w:val="21"/>
                    </w:rPr>
                    <w:t>企业环境风险防控。对拟收回土地使用权的有色金属矿采选、有色金属冶炼、石油加工、化工、焦化、电镀、制革、天然（页岩）气开采、铅蓄电池、汽车制造、农药、危废处置、电子拆解等行业企业用地，以及用途拟变更为居住和商业、学校、医疗、养老机构等公共设施的上述企业用地，以及由重度污染农用地转为的城镇建设用地，开展土壤环境状况调查评估。用地环境风险防控要求</w:t>
                  </w:r>
                  <w:r>
                    <w:rPr>
                      <w:rFonts w:hint="default" w:ascii="Times New Roman" w:hAnsi="Times New Roman" w:eastAsia="宋体" w:cs="Times New Roman"/>
                      <w:color w:val="auto"/>
                      <w:kern w:val="0"/>
                      <w:sz w:val="21"/>
                      <w:szCs w:val="21"/>
                      <w:lang w:eastAsia="zh-CN"/>
                    </w:rPr>
                    <w:t>：</w:t>
                  </w:r>
                  <w:r>
                    <w:rPr>
                      <w:rFonts w:hint="default" w:ascii="Times New Roman" w:hAnsi="Times New Roman" w:eastAsia="宋体" w:cs="Times New Roman"/>
                      <w:color w:val="auto"/>
                      <w:kern w:val="0"/>
                      <w:sz w:val="21"/>
                      <w:szCs w:val="21"/>
                    </w:rPr>
                    <w:t>严禁将城镇生活垃圾、污泥、工业废物直接用作肥料，禁止处理不达标的污泥进入耕地；禁止在农用地排放、倾倒、使用污泥、清淤底泥、尾矿（渣）等可能对土壤造成污染的固体废物。</w:t>
                  </w:r>
                </w:p>
                <w:p w14:paraId="5DF42A6E">
                  <w:pPr>
                    <w:pStyle w:val="83"/>
                    <w:keepNext w:val="0"/>
                    <w:keepLines w:val="0"/>
                    <w:pageBreakBefore w:val="0"/>
                    <w:kinsoku/>
                    <w:wordWrap/>
                    <w:overflowPunct/>
                    <w:topLinePunct w:val="0"/>
                    <w:autoSpaceDE/>
                    <w:autoSpaceDN/>
                    <w:bidi w:val="0"/>
                    <w:adjustRightInd/>
                    <w:snapToGrid/>
                    <w:spacing w:line="240" w:lineRule="exact"/>
                    <w:ind w:firstLine="0" w:firstLineChars="0"/>
                    <w:jc w:val="left"/>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定期对单元内尾矿库进行风险巡查，建立监测系统和环境风险应急预案；完善各尾矿库渗滤液收集、处理、回用系统，杜绝事故排放；尾矿库闭矿后因地制宜进行植被恢复和综合利用。</w:t>
                  </w:r>
                </w:p>
                <w:p w14:paraId="2E478C7E">
                  <w:pPr>
                    <w:pStyle w:val="83"/>
                    <w:keepNext w:val="0"/>
                    <w:keepLines w:val="0"/>
                    <w:pageBreakBefore w:val="0"/>
                    <w:kinsoku/>
                    <w:wordWrap/>
                    <w:overflowPunct/>
                    <w:topLinePunct w:val="0"/>
                    <w:autoSpaceDE/>
                    <w:autoSpaceDN/>
                    <w:bidi w:val="0"/>
                    <w:adjustRightInd/>
                    <w:snapToGrid/>
                    <w:spacing w:line="240" w:lineRule="exact"/>
                    <w:ind w:firstLine="0" w:firstLineChars="0"/>
                    <w:jc w:val="left"/>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规范排土场、渣场等整治。禁止处理不达标的污泥进入耕地。</w:t>
                  </w:r>
                </w:p>
                <w:p w14:paraId="741240D2">
                  <w:pPr>
                    <w:pStyle w:val="83"/>
                    <w:keepNext w:val="0"/>
                    <w:keepLines w:val="0"/>
                    <w:pageBreakBefore w:val="0"/>
                    <w:kinsoku/>
                    <w:wordWrap/>
                    <w:overflowPunct/>
                    <w:topLinePunct w:val="0"/>
                    <w:autoSpaceDE/>
                    <w:autoSpaceDN/>
                    <w:bidi w:val="0"/>
                    <w:adjustRightInd/>
                    <w:snapToGrid/>
                    <w:spacing w:line="240" w:lineRule="exact"/>
                    <w:ind w:firstLine="0" w:firstLineChars="0"/>
                    <w:jc w:val="left"/>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严格控制林地、草地、园地的农药使用量，禁止使用高毒、高残留农药。</w:t>
                  </w:r>
                </w:p>
                <w:p w14:paraId="0773B87E">
                  <w:pPr>
                    <w:pStyle w:val="83"/>
                    <w:keepNext w:val="0"/>
                    <w:keepLines w:val="0"/>
                    <w:pageBreakBefore w:val="0"/>
                    <w:kinsoku/>
                    <w:wordWrap/>
                    <w:overflowPunct/>
                    <w:topLinePunct w:val="0"/>
                    <w:autoSpaceDE/>
                    <w:autoSpaceDN/>
                    <w:bidi w:val="0"/>
                    <w:adjustRightInd/>
                    <w:snapToGrid/>
                    <w:spacing w:line="240" w:lineRule="exact"/>
                    <w:ind w:firstLine="0" w:firstLineChars="0"/>
                    <w:jc w:val="left"/>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到2030年，全市受污染耕地安全利用率达到95%以上，污染地块安全利用率达到95%以上。</w:t>
                  </w:r>
                </w:p>
                <w:p w14:paraId="01259406">
                  <w:pPr>
                    <w:pStyle w:val="83"/>
                    <w:keepNext w:val="0"/>
                    <w:keepLines w:val="0"/>
                    <w:pageBreakBefore w:val="0"/>
                    <w:kinsoku/>
                    <w:wordWrap/>
                    <w:overflowPunct/>
                    <w:topLinePunct w:val="0"/>
                    <w:autoSpaceDE/>
                    <w:autoSpaceDN/>
                    <w:bidi w:val="0"/>
                    <w:adjustRightInd/>
                    <w:snapToGrid/>
                    <w:spacing w:line="240" w:lineRule="exact"/>
                    <w:ind w:firstLine="0" w:firstLineChars="0"/>
                    <w:jc w:val="left"/>
                    <w:textAlignment w:val="auto"/>
                    <w:rPr>
                      <w:rFonts w:hint="default" w:ascii="Times New Roman" w:hAnsi="Times New Roman" w:eastAsia="宋体" w:cs="Times New Roman"/>
                      <w:color w:val="auto"/>
                      <w:kern w:val="0"/>
                      <w:sz w:val="21"/>
                      <w:szCs w:val="21"/>
                    </w:rPr>
                  </w:pPr>
                </w:p>
                <w:p w14:paraId="0255B203">
                  <w:pPr>
                    <w:pStyle w:val="83"/>
                    <w:keepNext w:val="0"/>
                    <w:keepLines w:val="0"/>
                    <w:pageBreakBefore w:val="0"/>
                    <w:kinsoku/>
                    <w:wordWrap/>
                    <w:overflowPunct/>
                    <w:topLinePunct w:val="0"/>
                    <w:autoSpaceDE/>
                    <w:autoSpaceDN/>
                    <w:bidi w:val="0"/>
                    <w:adjustRightInd/>
                    <w:snapToGrid/>
                    <w:spacing w:line="240" w:lineRule="exact"/>
                    <w:ind w:firstLine="0" w:firstLineChars="0"/>
                    <w:jc w:val="left"/>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资源开发利用效率要求：</w:t>
                  </w:r>
                </w:p>
                <w:p w14:paraId="6975F257">
                  <w:pPr>
                    <w:pStyle w:val="83"/>
                    <w:keepNext w:val="0"/>
                    <w:keepLines w:val="0"/>
                    <w:pageBreakBefore w:val="0"/>
                    <w:kinsoku/>
                    <w:wordWrap/>
                    <w:overflowPunct/>
                    <w:topLinePunct w:val="0"/>
                    <w:autoSpaceDE/>
                    <w:autoSpaceDN/>
                    <w:bidi w:val="0"/>
                    <w:adjustRightInd/>
                    <w:snapToGrid/>
                    <w:spacing w:line="240" w:lineRule="exact"/>
                    <w:ind w:firstLine="0" w:firstLineChars="0"/>
                    <w:jc w:val="left"/>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水资源利用总量要求</w:t>
                  </w:r>
                </w:p>
                <w:p w14:paraId="25206EA5">
                  <w:pPr>
                    <w:pStyle w:val="83"/>
                    <w:keepNext w:val="0"/>
                    <w:keepLines w:val="0"/>
                    <w:pageBreakBefore w:val="0"/>
                    <w:kinsoku/>
                    <w:wordWrap/>
                    <w:overflowPunct/>
                    <w:topLinePunct w:val="0"/>
                    <w:autoSpaceDE/>
                    <w:autoSpaceDN/>
                    <w:bidi w:val="0"/>
                    <w:adjustRightInd/>
                    <w:snapToGrid/>
                    <w:spacing w:line="240" w:lineRule="exact"/>
                    <w:ind w:firstLine="0" w:firstLineChars="0"/>
                    <w:jc w:val="left"/>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-到2025年，农田灌溉水有效利用系数达到0.57以上。</w:t>
                  </w:r>
                </w:p>
                <w:p w14:paraId="4F2B0F04">
                  <w:pPr>
                    <w:pStyle w:val="83"/>
                    <w:keepNext w:val="0"/>
                    <w:keepLines w:val="0"/>
                    <w:pageBreakBefore w:val="0"/>
                    <w:kinsoku/>
                    <w:wordWrap/>
                    <w:overflowPunct/>
                    <w:topLinePunct w:val="0"/>
                    <w:autoSpaceDE/>
                    <w:autoSpaceDN/>
                    <w:bidi w:val="0"/>
                    <w:adjustRightInd/>
                    <w:snapToGrid/>
                    <w:spacing w:line="240" w:lineRule="exact"/>
                    <w:ind w:firstLine="0" w:firstLineChars="0"/>
                    <w:jc w:val="left"/>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地下水开采要求</w:t>
                  </w:r>
                </w:p>
                <w:p w14:paraId="485BCAB8">
                  <w:pPr>
                    <w:pStyle w:val="83"/>
                    <w:keepNext w:val="0"/>
                    <w:keepLines w:val="0"/>
                    <w:pageBreakBefore w:val="0"/>
                    <w:kinsoku/>
                    <w:wordWrap/>
                    <w:overflowPunct/>
                    <w:topLinePunct w:val="0"/>
                    <w:autoSpaceDE/>
                    <w:autoSpaceDN/>
                    <w:bidi w:val="0"/>
                    <w:adjustRightInd/>
                    <w:snapToGrid/>
                    <w:spacing w:line="240" w:lineRule="exact"/>
                    <w:ind w:firstLine="0" w:firstLineChars="0"/>
                    <w:jc w:val="left"/>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以省市下发指标为准</w:t>
                  </w:r>
                </w:p>
                <w:p w14:paraId="3AB7938E">
                  <w:pPr>
                    <w:pStyle w:val="83"/>
                    <w:keepNext w:val="0"/>
                    <w:keepLines w:val="0"/>
                    <w:pageBreakBefore w:val="0"/>
                    <w:kinsoku/>
                    <w:wordWrap/>
                    <w:overflowPunct/>
                    <w:topLinePunct w:val="0"/>
                    <w:autoSpaceDE/>
                    <w:autoSpaceDN/>
                    <w:bidi w:val="0"/>
                    <w:adjustRightInd/>
                    <w:snapToGrid/>
                    <w:spacing w:line="240" w:lineRule="exact"/>
                    <w:ind w:firstLine="0" w:firstLineChars="0"/>
                    <w:jc w:val="left"/>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能源利用总量及效率要求</w:t>
                  </w:r>
                </w:p>
                <w:p w14:paraId="636D4D07">
                  <w:pPr>
                    <w:pStyle w:val="83"/>
                    <w:keepNext w:val="0"/>
                    <w:keepLines w:val="0"/>
                    <w:pageBreakBefore w:val="0"/>
                    <w:kinsoku/>
                    <w:wordWrap/>
                    <w:overflowPunct/>
                    <w:topLinePunct w:val="0"/>
                    <w:autoSpaceDE/>
                    <w:autoSpaceDN/>
                    <w:bidi w:val="0"/>
                    <w:adjustRightInd/>
                    <w:snapToGrid/>
                    <w:spacing w:line="240" w:lineRule="exact"/>
                    <w:ind w:firstLine="0" w:firstLineChars="0"/>
                    <w:jc w:val="left"/>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推进清洁能源的推广使用，全面推进散煤清洁化整治；禁止新建每小时10蒸吨以下的燃煤锅炉及其他燃煤设施。</w:t>
                  </w:r>
                </w:p>
                <w:p w14:paraId="6311FA0E">
                  <w:pPr>
                    <w:pStyle w:val="83"/>
                    <w:keepNext w:val="0"/>
                    <w:keepLines w:val="0"/>
                    <w:pageBreakBefore w:val="0"/>
                    <w:kinsoku/>
                    <w:wordWrap/>
                    <w:overflowPunct/>
                    <w:topLinePunct w:val="0"/>
                    <w:autoSpaceDE/>
                    <w:autoSpaceDN/>
                    <w:bidi w:val="0"/>
                    <w:adjustRightInd/>
                    <w:snapToGrid/>
                    <w:spacing w:line="240" w:lineRule="exact"/>
                    <w:ind w:firstLine="0" w:firstLineChars="0"/>
                    <w:jc w:val="left"/>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禁止焚烧秸秆和垃圾，到2025年底，秸秆综合利用率达到86%以上。</w:t>
                  </w:r>
                </w:p>
                <w:p w14:paraId="63E215C0">
                  <w:pPr>
                    <w:pStyle w:val="83"/>
                    <w:keepNext w:val="0"/>
                    <w:keepLines w:val="0"/>
                    <w:pageBreakBefore w:val="0"/>
                    <w:kinsoku/>
                    <w:wordWrap/>
                    <w:overflowPunct/>
                    <w:topLinePunct w:val="0"/>
                    <w:autoSpaceDE/>
                    <w:autoSpaceDN/>
                    <w:bidi w:val="0"/>
                    <w:adjustRightInd/>
                    <w:snapToGrid/>
                    <w:spacing w:line="240" w:lineRule="exact"/>
                    <w:ind w:firstLine="0" w:firstLineChars="0"/>
                    <w:jc w:val="left"/>
                    <w:textAlignment w:val="auto"/>
                    <w:rPr>
                      <w:rFonts w:hint="default" w:ascii="Times New Roman" w:hAnsi="Times New Roman" w:eastAsia="宋体" w:cs="Times New Roman"/>
                      <w:color w:val="auto"/>
                      <w:kern w:val="0"/>
                      <w:sz w:val="21"/>
                      <w:szCs w:val="21"/>
                    </w:rPr>
                  </w:pPr>
                </w:p>
                <w:p w14:paraId="1CDBA551">
                  <w:pPr>
                    <w:pStyle w:val="83"/>
                    <w:keepNext w:val="0"/>
                    <w:keepLines w:val="0"/>
                    <w:pageBreakBefore w:val="0"/>
                    <w:kinsoku/>
                    <w:wordWrap/>
                    <w:overflowPunct/>
                    <w:topLinePunct w:val="0"/>
                    <w:autoSpaceDE/>
                    <w:autoSpaceDN/>
                    <w:bidi w:val="0"/>
                    <w:adjustRightInd/>
                    <w:snapToGrid/>
                    <w:spacing w:line="240" w:lineRule="exact"/>
                    <w:ind w:firstLine="0" w:firstLineChars="0"/>
                    <w:jc w:val="left"/>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禁燃区要求</w:t>
                  </w:r>
                </w:p>
                <w:p w14:paraId="7F23D120">
                  <w:pPr>
                    <w:pStyle w:val="83"/>
                    <w:keepNext w:val="0"/>
                    <w:keepLines w:val="0"/>
                    <w:pageBreakBefore w:val="0"/>
                    <w:kinsoku/>
                    <w:wordWrap/>
                    <w:overflowPunct/>
                    <w:topLinePunct w:val="0"/>
                    <w:autoSpaceDE/>
                    <w:autoSpaceDN/>
                    <w:bidi w:val="0"/>
                    <w:adjustRightInd/>
                    <w:snapToGrid/>
                    <w:spacing w:line="240" w:lineRule="exact"/>
                    <w:ind w:firstLine="0" w:firstLineChars="0"/>
                    <w:jc w:val="left"/>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高污染燃料禁燃区内禁止燃用的燃料为《高污染燃料目录》（2017）中Ⅲ类（严格）燃料组合，包括：（一）煤炭及其制品；（二）石油焦、油页岩、原油、重油、渣油、煤焦油；（三）非专用锅炉或未配置高效除尘设施的专用锅炉燃用的生物质成型燃料。</w:t>
                  </w:r>
                </w:p>
                <w:p w14:paraId="3FC309CF">
                  <w:pPr>
                    <w:pStyle w:val="83"/>
                    <w:keepNext w:val="0"/>
                    <w:keepLines w:val="0"/>
                    <w:pageBreakBefore w:val="0"/>
                    <w:kinsoku/>
                    <w:wordWrap/>
                    <w:overflowPunct/>
                    <w:topLinePunct w:val="0"/>
                    <w:autoSpaceDE/>
                    <w:autoSpaceDN/>
                    <w:bidi w:val="0"/>
                    <w:adjustRightInd/>
                    <w:snapToGrid/>
                    <w:spacing w:line="240" w:lineRule="exact"/>
                    <w:ind w:firstLine="0" w:firstLineChars="0"/>
                    <w:jc w:val="left"/>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-禁燃区内禁止销售、燃用高污染燃料；禁止新建、改建、扩建燃用高污染燃料的设施和设备。</w:t>
                  </w:r>
                </w:p>
                <w:p w14:paraId="2C1699EC">
                  <w:pPr>
                    <w:pStyle w:val="83"/>
                    <w:keepNext w:val="0"/>
                    <w:keepLines w:val="0"/>
                    <w:pageBreakBefore w:val="0"/>
                    <w:kinsoku/>
                    <w:wordWrap/>
                    <w:overflowPunct/>
                    <w:topLinePunct w:val="0"/>
                    <w:autoSpaceDE/>
                    <w:autoSpaceDN/>
                    <w:bidi w:val="0"/>
                    <w:adjustRightInd/>
                    <w:snapToGrid/>
                    <w:spacing w:line="240" w:lineRule="exact"/>
                    <w:ind w:firstLine="0" w:firstLineChars="0"/>
                    <w:jc w:val="left"/>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-禁燃区内已建成的高污染燃料燃用设施由辖区人民政府制定限期改造计划，改用天然气、页岩气、液化石油气、电或其他清洁能源。</w:t>
                  </w:r>
                </w:p>
                <w:p w14:paraId="69467C52">
                  <w:pPr>
                    <w:pStyle w:val="83"/>
                    <w:keepNext w:val="0"/>
                    <w:keepLines w:val="0"/>
                    <w:pageBreakBefore w:val="0"/>
                    <w:kinsoku/>
                    <w:wordWrap/>
                    <w:overflowPunct/>
                    <w:topLinePunct w:val="0"/>
                    <w:autoSpaceDE/>
                    <w:autoSpaceDN/>
                    <w:bidi w:val="0"/>
                    <w:adjustRightInd/>
                    <w:snapToGrid/>
                    <w:spacing w:line="240" w:lineRule="exact"/>
                    <w:ind w:firstLine="0" w:firstLineChars="0"/>
                    <w:jc w:val="left"/>
                    <w:textAlignment w:val="auto"/>
                    <w:rPr>
                      <w:rFonts w:hint="default" w:ascii="Times New Roman" w:hAnsi="Times New Roman" w:eastAsia="宋体" w:cs="Times New Roman"/>
                      <w:color w:val="auto"/>
                      <w:kern w:val="0"/>
                      <w:sz w:val="21"/>
                      <w:szCs w:val="21"/>
                    </w:rPr>
                  </w:pPr>
                </w:p>
                <w:p w14:paraId="640F909D">
                  <w:pPr>
                    <w:pStyle w:val="83"/>
                    <w:keepNext w:val="0"/>
                    <w:keepLines w:val="0"/>
                    <w:pageBreakBefore w:val="0"/>
                    <w:kinsoku/>
                    <w:wordWrap/>
                    <w:overflowPunct/>
                    <w:topLinePunct w:val="0"/>
                    <w:autoSpaceDE/>
                    <w:autoSpaceDN/>
                    <w:bidi w:val="0"/>
                    <w:adjustRightInd/>
                    <w:snapToGrid/>
                    <w:spacing w:line="240" w:lineRule="exact"/>
                    <w:ind w:firstLine="0" w:firstLineChars="0"/>
                    <w:jc w:val="left"/>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其他资源利用效率要求</w:t>
                  </w:r>
                </w:p>
                <w:p w14:paraId="1E9D1DF3">
                  <w:pPr>
                    <w:pStyle w:val="83"/>
                    <w:keepNext w:val="0"/>
                    <w:keepLines w:val="0"/>
                    <w:pageBreakBefore w:val="0"/>
                    <w:kinsoku/>
                    <w:wordWrap/>
                    <w:overflowPunct/>
                    <w:topLinePunct w:val="0"/>
                    <w:autoSpaceDE/>
                    <w:autoSpaceDN/>
                    <w:bidi w:val="0"/>
                    <w:adjustRightInd/>
                    <w:snapToGrid/>
                    <w:spacing w:line="240" w:lineRule="exact"/>
                    <w:ind w:firstLine="0" w:firstLineChars="0"/>
                    <w:jc w:val="left"/>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暂无</w:t>
                  </w:r>
                </w:p>
              </w:tc>
              <w:tc>
                <w:tcPr>
                  <w:tcW w:w="274" w:type="pct"/>
                  <w:tcBorders>
                    <w:tl2br w:val="nil"/>
                    <w:tr2bl w:val="nil"/>
                  </w:tcBorders>
                  <w:vAlign w:val="center"/>
                </w:tcPr>
                <w:p w14:paraId="7F42EA2F">
                  <w:pPr>
                    <w:pStyle w:val="83"/>
                    <w:keepNext w:val="0"/>
                    <w:keepLines w:val="0"/>
                    <w:pageBreakBefore w:val="0"/>
                    <w:widowControl/>
                    <w:kinsoku/>
                    <w:wordWrap/>
                    <w:overflowPunct/>
                    <w:topLinePunct w:val="0"/>
                    <w:autoSpaceDE/>
                    <w:autoSpaceDN/>
                    <w:bidi w:val="0"/>
                    <w:adjustRightInd/>
                    <w:snapToGrid/>
                    <w:spacing w:line="240" w:lineRule="exact"/>
                    <w:ind w:firstLine="0" w:firstLineChars="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资源开发效率要求</w:t>
                  </w:r>
                </w:p>
              </w:tc>
              <w:tc>
                <w:tcPr>
                  <w:tcW w:w="1134" w:type="pct"/>
                  <w:tcBorders>
                    <w:tl2br w:val="nil"/>
                    <w:tr2bl w:val="nil"/>
                  </w:tcBorders>
                  <w:shd w:val="clear" w:color="auto" w:fill="auto"/>
                  <w:vAlign w:val="center"/>
                </w:tcPr>
                <w:p w14:paraId="533E6005">
                  <w:pPr>
                    <w:pStyle w:val="83"/>
                    <w:keepNext w:val="0"/>
                    <w:keepLines w:val="0"/>
                    <w:pageBreakBefore w:val="0"/>
                    <w:widowControl/>
                    <w:shd w:val="clear" w:color="auto" w:fill="FFFFFF"/>
                    <w:kinsoku/>
                    <w:wordWrap/>
                    <w:overflowPunct/>
                    <w:topLinePunct w:val="0"/>
                    <w:autoSpaceDE/>
                    <w:autoSpaceDN/>
                    <w:bidi w:val="0"/>
                    <w:adjustRightInd/>
                    <w:snapToGrid/>
                    <w:spacing w:line="240" w:lineRule="exact"/>
                    <w:ind w:firstLine="0" w:firstLineChars="0"/>
                    <w:jc w:val="left"/>
                    <w:textAlignment w:val="auto"/>
                    <w:rPr>
                      <w:rStyle w:val="26"/>
                      <w:rFonts w:hint="default" w:ascii="Times New Roman" w:hAnsi="Times New Roman" w:eastAsia="宋体" w:cs="Times New Roman"/>
                      <w:color w:val="auto"/>
                      <w:kern w:val="2"/>
                      <w:sz w:val="21"/>
                      <w:szCs w:val="21"/>
                      <w:lang w:val="en-US" w:eastAsia="zh-CN" w:bidi="ar-SA"/>
                    </w:rPr>
                  </w:pPr>
                  <w:r>
                    <w:rPr>
                      <w:rStyle w:val="26"/>
                      <w:rFonts w:hint="default" w:ascii="Times New Roman" w:hAnsi="Times New Roman" w:eastAsia="宋体" w:cs="Times New Roman"/>
                      <w:color w:val="auto"/>
                      <w:kern w:val="2"/>
                      <w:sz w:val="21"/>
                      <w:szCs w:val="21"/>
                      <w:lang w:val="en-US" w:eastAsia="zh-CN" w:bidi="ar-SA"/>
                    </w:rPr>
                    <w:t>水资源利用效率要求</w:t>
                  </w:r>
                </w:p>
                <w:p w14:paraId="1111CED3">
                  <w:pPr>
                    <w:pStyle w:val="83"/>
                    <w:keepNext w:val="0"/>
                    <w:keepLines w:val="0"/>
                    <w:pageBreakBefore w:val="0"/>
                    <w:widowControl/>
                    <w:shd w:val="clear" w:color="auto" w:fill="FFFFFF"/>
                    <w:kinsoku/>
                    <w:wordWrap/>
                    <w:overflowPunct/>
                    <w:topLinePunct w:val="0"/>
                    <w:autoSpaceDE/>
                    <w:autoSpaceDN/>
                    <w:bidi w:val="0"/>
                    <w:adjustRightInd/>
                    <w:snapToGrid/>
                    <w:spacing w:line="240" w:lineRule="exact"/>
                    <w:ind w:firstLine="0" w:firstLineChars="0"/>
                    <w:jc w:val="left"/>
                    <w:textAlignment w:val="auto"/>
                    <w:rPr>
                      <w:rStyle w:val="26"/>
                      <w:rFonts w:hint="default" w:ascii="Times New Roman" w:hAnsi="Times New Roman" w:eastAsia="宋体" w:cs="Times New Roman"/>
                      <w:color w:val="auto"/>
                      <w:kern w:val="2"/>
                      <w:sz w:val="21"/>
                      <w:szCs w:val="21"/>
                      <w:lang w:val="en-US" w:eastAsia="zh-CN" w:bidi="ar-SA"/>
                    </w:rPr>
                  </w:pPr>
                  <w:r>
                    <w:rPr>
                      <w:rStyle w:val="26"/>
                      <w:rFonts w:hint="default" w:ascii="Times New Roman" w:hAnsi="Times New Roman" w:eastAsia="宋体" w:cs="Times New Roman"/>
                      <w:color w:val="auto"/>
                      <w:kern w:val="2"/>
                      <w:sz w:val="21"/>
                      <w:szCs w:val="21"/>
                      <w:lang w:val="en-US" w:eastAsia="zh-CN" w:bidi="ar-SA"/>
                    </w:rPr>
                    <w:t>执行达州市工业重点管控单元总体要求</w:t>
                  </w:r>
                </w:p>
                <w:p w14:paraId="0CF7BF30">
                  <w:pPr>
                    <w:pStyle w:val="83"/>
                    <w:keepNext w:val="0"/>
                    <w:keepLines w:val="0"/>
                    <w:pageBreakBefore w:val="0"/>
                    <w:widowControl/>
                    <w:shd w:val="clear" w:color="auto" w:fill="FFFFFF"/>
                    <w:kinsoku/>
                    <w:wordWrap/>
                    <w:overflowPunct/>
                    <w:topLinePunct w:val="0"/>
                    <w:autoSpaceDE/>
                    <w:autoSpaceDN/>
                    <w:bidi w:val="0"/>
                    <w:adjustRightInd/>
                    <w:snapToGrid/>
                    <w:spacing w:line="240" w:lineRule="exact"/>
                    <w:ind w:firstLine="0" w:firstLineChars="0"/>
                    <w:jc w:val="left"/>
                    <w:textAlignment w:val="auto"/>
                    <w:rPr>
                      <w:rStyle w:val="26"/>
                      <w:rFonts w:hint="default" w:ascii="Times New Roman" w:hAnsi="Times New Roman" w:eastAsia="宋体" w:cs="Times New Roman"/>
                      <w:color w:val="auto"/>
                      <w:kern w:val="2"/>
                      <w:sz w:val="21"/>
                      <w:szCs w:val="21"/>
                      <w:lang w:val="en-US" w:eastAsia="zh-CN" w:bidi="ar-SA"/>
                    </w:rPr>
                  </w:pPr>
                  <w:r>
                    <w:rPr>
                      <w:rStyle w:val="26"/>
                      <w:rFonts w:hint="default" w:ascii="Times New Roman" w:hAnsi="Times New Roman" w:eastAsia="宋体" w:cs="Times New Roman"/>
                      <w:color w:val="auto"/>
                      <w:kern w:val="2"/>
                      <w:sz w:val="21"/>
                      <w:szCs w:val="21"/>
                      <w:lang w:val="en-US" w:eastAsia="zh-CN" w:bidi="ar-SA"/>
                    </w:rPr>
                    <w:t>地下水开采要求</w:t>
                  </w:r>
                </w:p>
                <w:p w14:paraId="53D9F510">
                  <w:pPr>
                    <w:pStyle w:val="83"/>
                    <w:keepNext w:val="0"/>
                    <w:keepLines w:val="0"/>
                    <w:pageBreakBefore w:val="0"/>
                    <w:widowControl/>
                    <w:shd w:val="clear" w:color="auto" w:fill="FFFFFF"/>
                    <w:kinsoku/>
                    <w:wordWrap/>
                    <w:overflowPunct/>
                    <w:topLinePunct w:val="0"/>
                    <w:autoSpaceDE/>
                    <w:autoSpaceDN/>
                    <w:bidi w:val="0"/>
                    <w:adjustRightInd/>
                    <w:snapToGrid/>
                    <w:spacing w:line="240" w:lineRule="exact"/>
                    <w:ind w:firstLine="0" w:firstLineChars="0"/>
                    <w:jc w:val="left"/>
                    <w:textAlignment w:val="auto"/>
                    <w:rPr>
                      <w:rStyle w:val="26"/>
                      <w:rFonts w:hint="default" w:ascii="Times New Roman" w:hAnsi="Times New Roman" w:eastAsia="宋体" w:cs="Times New Roman"/>
                      <w:color w:val="auto"/>
                      <w:kern w:val="2"/>
                      <w:sz w:val="21"/>
                      <w:szCs w:val="21"/>
                      <w:lang w:val="en-US" w:eastAsia="zh-CN" w:bidi="ar-SA"/>
                    </w:rPr>
                  </w:pPr>
                  <w:r>
                    <w:rPr>
                      <w:rStyle w:val="26"/>
                      <w:rFonts w:hint="default" w:ascii="Times New Roman" w:hAnsi="Times New Roman" w:eastAsia="宋体" w:cs="Times New Roman"/>
                      <w:color w:val="auto"/>
                      <w:kern w:val="2"/>
                      <w:sz w:val="21"/>
                      <w:szCs w:val="21"/>
                      <w:lang w:val="en-US" w:eastAsia="zh-CN" w:bidi="ar-SA"/>
                    </w:rPr>
                    <w:t>执行达州市工业重点管控单元总体要求</w:t>
                  </w:r>
                </w:p>
                <w:p w14:paraId="3EDD3FDB">
                  <w:pPr>
                    <w:pStyle w:val="83"/>
                    <w:keepNext w:val="0"/>
                    <w:keepLines w:val="0"/>
                    <w:pageBreakBefore w:val="0"/>
                    <w:widowControl/>
                    <w:shd w:val="clear" w:color="auto" w:fill="FFFFFF"/>
                    <w:kinsoku/>
                    <w:wordWrap/>
                    <w:overflowPunct/>
                    <w:topLinePunct w:val="0"/>
                    <w:autoSpaceDE/>
                    <w:autoSpaceDN/>
                    <w:bidi w:val="0"/>
                    <w:adjustRightInd/>
                    <w:snapToGrid/>
                    <w:spacing w:line="240" w:lineRule="exact"/>
                    <w:ind w:firstLine="0" w:firstLineChars="0"/>
                    <w:jc w:val="left"/>
                    <w:textAlignment w:val="auto"/>
                    <w:rPr>
                      <w:rStyle w:val="26"/>
                      <w:rFonts w:hint="default" w:ascii="Times New Roman" w:hAnsi="Times New Roman" w:eastAsia="宋体" w:cs="Times New Roman"/>
                      <w:color w:val="auto"/>
                      <w:kern w:val="2"/>
                      <w:sz w:val="21"/>
                      <w:szCs w:val="21"/>
                      <w:lang w:val="en-US" w:eastAsia="zh-CN" w:bidi="ar-SA"/>
                    </w:rPr>
                  </w:pPr>
                  <w:r>
                    <w:rPr>
                      <w:rStyle w:val="26"/>
                      <w:rFonts w:hint="default" w:ascii="Times New Roman" w:hAnsi="Times New Roman" w:eastAsia="宋体" w:cs="Times New Roman"/>
                      <w:color w:val="auto"/>
                      <w:kern w:val="2"/>
                      <w:sz w:val="21"/>
                      <w:szCs w:val="21"/>
                      <w:lang w:val="en-US" w:eastAsia="zh-CN" w:bidi="ar-SA"/>
                    </w:rPr>
                    <w:t>能源利用效率要求</w:t>
                  </w:r>
                </w:p>
                <w:p w14:paraId="2F0D8F7F">
                  <w:pPr>
                    <w:pStyle w:val="83"/>
                    <w:keepNext w:val="0"/>
                    <w:keepLines w:val="0"/>
                    <w:pageBreakBefore w:val="0"/>
                    <w:widowControl/>
                    <w:shd w:val="clear" w:color="auto" w:fill="FFFFFF"/>
                    <w:kinsoku/>
                    <w:wordWrap/>
                    <w:overflowPunct/>
                    <w:topLinePunct w:val="0"/>
                    <w:autoSpaceDE/>
                    <w:autoSpaceDN/>
                    <w:bidi w:val="0"/>
                    <w:adjustRightInd/>
                    <w:snapToGrid/>
                    <w:spacing w:line="240" w:lineRule="exact"/>
                    <w:ind w:firstLine="0" w:firstLineChars="0"/>
                    <w:jc w:val="left"/>
                    <w:textAlignment w:val="auto"/>
                    <w:rPr>
                      <w:rStyle w:val="26"/>
                      <w:rFonts w:hint="default" w:ascii="Times New Roman" w:hAnsi="Times New Roman" w:eastAsia="宋体" w:cs="Times New Roman"/>
                      <w:color w:val="auto"/>
                      <w:kern w:val="2"/>
                      <w:sz w:val="21"/>
                      <w:szCs w:val="21"/>
                      <w:lang w:val="en-US" w:eastAsia="zh-CN" w:bidi="ar-SA"/>
                    </w:rPr>
                  </w:pPr>
                  <w:r>
                    <w:rPr>
                      <w:rStyle w:val="26"/>
                      <w:rFonts w:hint="default" w:ascii="Times New Roman" w:hAnsi="Times New Roman" w:eastAsia="宋体" w:cs="Times New Roman"/>
                      <w:color w:val="auto"/>
                      <w:kern w:val="2"/>
                      <w:sz w:val="21"/>
                      <w:szCs w:val="21"/>
                      <w:lang w:val="en-US" w:eastAsia="zh-CN" w:bidi="ar-SA"/>
                    </w:rPr>
                    <w:t>执行达州市工业重点管控单元总体要求</w:t>
                  </w:r>
                </w:p>
                <w:p w14:paraId="154E2B6B">
                  <w:pPr>
                    <w:pStyle w:val="83"/>
                    <w:keepNext w:val="0"/>
                    <w:keepLines w:val="0"/>
                    <w:pageBreakBefore w:val="0"/>
                    <w:widowControl/>
                    <w:shd w:val="clear" w:color="auto" w:fill="FFFFFF"/>
                    <w:kinsoku/>
                    <w:wordWrap/>
                    <w:overflowPunct/>
                    <w:topLinePunct w:val="0"/>
                    <w:autoSpaceDE/>
                    <w:autoSpaceDN/>
                    <w:bidi w:val="0"/>
                    <w:adjustRightInd/>
                    <w:snapToGrid/>
                    <w:spacing w:line="240" w:lineRule="exact"/>
                    <w:ind w:firstLine="0" w:firstLineChars="0"/>
                    <w:jc w:val="left"/>
                    <w:textAlignment w:val="auto"/>
                    <w:rPr>
                      <w:rStyle w:val="26"/>
                      <w:rFonts w:hint="default" w:ascii="Times New Roman" w:hAnsi="Times New Roman" w:eastAsia="宋体" w:cs="Times New Roman"/>
                      <w:color w:val="auto"/>
                      <w:kern w:val="2"/>
                      <w:sz w:val="21"/>
                      <w:szCs w:val="21"/>
                      <w:lang w:val="en-US" w:eastAsia="zh-CN" w:bidi="ar-SA"/>
                    </w:rPr>
                  </w:pPr>
                  <w:r>
                    <w:rPr>
                      <w:rStyle w:val="26"/>
                      <w:rFonts w:hint="default" w:ascii="Times New Roman" w:hAnsi="Times New Roman" w:eastAsia="宋体" w:cs="Times New Roman"/>
                      <w:color w:val="auto"/>
                      <w:kern w:val="2"/>
                      <w:sz w:val="21"/>
                      <w:szCs w:val="21"/>
                      <w:lang w:val="en-US" w:eastAsia="zh-CN" w:bidi="ar-SA"/>
                    </w:rPr>
                    <w:t>其他资源利用效率要求</w:t>
                  </w:r>
                </w:p>
                <w:p w14:paraId="57EF1F87">
                  <w:pPr>
                    <w:pStyle w:val="83"/>
                    <w:keepNext w:val="0"/>
                    <w:keepLines w:val="0"/>
                    <w:pageBreakBefore w:val="0"/>
                    <w:widowControl/>
                    <w:shd w:val="clear" w:color="auto" w:fill="FFFFFF"/>
                    <w:kinsoku/>
                    <w:wordWrap/>
                    <w:overflowPunct/>
                    <w:topLinePunct w:val="0"/>
                    <w:autoSpaceDE/>
                    <w:autoSpaceDN/>
                    <w:bidi w:val="0"/>
                    <w:adjustRightInd/>
                    <w:snapToGrid/>
                    <w:spacing w:line="240" w:lineRule="exact"/>
                    <w:ind w:firstLine="0" w:firstLineChars="0"/>
                    <w:jc w:val="left"/>
                    <w:textAlignment w:val="auto"/>
                    <w:rPr>
                      <w:rFonts w:hint="default" w:ascii="Times New Roman" w:hAnsi="Times New Roman" w:eastAsia="宋体" w:cs="Times New Roman"/>
                      <w:color w:val="auto"/>
                      <w:kern w:val="2"/>
                      <w:sz w:val="21"/>
                      <w:szCs w:val="21"/>
                      <w:lang w:val="en-US" w:eastAsia="zh-CN" w:bidi="ar-SA"/>
                    </w:rPr>
                  </w:pPr>
                  <w:r>
                    <w:rPr>
                      <w:rStyle w:val="26"/>
                      <w:rFonts w:hint="default" w:ascii="Times New Roman" w:hAnsi="Times New Roman" w:eastAsia="宋体" w:cs="Times New Roman"/>
                      <w:color w:val="auto"/>
                      <w:kern w:val="2"/>
                      <w:sz w:val="21"/>
                      <w:szCs w:val="21"/>
                      <w:lang w:val="en-US" w:eastAsia="zh-CN" w:bidi="ar-SA"/>
                    </w:rPr>
                    <w:t>禁燃区要求：同达州市工业重点总体准入要求</w:t>
                  </w:r>
                </w:p>
              </w:tc>
              <w:tc>
                <w:tcPr>
                  <w:tcW w:w="879" w:type="pct"/>
                  <w:tcBorders>
                    <w:tl2br w:val="nil"/>
                    <w:tr2bl w:val="nil"/>
                  </w:tcBorders>
                  <w:vAlign w:val="center"/>
                </w:tcPr>
                <w:p w14:paraId="04CDF039">
                  <w:pPr>
                    <w:pStyle w:val="83"/>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本项目为建筑用石加工，主要能耗为电和水，不涉及燃煤等高污染燃料、锅炉、焚烧秸秆和垃圾等。</w:t>
                  </w:r>
                </w:p>
                <w:p w14:paraId="70BE306B">
                  <w:pPr>
                    <w:pStyle w:val="83"/>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项目生活污水通过定期拉运的方式进入东岳场镇污水处理厂处理后</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rPr>
                    <w:t>项目生产废水经</w:t>
                  </w:r>
                  <w:r>
                    <w:rPr>
                      <w:rFonts w:hint="default" w:ascii="Times New Roman" w:hAnsi="Times New Roman" w:eastAsia="宋体" w:cs="Times New Roman"/>
                      <w:color w:val="auto"/>
                      <w:sz w:val="21"/>
                      <w:szCs w:val="21"/>
                      <w:lang w:eastAsia="zh-CN"/>
                    </w:rPr>
                    <w:t>沉淀</w:t>
                  </w:r>
                  <w:r>
                    <w:rPr>
                      <w:rFonts w:hint="default" w:ascii="Times New Roman" w:hAnsi="Times New Roman" w:eastAsia="宋体" w:cs="Times New Roman"/>
                      <w:color w:val="auto"/>
                      <w:sz w:val="21"/>
                      <w:szCs w:val="21"/>
                    </w:rPr>
                    <w:t>处理后全部循环使用，不外排，沉淀池</w:t>
                  </w:r>
                  <w:r>
                    <w:rPr>
                      <w:rFonts w:hint="default" w:ascii="Times New Roman" w:hAnsi="Times New Roman" w:eastAsia="宋体" w:cs="Times New Roman"/>
                      <w:color w:val="auto"/>
                      <w:sz w:val="21"/>
                      <w:szCs w:val="21"/>
                      <w:lang w:eastAsia="zh-CN"/>
                    </w:rPr>
                    <w:t>泥沙</w:t>
                  </w:r>
                  <w:r>
                    <w:rPr>
                      <w:rFonts w:hint="default" w:ascii="Times New Roman" w:hAnsi="Times New Roman" w:eastAsia="宋体" w:cs="Times New Roman"/>
                      <w:color w:val="auto"/>
                      <w:sz w:val="21"/>
                      <w:szCs w:val="21"/>
                    </w:rPr>
                    <w:t>经板框压滤机压成泥饼外售；本项目用水为自来水，不涉及地下水开采。</w:t>
                  </w:r>
                </w:p>
              </w:tc>
              <w:tc>
                <w:tcPr>
                  <w:tcW w:w="193" w:type="pct"/>
                  <w:tcBorders>
                    <w:tl2br w:val="nil"/>
                    <w:tr2bl w:val="nil"/>
                  </w:tcBorders>
                  <w:vAlign w:val="center"/>
                </w:tcPr>
                <w:p w14:paraId="1AB2A162">
                  <w:pPr>
                    <w:pStyle w:val="83"/>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r w14:paraId="3403703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78" w:type="pct"/>
                  <w:vMerge w:val="restart"/>
                  <w:tcBorders>
                    <w:tl2br w:val="nil"/>
                    <w:tr2bl w:val="nil"/>
                  </w:tcBorders>
                  <w:vAlign w:val="center"/>
                </w:tcPr>
                <w:p w14:paraId="78539EEE">
                  <w:pPr>
                    <w:pStyle w:val="83"/>
                    <w:keepNext w:val="0"/>
                    <w:keepLines w:val="0"/>
                    <w:pageBreakBefore w:val="0"/>
                    <w:widowControl w:val="0"/>
                    <w:kinsoku/>
                    <w:wordWrap/>
                    <w:overflowPunct/>
                    <w:topLinePunct w:val="0"/>
                    <w:autoSpaceDE/>
                    <w:autoSpaceDN/>
                    <w:bidi w:val="0"/>
                    <w:adjustRightInd/>
                    <w:snapToGrid/>
                    <w:spacing w:line="240" w:lineRule="exact"/>
                    <w:ind w:firstLine="0" w:firstLineChars="0"/>
                    <w:jc w:val="both"/>
                    <w:textAlignment w:val="auto"/>
                    <w:rPr>
                      <w:rStyle w:val="26"/>
                      <w:rFonts w:hint="default" w:ascii="Times New Roman" w:hAnsi="Times New Roman" w:eastAsia="宋体" w:cs="Times New Roman"/>
                      <w:color w:val="auto"/>
                      <w:kern w:val="0"/>
                      <w:sz w:val="21"/>
                      <w:szCs w:val="21"/>
                      <w:lang w:val="en-US" w:eastAsia="zh-CN" w:bidi="ar-SA"/>
                    </w:rPr>
                  </w:pPr>
                  <w:r>
                    <w:rPr>
                      <w:rStyle w:val="26"/>
                      <w:rFonts w:hint="default" w:ascii="Times New Roman" w:hAnsi="Times New Roman" w:eastAsia="宋体" w:cs="Times New Roman"/>
                      <w:color w:val="auto"/>
                      <w:kern w:val="0"/>
                      <w:sz w:val="21"/>
                      <w:szCs w:val="21"/>
                      <w:lang w:val="en-US" w:eastAsia="zh-CN" w:bidi="ar-SA"/>
                    </w:rPr>
                    <w:t>YS5117022210002</w:t>
                  </w:r>
                </w:p>
              </w:tc>
              <w:tc>
                <w:tcPr>
                  <w:tcW w:w="297" w:type="pct"/>
                  <w:vMerge w:val="restart"/>
                  <w:tcBorders>
                    <w:tl2br w:val="nil"/>
                    <w:tr2bl w:val="nil"/>
                  </w:tcBorders>
                  <w:vAlign w:val="center"/>
                </w:tcPr>
                <w:p w14:paraId="7F258EFC">
                  <w:pPr>
                    <w:pStyle w:val="83"/>
                    <w:keepNext w:val="0"/>
                    <w:keepLines w:val="0"/>
                    <w:pageBreakBefore w:val="0"/>
                    <w:widowControl w:val="0"/>
                    <w:kinsoku/>
                    <w:wordWrap/>
                    <w:overflowPunct/>
                    <w:topLinePunct w:val="0"/>
                    <w:autoSpaceDE/>
                    <w:autoSpaceDN/>
                    <w:bidi w:val="0"/>
                    <w:adjustRightInd/>
                    <w:snapToGrid/>
                    <w:spacing w:line="240" w:lineRule="exact"/>
                    <w:ind w:firstLine="0" w:firstLineChars="0"/>
                    <w:jc w:val="both"/>
                    <w:textAlignment w:val="auto"/>
                    <w:rPr>
                      <w:rStyle w:val="26"/>
                      <w:rFonts w:hint="default" w:ascii="Times New Roman" w:hAnsi="Times New Roman" w:eastAsia="宋体" w:cs="Times New Roman"/>
                      <w:color w:val="auto"/>
                      <w:kern w:val="0"/>
                      <w:sz w:val="21"/>
                      <w:szCs w:val="21"/>
                      <w:lang w:val="en-US" w:eastAsia="zh-CN" w:bidi="ar-SA"/>
                    </w:rPr>
                  </w:pPr>
                  <w:r>
                    <w:rPr>
                      <w:rStyle w:val="26"/>
                      <w:rFonts w:hint="default" w:ascii="Times New Roman" w:hAnsi="Times New Roman" w:eastAsia="宋体" w:cs="Times New Roman"/>
                      <w:color w:val="auto"/>
                      <w:kern w:val="0"/>
                      <w:sz w:val="21"/>
                      <w:szCs w:val="21"/>
                      <w:lang w:val="en-US" w:eastAsia="zh-CN" w:bidi="ar-SA"/>
                    </w:rPr>
                    <w:t>州河-通川区-车家河-控制单元</w:t>
                  </w:r>
                </w:p>
              </w:tc>
              <w:tc>
                <w:tcPr>
                  <w:tcW w:w="2040" w:type="pct"/>
                  <w:vMerge w:val="restart"/>
                  <w:tcBorders>
                    <w:tl2br w:val="nil"/>
                    <w:tr2bl w:val="nil"/>
                  </w:tcBorders>
                  <w:shd w:val="clear" w:color="auto" w:fill="auto"/>
                  <w:vAlign w:val="top"/>
                </w:tcPr>
                <w:p w14:paraId="18521C6F">
                  <w:pPr>
                    <w:pStyle w:val="83"/>
                    <w:keepNext w:val="0"/>
                    <w:keepLines w:val="0"/>
                    <w:pageBreakBefore w:val="0"/>
                    <w:widowControl w:val="0"/>
                    <w:kinsoku/>
                    <w:wordWrap/>
                    <w:overflowPunct/>
                    <w:topLinePunct w:val="0"/>
                    <w:autoSpaceDE/>
                    <w:autoSpaceDN/>
                    <w:bidi w:val="0"/>
                    <w:adjustRightInd/>
                    <w:snapToGrid/>
                    <w:spacing w:line="280" w:lineRule="exact"/>
                    <w:ind w:firstLine="0" w:firstLineChars="0"/>
                    <w:jc w:val="both"/>
                    <w:textAlignment w:val="auto"/>
                    <w:rPr>
                      <w:rStyle w:val="26"/>
                      <w:rFonts w:hint="default" w:ascii="Times New Roman" w:hAnsi="Times New Roman" w:eastAsia="宋体" w:cs="Times New Roman"/>
                      <w:color w:val="auto"/>
                      <w:kern w:val="0"/>
                      <w:sz w:val="21"/>
                      <w:szCs w:val="21"/>
                      <w:lang w:val="en-US" w:eastAsia="zh-CN" w:bidi="ar-SA"/>
                    </w:rPr>
                  </w:pPr>
                  <w:r>
                    <w:rPr>
                      <w:rStyle w:val="26"/>
                      <w:rFonts w:hint="default" w:ascii="Times New Roman" w:hAnsi="Times New Roman" w:eastAsia="宋体" w:cs="Times New Roman"/>
                      <w:color w:val="auto"/>
                      <w:kern w:val="0"/>
                      <w:sz w:val="21"/>
                      <w:szCs w:val="21"/>
                      <w:lang w:val="en-US" w:eastAsia="zh-CN" w:bidi="ar-SA"/>
                    </w:rPr>
                    <w:t>空间布局约束：</w:t>
                  </w:r>
                </w:p>
                <w:p w14:paraId="5A3C41FE">
                  <w:pPr>
                    <w:pStyle w:val="83"/>
                    <w:keepNext w:val="0"/>
                    <w:keepLines w:val="0"/>
                    <w:pageBreakBefore w:val="0"/>
                    <w:widowControl w:val="0"/>
                    <w:kinsoku/>
                    <w:wordWrap/>
                    <w:overflowPunct/>
                    <w:topLinePunct w:val="0"/>
                    <w:autoSpaceDE/>
                    <w:autoSpaceDN/>
                    <w:bidi w:val="0"/>
                    <w:adjustRightInd/>
                    <w:snapToGrid/>
                    <w:spacing w:line="280" w:lineRule="exact"/>
                    <w:ind w:firstLine="0" w:firstLineChars="0"/>
                    <w:jc w:val="both"/>
                    <w:textAlignment w:val="auto"/>
                    <w:rPr>
                      <w:rStyle w:val="26"/>
                      <w:rFonts w:hint="default" w:ascii="Times New Roman" w:hAnsi="Times New Roman" w:eastAsia="宋体" w:cs="Times New Roman"/>
                      <w:color w:val="auto"/>
                      <w:kern w:val="0"/>
                      <w:sz w:val="21"/>
                      <w:szCs w:val="21"/>
                      <w:lang w:val="en-US" w:eastAsia="zh-CN" w:bidi="ar-SA"/>
                    </w:rPr>
                  </w:pPr>
                  <w:r>
                    <w:rPr>
                      <w:rStyle w:val="26"/>
                      <w:rFonts w:hint="default" w:ascii="Times New Roman" w:hAnsi="Times New Roman" w:eastAsia="宋体" w:cs="Times New Roman"/>
                      <w:color w:val="auto"/>
                      <w:kern w:val="0"/>
                      <w:sz w:val="21"/>
                      <w:szCs w:val="21"/>
                      <w:lang w:val="en-US" w:eastAsia="zh-CN" w:bidi="ar-SA"/>
                    </w:rPr>
                    <w:t>禁止开发建设活动的要求</w:t>
                  </w:r>
                </w:p>
                <w:p w14:paraId="05A74A96">
                  <w:pPr>
                    <w:pStyle w:val="83"/>
                    <w:keepNext w:val="0"/>
                    <w:keepLines w:val="0"/>
                    <w:pageBreakBefore w:val="0"/>
                    <w:widowControl w:val="0"/>
                    <w:kinsoku/>
                    <w:wordWrap/>
                    <w:overflowPunct/>
                    <w:topLinePunct w:val="0"/>
                    <w:autoSpaceDE/>
                    <w:autoSpaceDN/>
                    <w:bidi w:val="0"/>
                    <w:adjustRightInd/>
                    <w:snapToGrid/>
                    <w:spacing w:line="280" w:lineRule="exact"/>
                    <w:ind w:firstLine="0" w:firstLineChars="0"/>
                    <w:jc w:val="both"/>
                    <w:textAlignment w:val="auto"/>
                    <w:rPr>
                      <w:rStyle w:val="26"/>
                      <w:rFonts w:hint="default" w:ascii="Times New Roman" w:hAnsi="Times New Roman" w:eastAsia="宋体" w:cs="Times New Roman"/>
                      <w:color w:val="auto"/>
                      <w:kern w:val="0"/>
                      <w:sz w:val="21"/>
                      <w:szCs w:val="21"/>
                      <w:lang w:val="en-US" w:eastAsia="zh-CN" w:bidi="ar-SA"/>
                    </w:rPr>
                  </w:pPr>
                  <w:r>
                    <w:rPr>
                      <w:rStyle w:val="26"/>
                      <w:rFonts w:hint="default" w:ascii="Times New Roman" w:hAnsi="Times New Roman" w:eastAsia="宋体" w:cs="Times New Roman"/>
                      <w:color w:val="auto"/>
                      <w:kern w:val="0"/>
                      <w:sz w:val="21"/>
                      <w:szCs w:val="21"/>
                      <w:lang w:val="en-US" w:eastAsia="zh-CN" w:bidi="ar-SA"/>
                    </w:rPr>
                    <w:t>暂无</w:t>
                  </w:r>
                </w:p>
                <w:p w14:paraId="367F783B">
                  <w:pPr>
                    <w:pStyle w:val="83"/>
                    <w:keepNext w:val="0"/>
                    <w:keepLines w:val="0"/>
                    <w:pageBreakBefore w:val="0"/>
                    <w:widowControl w:val="0"/>
                    <w:kinsoku/>
                    <w:wordWrap/>
                    <w:overflowPunct/>
                    <w:topLinePunct w:val="0"/>
                    <w:autoSpaceDE/>
                    <w:autoSpaceDN/>
                    <w:bidi w:val="0"/>
                    <w:adjustRightInd/>
                    <w:snapToGrid/>
                    <w:spacing w:line="280" w:lineRule="exact"/>
                    <w:ind w:firstLine="0" w:firstLineChars="0"/>
                    <w:jc w:val="both"/>
                    <w:textAlignment w:val="auto"/>
                    <w:rPr>
                      <w:rStyle w:val="26"/>
                      <w:rFonts w:hint="default" w:ascii="Times New Roman" w:hAnsi="Times New Roman" w:eastAsia="宋体" w:cs="Times New Roman"/>
                      <w:color w:val="auto"/>
                      <w:kern w:val="0"/>
                      <w:sz w:val="21"/>
                      <w:szCs w:val="21"/>
                      <w:lang w:val="en-US" w:eastAsia="zh-CN" w:bidi="ar-SA"/>
                    </w:rPr>
                  </w:pPr>
                  <w:r>
                    <w:rPr>
                      <w:rStyle w:val="26"/>
                      <w:rFonts w:hint="default" w:ascii="Times New Roman" w:hAnsi="Times New Roman" w:eastAsia="宋体" w:cs="Times New Roman"/>
                      <w:color w:val="auto"/>
                      <w:kern w:val="0"/>
                      <w:sz w:val="21"/>
                      <w:szCs w:val="21"/>
                      <w:lang w:val="en-US" w:eastAsia="zh-CN" w:bidi="ar-SA"/>
                    </w:rPr>
                    <w:t>限制开发建设活动的要求</w:t>
                  </w:r>
                </w:p>
                <w:p w14:paraId="0B51F977">
                  <w:pPr>
                    <w:pStyle w:val="83"/>
                    <w:keepNext w:val="0"/>
                    <w:keepLines w:val="0"/>
                    <w:pageBreakBefore w:val="0"/>
                    <w:widowControl w:val="0"/>
                    <w:kinsoku/>
                    <w:wordWrap/>
                    <w:overflowPunct/>
                    <w:topLinePunct w:val="0"/>
                    <w:autoSpaceDE/>
                    <w:autoSpaceDN/>
                    <w:bidi w:val="0"/>
                    <w:adjustRightInd/>
                    <w:snapToGrid/>
                    <w:spacing w:line="280" w:lineRule="exact"/>
                    <w:ind w:firstLine="0" w:firstLineChars="0"/>
                    <w:jc w:val="both"/>
                    <w:textAlignment w:val="auto"/>
                    <w:rPr>
                      <w:rStyle w:val="26"/>
                      <w:rFonts w:hint="default" w:ascii="Times New Roman" w:hAnsi="Times New Roman" w:eastAsia="宋体" w:cs="Times New Roman"/>
                      <w:color w:val="auto"/>
                      <w:kern w:val="0"/>
                      <w:sz w:val="21"/>
                      <w:szCs w:val="21"/>
                      <w:lang w:val="en-US" w:eastAsia="zh-CN" w:bidi="ar-SA"/>
                    </w:rPr>
                  </w:pPr>
                  <w:r>
                    <w:rPr>
                      <w:rStyle w:val="26"/>
                      <w:rFonts w:hint="default" w:ascii="Times New Roman" w:hAnsi="Times New Roman" w:eastAsia="宋体" w:cs="Times New Roman"/>
                      <w:color w:val="auto"/>
                      <w:kern w:val="0"/>
                      <w:sz w:val="21"/>
                      <w:szCs w:val="21"/>
                      <w:lang w:val="en-US" w:eastAsia="zh-CN" w:bidi="ar-SA"/>
                    </w:rPr>
                    <w:t>暂无</w:t>
                  </w:r>
                </w:p>
                <w:p w14:paraId="3BCD027E">
                  <w:pPr>
                    <w:pStyle w:val="83"/>
                    <w:keepNext w:val="0"/>
                    <w:keepLines w:val="0"/>
                    <w:pageBreakBefore w:val="0"/>
                    <w:widowControl w:val="0"/>
                    <w:kinsoku/>
                    <w:wordWrap/>
                    <w:overflowPunct/>
                    <w:topLinePunct w:val="0"/>
                    <w:autoSpaceDE/>
                    <w:autoSpaceDN/>
                    <w:bidi w:val="0"/>
                    <w:adjustRightInd/>
                    <w:snapToGrid/>
                    <w:spacing w:line="280" w:lineRule="exact"/>
                    <w:ind w:firstLine="0" w:firstLineChars="0"/>
                    <w:jc w:val="both"/>
                    <w:textAlignment w:val="auto"/>
                    <w:rPr>
                      <w:rStyle w:val="26"/>
                      <w:rFonts w:hint="default" w:ascii="Times New Roman" w:hAnsi="Times New Roman" w:eastAsia="宋体" w:cs="Times New Roman"/>
                      <w:color w:val="auto"/>
                      <w:kern w:val="0"/>
                      <w:sz w:val="21"/>
                      <w:szCs w:val="21"/>
                      <w:lang w:val="en-US" w:eastAsia="zh-CN" w:bidi="ar-SA"/>
                    </w:rPr>
                  </w:pPr>
                  <w:r>
                    <w:rPr>
                      <w:rStyle w:val="26"/>
                      <w:rFonts w:hint="default" w:ascii="Times New Roman" w:hAnsi="Times New Roman" w:eastAsia="宋体" w:cs="Times New Roman"/>
                      <w:color w:val="auto"/>
                      <w:kern w:val="0"/>
                      <w:sz w:val="21"/>
                      <w:szCs w:val="21"/>
                      <w:lang w:val="en-US" w:eastAsia="zh-CN" w:bidi="ar-SA"/>
                    </w:rPr>
                    <w:t>不符合空间布局要求活动的退出要求</w:t>
                  </w:r>
                </w:p>
                <w:p w14:paraId="09071B10">
                  <w:pPr>
                    <w:pStyle w:val="83"/>
                    <w:keepNext w:val="0"/>
                    <w:keepLines w:val="0"/>
                    <w:pageBreakBefore w:val="0"/>
                    <w:widowControl w:val="0"/>
                    <w:kinsoku/>
                    <w:wordWrap/>
                    <w:overflowPunct/>
                    <w:topLinePunct w:val="0"/>
                    <w:autoSpaceDE/>
                    <w:autoSpaceDN/>
                    <w:bidi w:val="0"/>
                    <w:adjustRightInd/>
                    <w:snapToGrid/>
                    <w:spacing w:line="280" w:lineRule="exact"/>
                    <w:ind w:firstLine="0" w:firstLineChars="0"/>
                    <w:jc w:val="both"/>
                    <w:textAlignment w:val="auto"/>
                    <w:rPr>
                      <w:rStyle w:val="26"/>
                      <w:rFonts w:hint="default" w:ascii="Times New Roman" w:hAnsi="Times New Roman" w:eastAsia="宋体" w:cs="Times New Roman"/>
                      <w:color w:val="auto"/>
                      <w:kern w:val="0"/>
                      <w:sz w:val="21"/>
                      <w:szCs w:val="21"/>
                      <w:lang w:val="en-US" w:eastAsia="zh-CN" w:bidi="ar-SA"/>
                    </w:rPr>
                  </w:pPr>
                  <w:r>
                    <w:rPr>
                      <w:rStyle w:val="26"/>
                      <w:rFonts w:hint="default" w:ascii="Times New Roman" w:hAnsi="Times New Roman" w:eastAsia="宋体" w:cs="Times New Roman"/>
                      <w:color w:val="auto"/>
                      <w:kern w:val="0"/>
                      <w:sz w:val="21"/>
                      <w:szCs w:val="21"/>
                      <w:lang w:val="en-US" w:eastAsia="zh-CN" w:bidi="ar-SA"/>
                    </w:rPr>
                    <w:t>暂无</w:t>
                  </w:r>
                </w:p>
                <w:p w14:paraId="1CEA8AC0">
                  <w:pPr>
                    <w:pStyle w:val="83"/>
                    <w:keepNext w:val="0"/>
                    <w:keepLines w:val="0"/>
                    <w:pageBreakBefore w:val="0"/>
                    <w:widowControl w:val="0"/>
                    <w:kinsoku/>
                    <w:wordWrap/>
                    <w:overflowPunct/>
                    <w:topLinePunct w:val="0"/>
                    <w:autoSpaceDE/>
                    <w:autoSpaceDN/>
                    <w:bidi w:val="0"/>
                    <w:adjustRightInd/>
                    <w:snapToGrid/>
                    <w:spacing w:line="280" w:lineRule="exact"/>
                    <w:ind w:firstLine="0" w:firstLineChars="0"/>
                    <w:jc w:val="both"/>
                    <w:textAlignment w:val="auto"/>
                    <w:rPr>
                      <w:rStyle w:val="26"/>
                      <w:rFonts w:hint="default" w:ascii="Times New Roman" w:hAnsi="Times New Roman" w:eastAsia="宋体" w:cs="Times New Roman"/>
                      <w:color w:val="auto"/>
                      <w:kern w:val="0"/>
                      <w:sz w:val="21"/>
                      <w:szCs w:val="21"/>
                      <w:lang w:val="en-US" w:eastAsia="zh-CN" w:bidi="ar-SA"/>
                    </w:rPr>
                  </w:pPr>
                  <w:r>
                    <w:rPr>
                      <w:rStyle w:val="26"/>
                      <w:rFonts w:hint="default" w:ascii="Times New Roman" w:hAnsi="Times New Roman" w:eastAsia="宋体" w:cs="Times New Roman"/>
                      <w:color w:val="auto"/>
                      <w:kern w:val="0"/>
                      <w:sz w:val="21"/>
                      <w:szCs w:val="21"/>
                      <w:lang w:val="en-US" w:eastAsia="zh-CN" w:bidi="ar-SA"/>
                    </w:rPr>
                    <w:t>其他空间布局约束要求</w:t>
                  </w:r>
                </w:p>
                <w:p w14:paraId="598E3715">
                  <w:pPr>
                    <w:pStyle w:val="83"/>
                    <w:keepNext w:val="0"/>
                    <w:keepLines w:val="0"/>
                    <w:pageBreakBefore w:val="0"/>
                    <w:widowControl w:val="0"/>
                    <w:kinsoku/>
                    <w:wordWrap/>
                    <w:overflowPunct/>
                    <w:topLinePunct w:val="0"/>
                    <w:autoSpaceDE/>
                    <w:autoSpaceDN/>
                    <w:bidi w:val="0"/>
                    <w:adjustRightInd/>
                    <w:snapToGrid/>
                    <w:spacing w:line="280" w:lineRule="exact"/>
                    <w:ind w:firstLine="0" w:firstLineChars="0"/>
                    <w:jc w:val="both"/>
                    <w:textAlignment w:val="auto"/>
                    <w:rPr>
                      <w:rStyle w:val="26"/>
                      <w:rFonts w:hint="default" w:ascii="Times New Roman" w:hAnsi="Times New Roman" w:eastAsia="宋体" w:cs="Times New Roman"/>
                      <w:color w:val="auto"/>
                      <w:kern w:val="0"/>
                      <w:sz w:val="21"/>
                      <w:szCs w:val="21"/>
                      <w:lang w:val="en-US" w:eastAsia="zh-CN" w:bidi="ar-SA"/>
                    </w:rPr>
                  </w:pPr>
                  <w:r>
                    <w:rPr>
                      <w:rStyle w:val="26"/>
                      <w:rFonts w:hint="default" w:ascii="Times New Roman" w:hAnsi="Times New Roman" w:eastAsia="宋体" w:cs="Times New Roman"/>
                      <w:color w:val="auto"/>
                      <w:kern w:val="0"/>
                      <w:sz w:val="21"/>
                      <w:szCs w:val="21"/>
                      <w:lang w:val="en-US" w:eastAsia="zh-CN" w:bidi="ar-SA"/>
                    </w:rPr>
                    <w:t>暂无</w:t>
                  </w:r>
                </w:p>
                <w:p w14:paraId="068462FA">
                  <w:pPr>
                    <w:pStyle w:val="83"/>
                    <w:keepNext w:val="0"/>
                    <w:keepLines w:val="0"/>
                    <w:pageBreakBefore w:val="0"/>
                    <w:widowControl w:val="0"/>
                    <w:kinsoku/>
                    <w:wordWrap/>
                    <w:overflowPunct/>
                    <w:topLinePunct w:val="0"/>
                    <w:autoSpaceDE/>
                    <w:autoSpaceDN/>
                    <w:bidi w:val="0"/>
                    <w:adjustRightInd/>
                    <w:snapToGrid/>
                    <w:spacing w:line="280" w:lineRule="exact"/>
                    <w:ind w:firstLine="0" w:firstLineChars="0"/>
                    <w:jc w:val="both"/>
                    <w:textAlignment w:val="auto"/>
                    <w:rPr>
                      <w:rStyle w:val="26"/>
                      <w:rFonts w:hint="default" w:ascii="Times New Roman" w:hAnsi="Times New Roman" w:eastAsia="宋体" w:cs="Times New Roman"/>
                      <w:color w:val="auto"/>
                      <w:kern w:val="0"/>
                      <w:sz w:val="21"/>
                      <w:szCs w:val="21"/>
                      <w:lang w:val="en-US" w:eastAsia="zh-CN" w:bidi="ar-SA"/>
                    </w:rPr>
                  </w:pPr>
                  <w:r>
                    <w:rPr>
                      <w:rStyle w:val="26"/>
                      <w:rFonts w:hint="default" w:ascii="Times New Roman" w:hAnsi="Times New Roman" w:eastAsia="宋体" w:cs="Times New Roman"/>
                      <w:color w:val="auto"/>
                      <w:kern w:val="0"/>
                      <w:sz w:val="21"/>
                      <w:szCs w:val="21"/>
                      <w:lang w:val="en-US" w:eastAsia="zh-CN" w:bidi="ar-SA"/>
                    </w:rPr>
                    <w:t>污染物排放管控：</w:t>
                  </w:r>
                </w:p>
                <w:p w14:paraId="38B5ACB9">
                  <w:pPr>
                    <w:pStyle w:val="83"/>
                    <w:keepNext w:val="0"/>
                    <w:keepLines w:val="0"/>
                    <w:pageBreakBefore w:val="0"/>
                    <w:widowControl w:val="0"/>
                    <w:kinsoku/>
                    <w:wordWrap/>
                    <w:overflowPunct/>
                    <w:topLinePunct w:val="0"/>
                    <w:autoSpaceDE/>
                    <w:autoSpaceDN/>
                    <w:bidi w:val="0"/>
                    <w:adjustRightInd/>
                    <w:snapToGrid/>
                    <w:spacing w:line="280" w:lineRule="exact"/>
                    <w:ind w:firstLine="0" w:firstLineChars="0"/>
                    <w:jc w:val="both"/>
                    <w:textAlignment w:val="auto"/>
                    <w:rPr>
                      <w:rStyle w:val="26"/>
                      <w:rFonts w:hint="default" w:ascii="Times New Roman" w:hAnsi="Times New Roman" w:eastAsia="宋体" w:cs="Times New Roman"/>
                      <w:color w:val="auto"/>
                      <w:kern w:val="0"/>
                      <w:sz w:val="21"/>
                      <w:szCs w:val="21"/>
                      <w:lang w:val="en-US" w:eastAsia="zh-CN" w:bidi="ar-SA"/>
                    </w:rPr>
                  </w:pPr>
                  <w:r>
                    <w:rPr>
                      <w:rStyle w:val="26"/>
                      <w:rFonts w:hint="default" w:ascii="Times New Roman" w:hAnsi="Times New Roman" w:eastAsia="宋体" w:cs="Times New Roman"/>
                      <w:color w:val="auto"/>
                      <w:kern w:val="0"/>
                      <w:sz w:val="21"/>
                      <w:szCs w:val="21"/>
                      <w:lang w:val="en-US" w:eastAsia="zh-CN" w:bidi="ar-SA"/>
                    </w:rPr>
                    <w:t>允许排放量要求</w:t>
                  </w:r>
                </w:p>
                <w:p w14:paraId="021EF105">
                  <w:pPr>
                    <w:pStyle w:val="83"/>
                    <w:keepNext w:val="0"/>
                    <w:keepLines w:val="0"/>
                    <w:pageBreakBefore w:val="0"/>
                    <w:widowControl w:val="0"/>
                    <w:kinsoku/>
                    <w:wordWrap/>
                    <w:overflowPunct/>
                    <w:topLinePunct w:val="0"/>
                    <w:autoSpaceDE/>
                    <w:autoSpaceDN/>
                    <w:bidi w:val="0"/>
                    <w:adjustRightInd/>
                    <w:snapToGrid/>
                    <w:spacing w:line="280" w:lineRule="exact"/>
                    <w:ind w:firstLine="0" w:firstLineChars="0"/>
                    <w:jc w:val="both"/>
                    <w:textAlignment w:val="auto"/>
                    <w:rPr>
                      <w:rStyle w:val="26"/>
                      <w:rFonts w:hint="default" w:ascii="Times New Roman" w:hAnsi="Times New Roman" w:eastAsia="宋体" w:cs="Times New Roman"/>
                      <w:color w:val="auto"/>
                      <w:kern w:val="0"/>
                      <w:sz w:val="21"/>
                      <w:szCs w:val="21"/>
                      <w:lang w:val="en-US" w:eastAsia="zh-CN" w:bidi="ar-SA"/>
                    </w:rPr>
                  </w:pPr>
                  <w:r>
                    <w:rPr>
                      <w:rStyle w:val="26"/>
                      <w:rFonts w:hint="default" w:ascii="Times New Roman" w:hAnsi="Times New Roman" w:eastAsia="宋体" w:cs="Times New Roman"/>
                      <w:color w:val="auto"/>
                      <w:kern w:val="0"/>
                      <w:sz w:val="21"/>
                      <w:szCs w:val="21"/>
                      <w:lang w:val="en-US" w:eastAsia="zh-CN" w:bidi="ar-SA"/>
                    </w:rPr>
                    <w:t>暂无</w:t>
                  </w:r>
                </w:p>
                <w:p w14:paraId="5F439321">
                  <w:pPr>
                    <w:pStyle w:val="83"/>
                    <w:keepNext w:val="0"/>
                    <w:keepLines w:val="0"/>
                    <w:pageBreakBefore w:val="0"/>
                    <w:widowControl w:val="0"/>
                    <w:kinsoku/>
                    <w:wordWrap/>
                    <w:overflowPunct/>
                    <w:topLinePunct w:val="0"/>
                    <w:autoSpaceDE/>
                    <w:autoSpaceDN/>
                    <w:bidi w:val="0"/>
                    <w:adjustRightInd/>
                    <w:snapToGrid/>
                    <w:spacing w:line="280" w:lineRule="exact"/>
                    <w:ind w:firstLine="0" w:firstLineChars="0"/>
                    <w:jc w:val="both"/>
                    <w:textAlignment w:val="auto"/>
                    <w:rPr>
                      <w:rStyle w:val="26"/>
                      <w:rFonts w:hint="default" w:ascii="Times New Roman" w:hAnsi="Times New Roman" w:eastAsia="宋体" w:cs="Times New Roman"/>
                      <w:color w:val="auto"/>
                      <w:kern w:val="0"/>
                      <w:sz w:val="21"/>
                      <w:szCs w:val="21"/>
                      <w:lang w:val="en-US" w:eastAsia="zh-CN" w:bidi="ar-SA"/>
                    </w:rPr>
                  </w:pPr>
                  <w:r>
                    <w:rPr>
                      <w:rStyle w:val="26"/>
                      <w:rFonts w:hint="default" w:ascii="Times New Roman" w:hAnsi="Times New Roman" w:eastAsia="宋体" w:cs="Times New Roman"/>
                      <w:color w:val="auto"/>
                      <w:kern w:val="0"/>
                      <w:sz w:val="21"/>
                      <w:szCs w:val="21"/>
                      <w:lang w:val="en-US" w:eastAsia="zh-CN" w:bidi="ar-SA"/>
                    </w:rPr>
                    <w:t>现有源提标升级改造</w:t>
                  </w:r>
                </w:p>
                <w:p w14:paraId="68A072E1">
                  <w:pPr>
                    <w:pStyle w:val="83"/>
                    <w:keepNext w:val="0"/>
                    <w:keepLines w:val="0"/>
                    <w:pageBreakBefore w:val="0"/>
                    <w:widowControl w:val="0"/>
                    <w:kinsoku/>
                    <w:wordWrap/>
                    <w:overflowPunct/>
                    <w:topLinePunct w:val="0"/>
                    <w:autoSpaceDE/>
                    <w:autoSpaceDN/>
                    <w:bidi w:val="0"/>
                    <w:adjustRightInd/>
                    <w:snapToGrid/>
                    <w:spacing w:line="280" w:lineRule="exact"/>
                    <w:ind w:firstLine="0" w:firstLineChars="0"/>
                    <w:jc w:val="both"/>
                    <w:textAlignment w:val="auto"/>
                    <w:rPr>
                      <w:rStyle w:val="26"/>
                      <w:rFonts w:hint="default" w:ascii="Times New Roman" w:hAnsi="Times New Roman" w:eastAsia="宋体" w:cs="Times New Roman"/>
                      <w:color w:val="auto"/>
                      <w:kern w:val="0"/>
                      <w:sz w:val="21"/>
                      <w:szCs w:val="21"/>
                      <w:lang w:val="en-US" w:eastAsia="zh-CN" w:bidi="ar-SA"/>
                    </w:rPr>
                  </w:pPr>
                  <w:r>
                    <w:rPr>
                      <w:rStyle w:val="26"/>
                      <w:rFonts w:hint="default" w:ascii="Times New Roman" w:hAnsi="Times New Roman" w:eastAsia="宋体" w:cs="Times New Roman"/>
                      <w:color w:val="auto"/>
                      <w:kern w:val="0"/>
                      <w:sz w:val="21"/>
                      <w:szCs w:val="21"/>
                      <w:lang w:val="en-US" w:eastAsia="zh-CN" w:bidi="ar-SA"/>
                    </w:rPr>
                    <w:t>暂无</w:t>
                  </w:r>
                </w:p>
                <w:p w14:paraId="73EE4A47">
                  <w:pPr>
                    <w:pStyle w:val="83"/>
                    <w:keepNext w:val="0"/>
                    <w:keepLines w:val="0"/>
                    <w:pageBreakBefore w:val="0"/>
                    <w:widowControl w:val="0"/>
                    <w:kinsoku/>
                    <w:wordWrap/>
                    <w:overflowPunct/>
                    <w:topLinePunct w:val="0"/>
                    <w:autoSpaceDE/>
                    <w:autoSpaceDN/>
                    <w:bidi w:val="0"/>
                    <w:adjustRightInd/>
                    <w:snapToGrid/>
                    <w:spacing w:line="280" w:lineRule="exact"/>
                    <w:ind w:firstLine="0" w:firstLineChars="0"/>
                    <w:jc w:val="both"/>
                    <w:textAlignment w:val="auto"/>
                    <w:rPr>
                      <w:rStyle w:val="26"/>
                      <w:rFonts w:hint="default" w:ascii="Times New Roman" w:hAnsi="Times New Roman" w:eastAsia="宋体" w:cs="Times New Roman"/>
                      <w:color w:val="auto"/>
                      <w:kern w:val="0"/>
                      <w:sz w:val="21"/>
                      <w:szCs w:val="21"/>
                      <w:lang w:val="en-US" w:eastAsia="zh-CN" w:bidi="ar-SA"/>
                    </w:rPr>
                  </w:pPr>
                  <w:r>
                    <w:rPr>
                      <w:rStyle w:val="26"/>
                      <w:rFonts w:hint="default" w:ascii="Times New Roman" w:hAnsi="Times New Roman" w:eastAsia="宋体" w:cs="Times New Roman"/>
                      <w:color w:val="auto"/>
                      <w:kern w:val="0"/>
                      <w:sz w:val="21"/>
                      <w:szCs w:val="21"/>
                      <w:lang w:val="en-US" w:eastAsia="zh-CN" w:bidi="ar-SA"/>
                    </w:rPr>
                    <w:t>其他污染物排放管控要求</w:t>
                  </w:r>
                </w:p>
                <w:p w14:paraId="402A0496">
                  <w:pPr>
                    <w:pStyle w:val="83"/>
                    <w:keepNext w:val="0"/>
                    <w:keepLines w:val="0"/>
                    <w:pageBreakBefore w:val="0"/>
                    <w:widowControl w:val="0"/>
                    <w:kinsoku/>
                    <w:wordWrap/>
                    <w:overflowPunct/>
                    <w:topLinePunct w:val="0"/>
                    <w:autoSpaceDE/>
                    <w:autoSpaceDN/>
                    <w:bidi w:val="0"/>
                    <w:adjustRightInd/>
                    <w:snapToGrid/>
                    <w:spacing w:line="280" w:lineRule="exact"/>
                    <w:ind w:firstLine="0" w:firstLineChars="0"/>
                    <w:jc w:val="both"/>
                    <w:textAlignment w:val="auto"/>
                    <w:rPr>
                      <w:rStyle w:val="26"/>
                      <w:rFonts w:hint="default" w:ascii="Times New Roman" w:hAnsi="Times New Roman" w:eastAsia="宋体" w:cs="Times New Roman"/>
                      <w:color w:val="auto"/>
                      <w:kern w:val="0"/>
                      <w:sz w:val="21"/>
                      <w:szCs w:val="21"/>
                      <w:lang w:val="en-US" w:eastAsia="zh-CN" w:bidi="ar-SA"/>
                    </w:rPr>
                  </w:pPr>
                  <w:r>
                    <w:rPr>
                      <w:rStyle w:val="26"/>
                      <w:rFonts w:hint="default" w:ascii="Times New Roman" w:hAnsi="Times New Roman" w:eastAsia="宋体" w:cs="Times New Roman"/>
                      <w:color w:val="auto"/>
                      <w:kern w:val="0"/>
                      <w:sz w:val="21"/>
                      <w:szCs w:val="21"/>
                      <w:lang w:val="en-US" w:eastAsia="zh-CN" w:bidi="ar-SA"/>
                    </w:rPr>
                    <w:t>暂无</w:t>
                  </w:r>
                </w:p>
                <w:p w14:paraId="48D5AEED">
                  <w:pPr>
                    <w:pStyle w:val="83"/>
                    <w:keepNext w:val="0"/>
                    <w:keepLines w:val="0"/>
                    <w:pageBreakBefore w:val="0"/>
                    <w:widowControl w:val="0"/>
                    <w:kinsoku/>
                    <w:wordWrap/>
                    <w:overflowPunct/>
                    <w:topLinePunct w:val="0"/>
                    <w:autoSpaceDE/>
                    <w:autoSpaceDN/>
                    <w:bidi w:val="0"/>
                    <w:adjustRightInd/>
                    <w:snapToGrid/>
                    <w:spacing w:line="280" w:lineRule="exact"/>
                    <w:ind w:firstLine="0" w:firstLineChars="0"/>
                    <w:jc w:val="both"/>
                    <w:textAlignment w:val="auto"/>
                    <w:rPr>
                      <w:rStyle w:val="26"/>
                      <w:rFonts w:hint="default" w:ascii="Times New Roman" w:hAnsi="Times New Roman" w:eastAsia="宋体" w:cs="Times New Roman"/>
                      <w:color w:val="auto"/>
                      <w:kern w:val="0"/>
                      <w:sz w:val="21"/>
                      <w:szCs w:val="21"/>
                      <w:lang w:val="en-US" w:eastAsia="zh-CN" w:bidi="ar-SA"/>
                    </w:rPr>
                  </w:pPr>
                  <w:r>
                    <w:rPr>
                      <w:rStyle w:val="26"/>
                      <w:rFonts w:hint="default" w:ascii="Times New Roman" w:hAnsi="Times New Roman" w:eastAsia="宋体" w:cs="Times New Roman"/>
                      <w:color w:val="auto"/>
                      <w:kern w:val="0"/>
                      <w:sz w:val="21"/>
                      <w:szCs w:val="21"/>
                      <w:lang w:val="en-US" w:eastAsia="zh-CN" w:bidi="ar-SA"/>
                    </w:rPr>
                    <w:t>环境风险防控：</w:t>
                  </w:r>
                </w:p>
                <w:p w14:paraId="6DF73B4B">
                  <w:pPr>
                    <w:pStyle w:val="83"/>
                    <w:keepNext w:val="0"/>
                    <w:keepLines w:val="0"/>
                    <w:pageBreakBefore w:val="0"/>
                    <w:widowControl w:val="0"/>
                    <w:kinsoku/>
                    <w:wordWrap/>
                    <w:overflowPunct/>
                    <w:topLinePunct w:val="0"/>
                    <w:autoSpaceDE/>
                    <w:autoSpaceDN/>
                    <w:bidi w:val="0"/>
                    <w:adjustRightInd/>
                    <w:snapToGrid/>
                    <w:spacing w:line="280" w:lineRule="exact"/>
                    <w:ind w:firstLine="0" w:firstLineChars="0"/>
                    <w:jc w:val="both"/>
                    <w:textAlignment w:val="auto"/>
                    <w:rPr>
                      <w:rStyle w:val="26"/>
                      <w:rFonts w:hint="default" w:ascii="Times New Roman" w:hAnsi="Times New Roman" w:eastAsia="宋体" w:cs="Times New Roman"/>
                      <w:color w:val="auto"/>
                      <w:kern w:val="0"/>
                      <w:sz w:val="21"/>
                      <w:szCs w:val="21"/>
                      <w:lang w:val="en-US" w:eastAsia="zh-CN" w:bidi="ar-SA"/>
                    </w:rPr>
                  </w:pPr>
                  <w:r>
                    <w:rPr>
                      <w:rStyle w:val="26"/>
                      <w:rFonts w:hint="default" w:ascii="Times New Roman" w:hAnsi="Times New Roman" w:eastAsia="宋体" w:cs="Times New Roman"/>
                      <w:color w:val="auto"/>
                      <w:kern w:val="0"/>
                      <w:sz w:val="21"/>
                      <w:szCs w:val="21"/>
                      <w:lang w:val="en-US" w:eastAsia="zh-CN" w:bidi="ar-SA"/>
                    </w:rPr>
                    <w:t>联防联控要求</w:t>
                  </w:r>
                </w:p>
                <w:p w14:paraId="16BE04BA">
                  <w:pPr>
                    <w:pStyle w:val="83"/>
                    <w:keepNext w:val="0"/>
                    <w:keepLines w:val="0"/>
                    <w:pageBreakBefore w:val="0"/>
                    <w:widowControl w:val="0"/>
                    <w:kinsoku/>
                    <w:wordWrap/>
                    <w:overflowPunct/>
                    <w:topLinePunct w:val="0"/>
                    <w:autoSpaceDE/>
                    <w:autoSpaceDN/>
                    <w:bidi w:val="0"/>
                    <w:adjustRightInd/>
                    <w:snapToGrid/>
                    <w:spacing w:line="280" w:lineRule="exact"/>
                    <w:ind w:firstLine="0" w:firstLineChars="0"/>
                    <w:jc w:val="both"/>
                    <w:textAlignment w:val="auto"/>
                    <w:rPr>
                      <w:rStyle w:val="26"/>
                      <w:rFonts w:hint="default" w:ascii="Times New Roman" w:hAnsi="Times New Roman" w:eastAsia="宋体" w:cs="Times New Roman"/>
                      <w:color w:val="auto"/>
                      <w:kern w:val="0"/>
                      <w:sz w:val="21"/>
                      <w:szCs w:val="21"/>
                      <w:lang w:val="en-US" w:eastAsia="zh-CN" w:bidi="ar-SA"/>
                    </w:rPr>
                  </w:pPr>
                  <w:r>
                    <w:rPr>
                      <w:rStyle w:val="26"/>
                      <w:rFonts w:hint="default" w:ascii="Times New Roman" w:hAnsi="Times New Roman" w:eastAsia="宋体" w:cs="Times New Roman"/>
                      <w:color w:val="auto"/>
                      <w:kern w:val="0"/>
                      <w:sz w:val="21"/>
                      <w:szCs w:val="21"/>
                      <w:lang w:val="en-US" w:eastAsia="zh-CN" w:bidi="ar-SA"/>
                    </w:rPr>
                    <w:t>暂无</w:t>
                  </w:r>
                </w:p>
                <w:p w14:paraId="79CE2303">
                  <w:pPr>
                    <w:pStyle w:val="83"/>
                    <w:keepNext w:val="0"/>
                    <w:keepLines w:val="0"/>
                    <w:pageBreakBefore w:val="0"/>
                    <w:widowControl w:val="0"/>
                    <w:kinsoku/>
                    <w:wordWrap/>
                    <w:overflowPunct/>
                    <w:topLinePunct w:val="0"/>
                    <w:autoSpaceDE/>
                    <w:autoSpaceDN/>
                    <w:bidi w:val="0"/>
                    <w:adjustRightInd/>
                    <w:snapToGrid/>
                    <w:spacing w:line="280" w:lineRule="exact"/>
                    <w:ind w:firstLine="0" w:firstLineChars="0"/>
                    <w:jc w:val="both"/>
                    <w:textAlignment w:val="auto"/>
                    <w:rPr>
                      <w:rStyle w:val="26"/>
                      <w:rFonts w:hint="default" w:ascii="Times New Roman" w:hAnsi="Times New Roman" w:eastAsia="宋体" w:cs="Times New Roman"/>
                      <w:color w:val="auto"/>
                      <w:kern w:val="0"/>
                      <w:sz w:val="21"/>
                      <w:szCs w:val="21"/>
                      <w:lang w:val="en-US" w:eastAsia="zh-CN" w:bidi="ar-SA"/>
                    </w:rPr>
                  </w:pPr>
                  <w:r>
                    <w:rPr>
                      <w:rStyle w:val="26"/>
                      <w:rFonts w:hint="default" w:ascii="Times New Roman" w:hAnsi="Times New Roman" w:eastAsia="宋体" w:cs="Times New Roman"/>
                      <w:color w:val="auto"/>
                      <w:kern w:val="0"/>
                      <w:sz w:val="21"/>
                      <w:szCs w:val="21"/>
                      <w:lang w:val="en-US" w:eastAsia="zh-CN" w:bidi="ar-SA"/>
                    </w:rPr>
                    <w:t>其他环境风险防控要求</w:t>
                  </w:r>
                </w:p>
                <w:p w14:paraId="313E35D2">
                  <w:pPr>
                    <w:pStyle w:val="83"/>
                    <w:keepNext w:val="0"/>
                    <w:keepLines w:val="0"/>
                    <w:pageBreakBefore w:val="0"/>
                    <w:widowControl w:val="0"/>
                    <w:kinsoku/>
                    <w:wordWrap/>
                    <w:overflowPunct/>
                    <w:topLinePunct w:val="0"/>
                    <w:autoSpaceDE/>
                    <w:autoSpaceDN/>
                    <w:bidi w:val="0"/>
                    <w:adjustRightInd/>
                    <w:snapToGrid/>
                    <w:spacing w:line="280" w:lineRule="exact"/>
                    <w:ind w:firstLine="0" w:firstLineChars="0"/>
                    <w:jc w:val="both"/>
                    <w:textAlignment w:val="auto"/>
                    <w:rPr>
                      <w:rStyle w:val="26"/>
                      <w:rFonts w:hint="default" w:ascii="Times New Roman" w:hAnsi="Times New Roman" w:eastAsia="宋体" w:cs="Times New Roman"/>
                      <w:color w:val="auto"/>
                      <w:kern w:val="0"/>
                      <w:sz w:val="21"/>
                      <w:szCs w:val="21"/>
                      <w:lang w:val="en-US" w:eastAsia="zh-CN" w:bidi="ar-SA"/>
                    </w:rPr>
                  </w:pPr>
                  <w:r>
                    <w:rPr>
                      <w:rStyle w:val="26"/>
                      <w:rFonts w:hint="default" w:ascii="Times New Roman" w:hAnsi="Times New Roman" w:eastAsia="宋体" w:cs="Times New Roman"/>
                      <w:color w:val="auto"/>
                      <w:kern w:val="0"/>
                      <w:sz w:val="21"/>
                      <w:szCs w:val="21"/>
                      <w:lang w:val="en-US" w:eastAsia="zh-CN" w:bidi="ar-SA"/>
                    </w:rPr>
                    <w:t>暂无</w:t>
                  </w:r>
                </w:p>
                <w:p w14:paraId="70623179">
                  <w:pPr>
                    <w:pStyle w:val="83"/>
                    <w:keepNext w:val="0"/>
                    <w:keepLines w:val="0"/>
                    <w:pageBreakBefore w:val="0"/>
                    <w:widowControl w:val="0"/>
                    <w:kinsoku/>
                    <w:wordWrap/>
                    <w:overflowPunct/>
                    <w:topLinePunct w:val="0"/>
                    <w:autoSpaceDE/>
                    <w:autoSpaceDN/>
                    <w:bidi w:val="0"/>
                    <w:adjustRightInd/>
                    <w:snapToGrid/>
                    <w:spacing w:line="280" w:lineRule="exact"/>
                    <w:ind w:firstLine="0" w:firstLineChars="0"/>
                    <w:jc w:val="both"/>
                    <w:textAlignment w:val="auto"/>
                    <w:rPr>
                      <w:rStyle w:val="26"/>
                      <w:rFonts w:hint="default" w:ascii="Times New Roman" w:hAnsi="Times New Roman" w:eastAsia="宋体" w:cs="Times New Roman"/>
                      <w:color w:val="auto"/>
                      <w:kern w:val="0"/>
                      <w:sz w:val="21"/>
                      <w:szCs w:val="21"/>
                      <w:lang w:val="en-US" w:eastAsia="zh-CN" w:bidi="ar-SA"/>
                    </w:rPr>
                  </w:pPr>
                  <w:r>
                    <w:rPr>
                      <w:rStyle w:val="26"/>
                      <w:rFonts w:hint="default" w:ascii="Times New Roman" w:hAnsi="Times New Roman" w:eastAsia="宋体" w:cs="Times New Roman"/>
                      <w:color w:val="auto"/>
                      <w:kern w:val="0"/>
                      <w:sz w:val="21"/>
                      <w:szCs w:val="21"/>
                      <w:lang w:val="en-US" w:eastAsia="zh-CN" w:bidi="ar-SA"/>
                    </w:rPr>
                    <w:t>资源开发利用效率要求：</w:t>
                  </w:r>
                </w:p>
                <w:p w14:paraId="3E75854A">
                  <w:pPr>
                    <w:pStyle w:val="83"/>
                    <w:keepNext w:val="0"/>
                    <w:keepLines w:val="0"/>
                    <w:pageBreakBefore w:val="0"/>
                    <w:widowControl w:val="0"/>
                    <w:kinsoku/>
                    <w:wordWrap/>
                    <w:overflowPunct/>
                    <w:topLinePunct w:val="0"/>
                    <w:autoSpaceDE/>
                    <w:autoSpaceDN/>
                    <w:bidi w:val="0"/>
                    <w:adjustRightInd/>
                    <w:snapToGrid/>
                    <w:spacing w:line="280" w:lineRule="exact"/>
                    <w:ind w:firstLine="0" w:firstLineChars="0"/>
                    <w:jc w:val="both"/>
                    <w:textAlignment w:val="auto"/>
                    <w:rPr>
                      <w:rStyle w:val="26"/>
                      <w:rFonts w:hint="default" w:ascii="Times New Roman" w:hAnsi="Times New Roman" w:eastAsia="宋体" w:cs="Times New Roman"/>
                      <w:color w:val="auto"/>
                      <w:kern w:val="0"/>
                      <w:sz w:val="21"/>
                      <w:szCs w:val="21"/>
                      <w:lang w:val="en-US" w:eastAsia="zh-CN" w:bidi="ar-SA"/>
                    </w:rPr>
                  </w:pPr>
                  <w:r>
                    <w:rPr>
                      <w:rStyle w:val="26"/>
                      <w:rFonts w:hint="default" w:ascii="Times New Roman" w:hAnsi="Times New Roman" w:eastAsia="宋体" w:cs="Times New Roman"/>
                      <w:color w:val="auto"/>
                      <w:kern w:val="0"/>
                      <w:sz w:val="21"/>
                      <w:szCs w:val="21"/>
                      <w:lang w:val="en-US" w:eastAsia="zh-CN" w:bidi="ar-SA"/>
                    </w:rPr>
                    <w:t>水资源利用总量要求</w:t>
                  </w:r>
                </w:p>
                <w:p w14:paraId="437EEEFE">
                  <w:pPr>
                    <w:pStyle w:val="83"/>
                    <w:keepNext w:val="0"/>
                    <w:keepLines w:val="0"/>
                    <w:pageBreakBefore w:val="0"/>
                    <w:widowControl w:val="0"/>
                    <w:kinsoku/>
                    <w:wordWrap/>
                    <w:overflowPunct/>
                    <w:topLinePunct w:val="0"/>
                    <w:autoSpaceDE/>
                    <w:autoSpaceDN/>
                    <w:bidi w:val="0"/>
                    <w:adjustRightInd/>
                    <w:snapToGrid/>
                    <w:spacing w:line="280" w:lineRule="exact"/>
                    <w:ind w:firstLine="0" w:firstLineChars="0"/>
                    <w:jc w:val="both"/>
                    <w:textAlignment w:val="auto"/>
                    <w:rPr>
                      <w:rStyle w:val="26"/>
                      <w:rFonts w:hint="default" w:ascii="Times New Roman" w:hAnsi="Times New Roman" w:eastAsia="宋体" w:cs="Times New Roman"/>
                      <w:color w:val="auto"/>
                      <w:kern w:val="0"/>
                      <w:sz w:val="21"/>
                      <w:szCs w:val="21"/>
                      <w:lang w:val="en-US" w:eastAsia="zh-CN" w:bidi="ar-SA"/>
                    </w:rPr>
                  </w:pPr>
                  <w:r>
                    <w:rPr>
                      <w:rStyle w:val="26"/>
                      <w:rFonts w:hint="default" w:ascii="Times New Roman" w:hAnsi="Times New Roman" w:eastAsia="宋体" w:cs="Times New Roman"/>
                      <w:color w:val="auto"/>
                      <w:kern w:val="0"/>
                      <w:sz w:val="21"/>
                      <w:szCs w:val="21"/>
                      <w:lang w:val="en-US" w:eastAsia="zh-CN" w:bidi="ar-SA"/>
                    </w:rPr>
                    <w:t>暂无</w:t>
                  </w:r>
                </w:p>
                <w:p w14:paraId="6D5C2C16">
                  <w:pPr>
                    <w:pStyle w:val="83"/>
                    <w:keepNext w:val="0"/>
                    <w:keepLines w:val="0"/>
                    <w:pageBreakBefore w:val="0"/>
                    <w:widowControl w:val="0"/>
                    <w:kinsoku/>
                    <w:wordWrap/>
                    <w:overflowPunct/>
                    <w:topLinePunct w:val="0"/>
                    <w:autoSpaceDE/>
                    <w:autoSpaceDN/>
                    <w:bidi w:val="0"/>
                    <w:adjustRightInd/>
                    <w:snapToGrid/>
                    <w:spacing w:line="280" w:lineRule="exact"/>
                    <w:ind w:firstLine="0" w:firstLineChars="0"/>
                    <w:jc w:val="both"/>
                    <w:textAlignment w:val="auto"/>
                    <w:rPr>
                      <w:rStyle w:val="26"/>
                      <w:rFonts w:hint="default" w:ascii="Times New Roman" w:hAnsi="Times New Roman" w:eastAsia="宋体" w:cs="Times New Roman"/>
                      <w:color w:val="auto"/>
                      <w:kern w:val="0"/>
                      <w:sz w:val="21"/>
                      <w:szCs w:val="21"/>
                      <w:lang w:val="en-US" w:eastAsia="zh-CN" w:bidi="ar-SA"/>
                    </w:rPr>
                  </w:pPr>
                  <w:r>
                    <w:rPr>
                      <w:rStyle w:val="26"/>
                      <w:rFonts w:hint="default" w:ascii="Times New Roman" w:hAnsi="Times New Roman" w:eastAsia="宋体" w:cs="Times New Roman"/>
                      <w:color w:val="auto"/>
                      <w:kern w:val="0"/>
                      <w:sz w:val="21"/>
                      <w:szCs w:val="21"/>
                      <w:lang w:val="en-US" w:eastAsia="zh-CN" w:bidi="ar-SA"/>
                    </w:rPr>
                    <w:t>地下水开采要求</w:t>
                  </w:r>
                </w:p>
                <w:p w14:paraId="49BF3190">
                  <w:pPr>
                    <w:pStyle w:val="83"/>
                    <w:keepNext w:val="0"/>
                    <w:keepLines w:val="0"/>
                    <w:pageBreakBefore w:val="0"/>
                    <w:widowControl w:val="0"/>
                    <w:kinsoku/>
                    <w:wordWrap/>
                    <w:overflowPunct/>
                    <w:topLinePunct w:val="0"/>
                    <w:autoSpaceDE/>
                    <w:autoSpaceDN/>
                    <w:bidi w:val="0"/>
                    <w:adjustRightInd/>
                    <w:snapToGrid/>
                    <w:spacing w:line="280" w:lineRule="exact"/>
                    <w:ind w:firstLine="0" w:firstLineChars="0"/>
                    <w:jc w:val="both"/>
                    <w:textAlignment w:val="auto"/>
                    <w:rPr>
                      <w:rStyle w:val="26"/>
                      <w:rFonts w:hint="default" w:ascii="Times New Roman" w:hAnsi="Times New Roman" w:eastAsia="宋体" w:cs="Times New Roman"/>
                      <w:color w:val="auto"/>
                      <w:kern w:val="0"/>
                      <w:sz w:val="21"/>
                      <w:szCs w:val="21"/>
                      <w:lang w:val="en-US" w:eastAsia="zh-CN" w:bidi="ar-SA"/>
                    </w:rPr>
                  </w:pPr>
                  <w:r>
                    <w:rPr>
                      <w:rStyle w:val="26"/>
                      <w:rFonts w:hint="default" w:ascii="Times New Roman" w:hAnsi="Times New Roman" w:eastAsia="宋体" w:cs="Times New Roman"/>
                      <w:color w:val="auto"/>
                      <w:kern w:val="0"/>
                      <w:sz w:val="21"/>
                      <w:szCs w:val="21"/>
                      <w:lang w:val="en-US" w:eastAsia="zh-CN" w:bidi="ar-SA"/>
                    </w:rPr>
                    <w:t>暂无</w:t>
                  </w:r>
                </w:p>
                <w:p w14:paraId="7B6E665C">
                  <w:pPr>
                    <w:pStyle w:val="83"/>
                    <w:keepNext w:val="0"/>
                    <w:keepLines w:val="0"/>
                    <w:pageBreakBefore w:val="0"/>
                    <w:widowControl w:val="0"/>
                    <w:kinsoku/>
                    <w:wordWrap/>
                    <w:overflowPunct/>
                    <w:topLinePunct w:val="0"/>
                    <w:autoSpaceDE/>
                    <w:autoSpaceDN/>
                    <w:bidi w:val="0"/>
                    <w:adjustRightInd/>
                    <w:snapToGrid/>
                    <w:spacing w:line="280" w:lineRule="exact"/>
                    <w:ind w:firstLine="0" w:firstLineChars="0"/>
                    <w:jc w:val="both"/>
                    <w:textAlignment w:val="auto"/>
                    <w:rPr>
                      <w:rStyle w:val="26"/>
                      <w:rFonts w:hint="default" w:ascii="Times New Roman" w:hAnsi="Times New Roman" w:eastAsia="宋体" w:cs="Times New Roman"/>
                      <w:color w:val="auto"/>
                      <w:kern w:val="0"/>
                      <w:sz w:val="21"/>
                      <w:szCs w:val="21"/>
                      <w:lang w:val="en-US" w:eastAsia="zh-CN" w:bidi="ar-SA"/>
                    </w:rPr>
                  </w:pPr>
                  <w:r>
                    <w:rPr>
                      <w:rStyle w:val="26"/>
                      <w:rFonts w:hint="default" w:ascii="Times New Roman" w:hAnsi="Times New Roman" w:eastAsia="宋体" w:cs="Times New Roman"/>
                      <w:color w:val="auto"/>
                      <w:kern w:val="0"/>
                      <w:sz w:val="21"/>
                      <w:szCs w:val="21"/>
                      <w:lang w:val="en-US" w:eastAsia="zh-CN" w:bidi="ar-SA"/>
                    </w:rPr>
                    <w:t>能源利用总量及效率要求</w:t>
                  </w:r>
                </w:p>
                <w:p w14:paraId="34463501">
                  <w:pPr>
                    <w:pStyle w:val="83"/>
                    <w:keepNext w:val="0"/>
                    <w:keepLines w:val="0"/>
                    <w:pageBreakBefore w:val="0"/>
                    <w:widowControl w:val="0"/>
                    <w:kinsoku/>
                    <w:wordWrap/>
                    <w:overflowPunct/>
                    <w:topLinePunct w:val="0"/>
                    <w:autoSpaceDE/>
                    <w:autoSpaceDN/>
                    <w:bidi w:val="0"/>
                    <w:adjustRightInd/>
                    <w:snapToGrid/>
                    <w:spacing w:line="280" w:lineRule="exact"/>
                    <w:ind w:firstLine="0" w:firstLineChars="0"/>
                    <w:jc w:val="both"/>
                    <w:textAlignment w:val="auto"/>
                    <w:rPr>
                      <w:rStyle w:val="26"/>
                      <w:rFonts w:hint="default" w:ascii="Times New Roman" w:hAnsi="Times New Roman" w:eastAsia="宋体" w:cs="Times New Roman"/>
                      <w:color w:val="auto"/>
                      <w:kern w:val="0"/>
                      <w:sz w:val="21"/>
                      <w:szCs w:val="21"/>
                      <w:lang w:val="en-US" w:eastAsia="zh-CN" w:bidi="ar-SA"/>
                    </w:rPr>
                  </w:pPr>
                  <w:r>
                    <w:rPr>
                      <w:rStyle w:val="26"/>
                      <w:rFonts w:hint="default" w:ascii="Times New Roman" w:hAnsi="Times New Roman" w:eastAsia="宋体" w:cs="Times New Roman"/>
                      <w:color w:val="auto"/>
                      <w:kern w:val="0"/>
                      <w:sz w:val="21"/>
                      <w:szCs w:val="21"/>
                      <w:lang w:val="en-US" w:eastAsia="zh-CN" w:bidi="ar-SA"/>
                    </w:rPr>
                    <w:t>暂无</w:t>
                  </w:r>
                </w:p>
                <w:p w14:paraId="763897C7">
                  <w:pPr>
                    <w:pStyle w:val="83"/>
                    <w:keepNext w:val="0"/>
                    <w:keepLines w:val="0"/>
                    <w:pageBreakBefore w:val="0"/>
                    <w:widowControl w:val="0"/>
                    <w:kinsoku/>
                    <w:wordWrap/>
                    <w:overflowPunct/>
                    <w:topLinePunct w:val="0"/>
                    <w:autoSpaceDE/>
                    <w:autoSpaceDN/>
                    <w:bidi w:val="0"/>
                    <w:adjustRightInd/>
                    <w:snapToGrid/>
                    <w:spacing w:line="280" w:lineRule="exact"/>
                    <w:ind w:firstLine="0" w:firstLineChars="0"/>
                    <w:jc w:val="both"/>
                    <w:textAlignment w:val="auto"/>
                    <w:rPr>
                      <w:rStyle w:val="26"/>
                      <w:rFonts w:hint="default" w:ascii="Times New Roman" w:hAnsi="Times New Roman" w:eastAsia="宋体" w:cs="Times New Roman"/>
                      <w:color w:val="auto"/>
                      <w:kern w:val="0"/>
                      <w:sz w:val="21"/>
                      <w:szCs w:val="21"/>
                      <w:lang w:val="en-US" w:eastAsia="zh-CN" w:bidi="ar-SA"/>
                    </w:rPr>
                  </w:pPr>
                  <w:r>
                    <w:rPr>
                      <w:rStyle w:val="26"/>
                      <w:rFonts w:hint="default" w:ascii="Times New Roman" w:hAnsi="Times New Roman" w:eastAsia="宋体" w:cs="Times New Roman"/>
                      <w:color w:val="auto"/>
                      <w:kern w:val="0"/>
                      <w:sz w:val="21"/>
                      <w:szCs w:val="21"/>
                      <w:lang w:val="en-US" w:eastAsia="zh-CN" w:bidi="ar-SA"/>
                    </w:rPr>
                    <w:t>禁燃区要求</w:t>
                  </w:r>
                </w:p>
                <w:p w14:paraId="7DE2EBD7">
                  <w:pPr>
                    <w:pStyle w:val="83"/>
                    <w:keepNext w:val="0"/>
                    <w:keepLines w:val="0"/>
                    <w:pageBreakBefore w:val="0"/>
                    <w:widowControl w:val="0"/>
                    <w:kinsoku/>
                    <w:wordWrap/>
                    <w:overflowPunct/>
                    <w:topLinePunct w:val="0"/>
                    <w:autoSpaceDE/>
                    <w:autoSpaceDN/>
                    <w:bidi w:val="0"/>
                    <w:adjustRightInd/>
                    <w:snapToGrid/>
                    <w:spacing w:line="280" w:lineRule="exact"/>
                    <w:ind w:firstLine="0" w:firstLineChars="0"/>
                    <w:jc w:val="both"/>
                    <w:textAlignment w:val="auto"/>
                    <w:rPr>
                      <w:rStyle w:val="26"/>
                      <w:rFonts w:hint="default" w:ascii="Times New Roman" w:hAnsi="Times New Roman" w:eastAsia="宋体" w:cs="Times New Roman"/>
                      <w:color w:val="auto"/>
                      <w:kern w:val="0"/>
                      <w:sz w:val="21"/>
                      <w:szCs w:val="21"/>
                      <w:lang w:val="en-US" w:eastAsia="zh-CN" w:bidi="ar-SA"/>
                    </w:rPr>
                  </w:pPr>
                  <w:r>
                    <w:rPr>
                      <w:rStyle w:val="26"/>
                      <w:rFonts w:hint="default" w:ascii="Times New Roman" w:hAnsi="Times New Roman" w:eastAsia="宋体" w:cs="Times New Roman"/>
                      <w:color w:val="auto"/>
                      <w:kern w:val="0"/>
                      <w:sz w:val="21"/>
                      <w:szCs w:val="21"/>
                      <w:lang w:val="en-US" w:eastAsia="zh-CN" w:bidi="ar-SA"/>
                    </w:rPr>
                    <w:t>暂无</w:t>
                  </w:r>
                </w:p>
                <w:p w14:paraId="4DE9D1BB">
                  <w:pPr>
                    <w:pStyle w:val="83"/>
                    <w:keepNext w:val="0"/>
                    <w:keepLines w:val="0"/>
                    <w:pageBreakBefore w:val="0"/>
                    <w:widowControl w:val="0"/>
                    <w:kinsoku/>
                    <w:wordWrap/>
                    <w:overflowPunct/>
                    <w:topLinePunct w:val="0"/>
                    <w:autoSpaceDE/>
                    <w:autoSpaceDN/>
                    <w:bidi w:val="0"/>
                    <w:adjustRightInd/>
                    <w:snapToGrid/>
                    <w:spacing w:line="280" w:lineRule="exact"/>
                    <w:ind w:firstLine="0" w:firstLineChars="0"/>
                    <w:jc w:val="both"/>
                    <w:textAlignment w:val="auto"/>
                    <w:rPr>
                      <w:rStyle w:val="26"/>
                      <w:rFonts w:hint="default" w:ascii="Times New Roman" w:hAnsi="Times New Roman" w:eastAsia="宋体" w:cs="Times New Roman"/>
                      <w:color w:val="auto"/>
                      <w:kern w:val="0"/>
                      <w:sz w:val="21"/>
                      <w:szCs w:val="21"/>
                      <w:lang w:val="en-US" w:eastAsia="zh-CN" w:bidi="ar-SA"/>
                    </w:rPr>
                  </w:pPr>
                  <w:r>
                    <w:rPr>
                      <w:rStyle w:val="26"/>
                      <w:rFonts w:hint="default" w:ascii="Times New Roman" w:hAnsi="Times New Roman" w:eastAsia="宋体" w:cs="Times New Roman"/>
                      <w:color w:val="auto"/>
                      <w:kern w:val="0"/>
                      <w:sz w:val="21"/>
                      <w:szCs w:val="21"/>
                      <w:lang w:val="en-US" w:eastAsia="zh-CN" w:bidi="ar-SA"/>
                    </w:rPr>
                    <w:t>其他资源利用效率要求</w:t>
                  </w:r>
                </w:p>
                <w:p w14:paraId="425997AB">
                  <w:pPr>
                    <w:pStyle w:val="83"/>
                    <w:keepNext w:val="0"/>
                    <w:keepLines w:val="0"/>
                    <w:pageBreakBefore w:val="0"/>
                    <w:widowControl w:val="0"/>
                    <w:kinsoku/>
                    <w:wordWrap/>
                    <w:overflowPunct/>
                    <w:topLinePunct w:val="0"/>
                    <w:autoSpaceDE/>
                    <w:autoSpaceDN/>
                    <w:bidi w:val="0"/>
                    <w:adjustRightInd/>
                    <w:snapToGrid/>
                    <w:spacing w:line="280" w:lineRule="exact"/>
                    <w:ind w:firstLine="0" w:firstLineChars="0"/>
                    <w:jc w:val="both"/>
                    <w:textAlignment w:val="auto"/>
                    <w:rPr>
                      <w:rFonts w:hint="default" w:ascii="Times New Roman" w:hAnsi="Times New Roman" w:eastAsia="宋体" w:cs="Times New Roman"/>
                      <w:color w:val="auto"/>
                      <w:kern w:val="0"/>
                      <w:sz w:val="21"/>
                      <w:szCs w:val="21"/>
                      <w:lang w:val="en-US" w:eastAsia="zh-CN" w:bidi="ar-SA"/>
                    </w:rPr>
                  </w:pPr>
                  <w:r>
                    <w:rPr>
                      <w:rStyle w:val="26"/>
                      <w:rFonts w:hint="default" w:ascii="Times New Roman" w:hAnsi="Times New Roman" w:eastAsia="宋体" w:cs="Times New Roman"/>
                      <w:color w:val="auto"/>
                      <w:kern w:val="0"/>
                      <w:sz w:val="21"/>
                      <w:szCs w:val="21"/>
                      <w:lang w:val="en-US" w:eastAsia="zh-CN" w:bidi="ar-SA"/>
                    </w:rPr>
                    <w:t>暂无</w:t>
                  </w:r>
                </w:p>
              </w:tc>
              <w:tc>
                <w:tcPr>
                  <w:tcW w:w="274" w:type="pct"/>
                  <w:tcBorders>
                    <w:tl2br w:val="nil"/>
                    <w:tr2bl w:val="nil"/>
                  </w:tcBorders>
                  <w:vAlign w:val="center"/>
                </w:tcPr>
                <w:p w14:paraId="0C105E85">
                  <w:pPr>
                    <w:pStyle w:val="83"/>
                    <w:keepNext w:val="0"/>
                    <w:keepLines w:val="0"/>
                    <w:pageBreakBefore w:val="0"/>
                    <w:kinsoku/>
                    <w:wordWrap/>
                    <w:overflowPunct/>
                    <w:topLinePunct w:val="0"/>
                    <w:autoSpaceDE/>
                    <w:autoSpaceDN/>
                    <w:bidi w:val="0"/>
                    <w:adjustRightInd/>
                    <w:snapToGrid/>
                    <w:spacing w:line="280" w:lineRule="exact"/>
                    <w:ind w:firstLine="0" w:firstLineChars="0"/>
                    <w:jc w:val="left"/>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空间布局约束</w:t>
                  </w:r>
                </w:p>
              </w:tc>
              <w:tc>
                <w:tcPr>
                  <w:tcW w:w="1134" w:type="pct"/>
                  <w:tcBorders>
                    <w:tl2br w:val="nil"/>
                    <w:tr2bl w:val="nil"/>
                  </w:tcBorders>
                  <w:shd w:val="clear" w:color="auto" w:fill="auto"/>
                  <w:vAlign w:val="center"/>
                </w:tcPr>
                <w:p w14:paraId="5D3321DB">
                  <w:pPr>
                    <w:pStyle w:val="83"/>
                    <w:keepNext w:val="0"/>
                    <w:keepLines w:val="0"/>
                    <w:pageBreakBefore w:val="0"/>
                    <w:widowControl/>
                    <w:shd w:val="clear" w:color="auto" w:fill="FFFFFF"/>
                    <w:kinsoku/>
                    <w:wordWrap/>
                    <w:overflowPunct/>
                    <w:topLinePunct w:val="0"/>
                    <w:autoSpaceDE/>
                    <w:autoSpaceDN/>
                    <w:bidi w:val="0"/>
                    <w:adjustRightInd/>
                    <w:snapToGrid/>
                    <w:spacing w:line="280" w:lineRule="exact"/>
                    <w:ind w:firstLine="0" w:firstLineChars="0"/>
                    <w:jc w:val="left"/>
                    <w:textAlignment w:val="auto"/>
                    <w:rPr>
                      <w:rStyle w:val="26"/>
                      <w:rFonts w:hint="default" w:ascii="Times New Roman" w:hAnsi="Times New Roman" w:eastAsia="宋体" w:cs="Times New Roman"/>
                      <w:color w:val="auto"/>
                      <w:kern w:val="2"/>
                      <w:sz w:val="21"/>
                      <w:szCs w:val="21"/>
                      <w:lang w:val="en-US" w:eastAsia="zh-CN" w:bidi="ar-SA"/>
                    </w:rPr>
                  </w:pPr>
                  <w:r>
                    <w:rPr>
                      <w:rStyle w:val="26"/>
                      <w:rFonts w:hint="default" w:ascii="Times New Roman" w:hAnsi="Times New Roman" w:eastAsia="宋体" w:cs="Times New Roman"/>
                      <w:color w:val="auto"/>
                      <w:kern w:val="2"/>
                      <w:sz w:val="21"/>
                      <w:szCs w:val="21"/>
                      <w:lang w:val="en-US" w:eastAsia="zh-CN" w:bidi="ar-SA"/>
                    </w:rPr>
                    <w:t>禁止开发建设活动的要求</w:t>
                  </w:r>
                </w:p>
                <w:p w14:paraId="145C4F1D">
                  <w:pPr>
                    <w:pStyle w:val="83"/>
                    <w:keepNext w:val="0"/>
                    <w:keepLines w:val="0"/>
                    <w:pageBreakBefore w:val="0"/>
                    <w:widowControl/>
                    <w:shd w:val="clear" w:color="auto" w:fill="FFFFFF"/>
                    <w:kinsoku/>
                    <w:wordWrap/>
                    <w:overflowPunct/>
                    <w:topLinePunct w:val="0"/>
                    <w:autoSpaceDE/>
                    <w:autoSpaceDN/>
                    <w:bidi w:val="0"/>
                    <w:adjustRightInd/>
                    <w:snapToGrid/>
                    <w:spacing w:line="280" w:lineRule="exact"/>
                    <w:ind w:firstLine="0" w:firstLineChars="0"/>
                    <w:jc w:val="left"/>
                    <w:textAlignment w:val="auto"/>
                    <w:rPr>
                      <w:rStyle w:val="26"/>
                      <w:rFonts w:hint="default" w:ascii="Times New Roman" w:hAnsi="Times New Roman" w:eastAsia="宋体" w:cs="Times New Roman"/>
                      <w:color w:val="auto"/>
                      <w:kern w:val="2"/>
                      <w:sz w:val="21"/>
                      <w:szCs w:val="21"/>
                      <w:lang w:val="en-US" w:eastAsia="zh-CN" w:bidi="ar-SA"/>
                    </w:rPr>
                  </w:pPr>
                  <w:r>
                    <w:rPr>
                      <w:rStyle w:val="26"/>
                      <w:rFonts w:hint="default" w:ascii="Times New Roman" w:hAnsi="Times New Roman" w:eastAsia="宋体" w:cs="Times New Roman"/>
                      <w:color w:val="auto"/>
                      <w:kern w:val="2"/>
                      <w:sz w:val="21"/>
                      <w:szCs w:val="21"/>
                      <w:lang w:val="en-US" w:eastAsia="zh-CN" w:bidi="ar-SA"/>
                    </w:rPr>
                    <w:t>限制开发建设活动的要求</w:t>
                  </w:r>
                </w:p>
                <w:p w14:paraId="3AAE50BD">
                  <w:pPr>
                    <w:pStyle w:val="83"/>
                    <w:keepNext w:val="0"/>
                    <w:keepLines w:val="0"/>
                    <w:pageBreakBefore w:val="0"/>
                    <w:widowControl/>
                    <w:shd w:val="clear" w:color="auto" w:fill="FFFFFF"/>
                    <w:kinsoku/>
                    <w:wordWrap/>
                    <w:overflowPunct/>
                    <w:topLinePunct w:val="0"/>
                    <w:autoSpaceDE/>
                    <w:autoSpaceDN/>
                    <w:bidi w:val="0"/>
                    <w:adjustRightInd/>
                    <w:snapToGrid/>
                    <w:spacing w:line="280" w:lineRule="exact"/>
                    <w:ind w:firstLine="0" w:firstLineChars="0"/>
                    <w:jc w:val="left"/>
                    <w:textAlignment w:val="auto"/>
                    <w:rPr>
                      <w:rStyle w:val="26"/>
                      <w:rFonts w:hint="default" w:ascii="Times New Roman" w:hAnsi="Times New Roman" w:eastAsia="宋体" w:cs="Times New Roman"/>
                      <w:color w:val="auto"/>
                      <w:kern w:val="2"/>
                      <w:sz w:val="21"/>
                      <w:szCs w:val="21"/>
                      <w:lang w:val="en-US" w:eastAsia="zh-CN" w:bidi="ar-SA"/>
                    </w:rPr>
                  </w:pPr>
                  <w:r>
                    <w:rPr>
                      <w:rStyle w:val="26"/>
                      <w:rFonts w:hint="default" w:ascii="Times New Roman" w:hAnsi="Times New Roman" w:eastAsia="宋体" w:cs="Times New Roman"/>
                      <w:color w:val="auto"/>
                      <w:kern w:val="2"/>
                      <w:sz w:val="21"/>
                      <w:szCs w:val="21"/>
                      <w:lang w:val="en-US" w:eastAsia="zh-CN" w:bidi="ar-SA"/>
                    </w:rPr>
                    <w:t>严控磷铵、黄磷等产业违规新增产能加快退出不符合产业政策和环保要求、不满足安全生产条件的涉磷企业</w:t>
                  </w:r>
                </w:p>
                <w:p w14:paraId="68CFB84B">
                  <w:pPr>
                    <w:pStyle w:val="83"/>
                    <w:keepNext w:val="0"/>
                    <w:keepLines w:val="0"/>
                    <w:pageBreakBefore w:val="0"/>
                    <w:widowControl/>
                    <w:shd w:val="clear" w:color="auto" w:fill="FFFFFF"/>
                    <w:kinsoku/>
                    <w:wordWrap/>
                    <w:overflowPunct/>
                    <w:topLinePunct w:val="0"/>
                    <w:autoSpaceDE/>
                    <w:autoSpaceDN/>
                    <w:bidi w:val="0"/>
                    <w:adjustRightInd/>
                    <w:snapToGrid/>
                    <w:spacing w:line="280" w:lineRule="exact"/>
                    <w:ind w:firstLine="0" w:firstLineChars="0"/>
                    <w:jc w:val="left"/>
                    <w:textAlignment w:val="auto"/>
                    <w:rPr>
                      <w:rStyle w:val="26"/>
                      <w:rFonts w:hint="default" w:ascii="Times New Roman" w:hAnsi="Times New Roman" w:eastAsia="宋体" w:cs="Times New Roman"/>
                      <w:color w:val="auto"/>
                      <w:kern w:val="2"/>
                      <w:sz w:val="21"/>
                      <w:szCs w:val="21"/>
                      <w:lang w:val="en-US" w:eastAsia="zh-CN" w:bidi="ar-SA"/>
                    </w:rPr>
                  </w:pPr>
                  <w:r>
                    <w:rPr>
                      <w:rStyle w:val="26"/>
                      <w:rFonts w:hint="default" w:ascii="Times New Roman" w:hAnsi="Times New Roman" w:eastAsia="宋体" w:cs="Times New Roman"/>
                      <w:color w:val="auto"/>
                      <w:kern w:val="2"/>
                      <w:sz w:val="21"/>
                      <w:szCs w:val="21"/>
                      <w:lang w:val="en-US" w:eastAsia="zh-CN" w:bidi="ar-SA"/>
                    </w:rPr>
                    <w:t>允许开发建设活动的要求</w:t>
                  </w:r>
                </w:p>
                <w:p w14:paraId="7080487A">
                  <w:pPr>
                    <w:pStyle w:val="83"/>
                    <w:keepNext w:val="0"/>
                    <w:keepLines w:val="0"/>
                    <w:pageBreakBefore w:val="0"/>
                    <w:widowControl/>
                    <w:shd w:val="clear" w:color="auto" w:fill="FFFFFF"/>
                    <w:kinsoku/>
                    <w:wordWrap/>
                    <w:overflowPunct/>
                    <w:topLinePunct w:val="0"/>
                    <w:autoSpaceDE/>
                    <w:autoSpaceDN/>
                    <w:bidi w:val="0"/>
                    <w:adjustRightInd/>
                    <w:snapToGrid/>
                    <w:spacing w:line="280" w:lineRule="exact"/>
                    <w:ind w:firstLine="0" w:firstLineChars="0"/>
                    <w:jc w:val="left"/>
                    <w:textAlignment w:val="auto"/>
                    <w:rPr>
                      <w:rStyle w:val="26"/>
                      <w:rFonts w:hint="default" w:ascii="Times New Roman" w:hAnsi="Times New Roman" w:eastAsia="宋体" w:cs="Times New Roman"/>
                      <w:color w:val="auto"/>
                      <w:kern w:val="2"/>
                      <w:sz w:val="21"/>
                      <w:szCs w:val="21"/>
                      <w:lang w:val="en-US" w:eastAsia="zh-CN" w:bidi="ar-SA"/>
                    </w:rPr>
                  </w:pPr>
                  <w:r>
                    <w:rPr>
                      <w:rStyle w:val="26"/>
                      <w:rFonts w:hint="default" w:ascii="Times New Roman" w:hAnsi="Times New Roman" w:eastAsia="宋体" w:cs="Times New Roman"/>
                      <w:color w:val="auto"/>
                      <w:kern w:val="2"/>
                      <w:sz w:val="21"/>
                      <w:szCs w:val="21"/>
                      <w:lang w:val="en-US" w:eastAsia="zh-CN" w:bidi="ar-SA"/>
                    </w:rPr>
                    <w:t>不符合空间布局要求活动的退出要求</w:t>
                  </w:r>
                </w:p>
                <w:p w14:paraId="51641274">
                  <w:pPr>
                    <w:pStyle w:val="83"/>
                    <w:keepNext w:val="0"/>
                    <w:keepLines w:val="0"/>
                    <w:pageBreakBefore w:val="0"/>
                    <w:widowControl/>
                    <w:shd w:val="clear" w:color="auto" w:fill="FFFFFF"/>
                    <w:kinsoku/>
                    <w:wordWrap/>
                    <w:overflowPunct/>
                    <w:topLinePunct w:val="0"/>
                    <w:autoSpaceDE/>
                    <w:autoSpaceDN/>
                    <w:bidi w:val="0"/>
                    <w:adjustRightInd/>
                    <w:snapToGrid/>
                    <w:spacing w:line="280" w:lineRule="exact"/>
                    <w:ind w:firstLine="0" w:firstLineChars="0"/>
                    <w:jc w:val="left"/>
                    <w:textAlignment w:val="auto"/>
                    <w:rPr>
                      <w:rFonts w:hint="default" w:ascii="Times New Roman" w:hAnsi="Times New Roman" w:eastAsia="宋体" w:cs="Times New Roman"/>
                      <w:color w:val="auto"/>
                      <w:kern w:val="2"/>
                      <w:sz w:val="21"/>
                      <w:szCs w:val="21"/>
                      <w:lang w:val="en-US" w:eastAsia="zh-CN" w:bidi="ar-SA"/>
                    </w:rPr>
                  </w:pPr>
                  <w:r>
                    <w:rPr>
                      <w:rStyle w:val="26"/>
                      <w:rFonts w:hint="default" w:ascii="Times New Roman" w:hAnsi="Times New Roman" w:eastAsia="宋体" w:cs="Times New Roman"/>
                      <w:color w:val="auto"/>
                      <w:kern w:val="2"/>
                      <w:sz w:val="21"/>
                      <w:szCs w:val="21"/>
                      <w:lang w:val="en-US" w:eastAsia="zh-CN" w:bidi="ar-SA"/>
                    </w:rPr>
                    <w:t>其他空间布局约束要求</w:t>
                  </w:r>
                </w:p>
              </w:tc>
              <w:tc>
                <w:tcPr>
                  <w:tcW w:w="879" w:type="pct"/>
                  <w:tcBorders>
                    <w:tl2br w:val="nil"/>
                    <w:tr2bl w:val="nil"/>
                  </w:tcBorders>
                  <w:vAlign w:val="center"/>
                </w:tcPr>
                <w:p w14:paraId="1E0760AD">
                  <w:pPr>
                    <w:pStyle w:val="83"/>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本项目为建筑用石加工项目，</w:t>
                  </w:r>
                  <w:r>
                    <w:rPr>
                      <w:rFonts w:hint="default" w:ascii="Times New Roman" w:hAnsi="Times New Roman" w:eastAsia="宋体" w:cs="Times New Roman"/>
                      <w:color w:val="auto"/>
                      <w:sz w:val="21"/>
                      <w:szCs w:val="21"/>
                      <w:lang w:eastAsia="zh-CN"/>
                    </w:rPr>
                    <w:t>不属于磷铵、黄磷等涉磷企业。</w:t>
                  </w:r>
                </w:p>
              </w:tc>
              <w:tc>
                <w:tcPr>
                  <w:tcW w:w="193" w:type="pct"/>
                  <w:tcBorders>
                    <w:tl2br w:val="nil"/>
                    <w:tr2bl w:val="nil"/>
                  </w:tcBorders>
                  <w:vAlign w:val="center"/>
                </w:tcPr>
                <w:p w14:paraId="39971889">
                  <w:pPr>
                    <w:pStyle w:val="83"/>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r w14:paraId="169BA9B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78" w:type="pct"/>
                  <w:vMerge w:val="continue"/>
                  <w:tcBorders>
                    <w:tl2br w:val="nil"/>
                    <w:tr2bl w:val="nil"/>
                  </w:tcBorders>
                  <w:vAlign w:val="center"/>
                </w:tcPr>
                <w:p w14:paraId="6D50B84D">
                  <w:pPr>
                    <w:pStyle w:val="83"/>
                    <w:keepNext w:val="0"/>
                    <w:keepLines w:val="0"/>
                    <w:pageBreakBefore w:val="0"/>
                    <w:kinsoku/>
                    <w:wordWrap/>
                    <w:overflowPunct/>
                    <w:topLinePunct w:val="0"/>
                    <w:autoSpaceDE/>
                    <w:autoSpaceDN/>
                    <w:bidi w:val="0"/>
                    <w:adjustRightInd/>
                    <w:snapToGrid/>
                    <w:spacing w:line="240" w:lineRule="exact"/>
                    <w:ind w:firstLine="0" w:firstLineChars="0"/>
                    <w:jc w:val="left"/>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YS5117223210003</w:t>
                  </w:r>
                </w:p>
              </w:tc>
              <w:tc>
                <w:tcPr>
                  <w:tcW w:w="297" w:type="pct"/>
                  <w:vMerge w:val="continue"/>
                  <w:tcBorders>
                    <w:tl2br w:val="nil"/>
                    <w:tr2bl w:val="nil"/>
                  </w:tcBorders>
                  <w:vAlign w:val="center"/>
                </w:tcPr>
                <w:p w14:paraId="172A597B">
                  <w:pPr>
                    <w:pStyle w:val="83"/>
                    <w:keepNext w:val="0"/>
                    <w:keepLines w:val="0"/>
                    <w:pageBreakBefore w:val="0"/>
                    <w:kinsoku/>
                    <w:wordWrap/>
                    <w:overflowPunct/>
                    <w:topLinePunct w:val="0"/>
                    <w:autoSpaceDE/>
                    <w:autoSpaceDN/>
                    <w:bidi w:val="0"/>
                    <w:adjustRightInd/>
                    <w:snapToGrid/>
                    <w:spacing w:line="240" w:lineRule="exact"/>
                    <w:ind w:firstLine="0" w:firstLineChars="0"/>
                    <w:jc w:val="left"/>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中河宣汉县普光控制单元</w:t>
                  </w:r>
                </w:p>
              </w:tc>
              <w:tc>
                <w:tcPr>
                  <w:tcW w:w="2040" w:type="pct"/>
                  <w:vMerge w:val="continue"/>
                  <w:tcBorders>
                    <w:tl2br w:val="nil"/>
                    <w:tr2bl w:val="nil"/>
                  </w:tcBorders>
                  <w:vAlign w:val="center"/>
                </w:tcPr>
                <w:p w14:paraId="5000B599">
                  <w:pPr>
                    <w:pStyle w:val="83"/>
                    <w:keepNext w:val="0"/>
                    <w:keepLines w:val="0"/>
                    <w:pageBreakBefore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宋体" w:cs="Times New Roman"/>
                      <w:color w:val="auto"/>
                      <w:kern w:val="0"/>
                      <w:sz w:val="21"/>
                      <w:szCs w:val="21"/>
                    </w:rPr>
                  </w:pPr>
                </w:p>
              </w:tc>
              <w:tc>
                <w:tcPr>
                  <w:tcW w:w="274" w:type="pct"/>
                  <w:tcBorders>
                    <w:tl2br w:val="nil"/>
                    <w:tr2bl w:val="nil"/>
                  </w:tcBorders>
                  <w:vAlign w:val="center"/>
                </w:tcPr>
                <w:p w14:paraId="0F24653D">
                  <w:pPr>
                    <w:pStyle w:val="83"/>
                    <w:keepNext w:val="0"/>
                    <w:keepLines w:val="0"/>
                    <w:pageBreakBefore w:val="0"/>
                    <w:kinsoku/>
                    <w:wordWrap/>
                    <w:overflowPunct/>
                    <w:topLinePunct w:val="0"/>
                    <w:autoSpaceDE/>
                    <w:autoSpaceDN/>
                    <w:bidi w:val="0"/>
                    <w:adjustRightInd/>
                    <w:snapToGrid/>
                    <w:spacing w:line="280" w:lineRule="exact"/>
                    <w:ind w:firstLine="0" w:firstLineChars="0"/>
                    <w:jc w:val="left"/>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sz w:val="21"/>
                      <w:szCs w:val="21"/>
                    </w:rPr>
                    <w:t>污染物排放管控</w:t>
                  </w:r>
                </w:p>
              </w:tc>
              <w:tc>
                <w:tcPr>
                  <w:tcW w:w="1134" w:type="pct"/>
                  <w:tcBorders>
                    <w:tl2br w:val="nil"/>
                    <w:tr2bl w:val="nil"/>
                  </w:tcBorders>
                  <w:shd w:val="clear" w:color="auto" w:fill="auto"/>
                  <w:vAlign w:val="center"/>
                </w:tcPr>
                <w:p w14:paraId="4FB5AAFB">
                  <w:pPr>
                    <w:pStyle w:val="83"/>
                    <w:keepNext w:val="0"/>
                    <w:keepLines w:val="0"/>
                    <w:pageBreakBefore w:val="0"/>
                    <w:widowControl/>
                    <w:shd w:val="clear" w:color="auto" w:fill="FFFFFF"/>
                    <w:kinsoku/>
                    <w:wordWrap/>
                    <w:overflowPunct/>
                    <w:topLinePunct w:val="0"/>
                    <w:autoSpaceDE/>
                    <w:autoSpaceDN/>
                    <w:bidi w:val="0"/>
                    <w:adjustRightInd/>
                    <w:snapToGrid/>
                    <w:spacing w:line="280" w:lineRule="exact"/>
                    <w:ind w:firstLine="0" w:firstLineChars="0"/>
                    <w:jc w:val="left"/>
                    <w:textAlignment w:val="auto"/>
                    <w:rPr>
                      <w:rStyle w:val="26"/>
                      <w:rFonts w:hint="default" w:ascii="Times New Roman" w:hAnsi="Times New Roman" w:eastAsia="宋体" w:cs="Times New Roman"/>
                      <w:color w:val="auto"/>
                      <w:kern w:val="2"/>
                      <w:sz w:val="21"/>
                      <w:szCs w:val="21"/>
                      <w:lang w:val="en-US" w:eastAsia="zh-CN" w:bidi="ar-SA"/>
                    </w:rPr>
                  </w:pPr>
                  <w:r>
                    <w:rPr>
                      <w:rStyle w:val="26"/>
                      <w:rFonts w:hint="default" w:ascii="Times New Roman" w:hAnsi="Times New Roman" w:eastAsia="宋体" w:cs="Times New Roman"/>
                      <w:color w:val="auto"/>
                      <w:kern w:val="2"/>
                      <w:sz w:val="21"/>
                      <w:szCs w:val="21"/>
                      <w:lang w:val="en-US" w:eastAsia="zh-CN" w:bidi="ar-SA"/>
                    </w:rPr>
                    <w:t>城镇污水污染控制措施要求</w:t>
                  </w:r>
                </w:p>
                <w:p w14:paraId="0D977F05">
                  <w:pPr>
                    <w:pStyle w:val="83"/>
                    <w:keepNext w:val="0"/>
                    <w:keepLines w:val="0"/>
                    <w:pageBreakBefore w:val="0"/>
                    <w:widowControl/>
                    <w:shd w:val="clear" w:color="auto" w:fill="FFFFFF"/>
                    <w:kinsoku/>
                    <w:wordWrap/>
                    <w:overflowPunct/>
                    <w:topLinePunct w:val="0"/>
                    <w:autoSpaceDE/>
                    <w:autoSpaceDN/>
                    <w:bidi w:val="0"/>
                    <w:adjustRightInd/>
                    <w:snapToGrid/>
                    <w:spacing w:line="280" w:lineRule="exact"/>
                    <w:ind w:firstLine="0" w:firstLineChars="0"/>
                    <w:jc w:val="left"/>
                    <w:textAlignment w:val="auto"/>
                    <w:rPr>
                      <w:rStyle w:val="26"/>
                      <w:rFonts w:hint="default" w:ascii="Times New Roman" w:hAnsi="Times New Roman" w:eastAsia="宋体" w:cs="Times New Roman"/>
                      <w:color w:val="auto"/>
                      <w:kern w:val="2"/>
                      <w:sz w:val="21"/>
                      <w:szCs w:val="21"/>
                      <w:lang w:val="en-US" w:eastAsia="zh-CN" w:bidi="ar-SA"/>
                    </w:rPr>
                  </w:pPr>
                  <w:r>
                    <w:rPr>
                      <w:rStyle w:val="26"/>
                      <w:rFonts w:hint="default" w:ascii="Times New Roman" w:hAnsi="Times New Roman" w:eastAsia="宋体" w:cs="Times New Roman"/>
                      <w:color w:val="auto"/>
                      <w:kern w:val="2"/>
                      <w:sz w:val="21"/>
                      <w:szCs w:val="21"/>
                      <w:lang w:val="en-US" w:eastAsia="zh-CN" w:bidi="ar-SA"/>
                    </w:rPr>
                    <w:t>工业废水污染控制措施要求</w:t>
                  </w:r>
                </w:p>
                <w:p w14:paraId="6B5310BF">
                  <w:pPr>
                    <w:pStyle w:val="83"/>
                    <w:keepNext w:val="0"/>
                    <w:keepLines w:val="0"/>
                    <w:pageBreakBefore w:val="0"/>
                    <w:widowControl/>
                    <w:shd w:val="clear" w:color="auto" w:fill="FFFFFF"/>
                    <w:kinsoku/>
                    <w:wordWrap/>
                    <w:overflowPunct/>
                    <w:topLinePunct w:val="0"/>
                    <w:autoSpaceDE/>
                    <w:autoSpaceDN/>
                    <w:bidi w:val="0"/>
                    <w:adjustRightInd/>
                    <w:snapToGrid/>
                    <w:spacing w:line="280" w:lineRule="exact"/>
                    <w:ind w:firstLine="0" w:firstLineChars="0"/>
                    <w:jc w:val="left"/>
                    <w:textAlignment w:val="auto"/>
                    <w:rPr>
                      <w:rStyle w:val="26"/>
                      <w:rFonts w:hint="default" w:ascii="Times New Roman" w:hAnsi="Times New Roman" w:eastAsia="宋体" w:cs="Times New Roman"/>
                      <w:color w:val="auto"/>
                      <w:kern w:val="2"/>
                      <w:sz w:val="21"/>
                      <w:szCs w:val="21"/>
                      <w:lang w:val="en-US" w:eastAsia="zh-CN" w:bidi="ar-SA"/>
                    </w:rPr>
                  </w:pPr>
                  <w:r>
                    <w:rPr>
                      <w:rStyle w:val="26"/>
                      <w:rFonts w:hint="default" w:ascii="Times New Roman" w:hAnsi="Times New Roman" w:eastAsia="宋体" w:cs="Times New Roman"/>
                      <w:color w:val="auto"/>
                      <w:kern w:val="2"/>
                      <w:sz w:val="21"/>
                      <w:szCs w:val="21"/>
                      <w:lang w:val="en-US" w:eastAsia="zh-CN" w:bidi="ar-SA"/>
                    </w:rPr>
                    <w:t>1、深入实施工业企业污水处理设施升级改造，全面实现工业废水达标排放。2、强化工业集聚区污水治理，推进工业污水集中处理设施及配套收集系统建设与提标升级改造，大力推进现有污水收集、处理设施问题排查及整治；完善园区及企业雨污分流系统，全面推进医药、化工等行业初期雨水收集处理，推动有条件的园区实施入园企业“一企一管、明管输送、实时监测”。3、加强工业园区集中污水处理设施运行监管，强企业废水预处理和排水管理，鼓励纳管企业与园区污水处理厂运营单位通过签订委托处理合同等方式协同处理废水。4、加强新化学物质环境管理，严格执行《新化学物质环境管理登记办法》</w:t>
                  </w:r>
                  <w:r>
                    <w:rPr>
                      <w:rStyle w:val="26"/>
                      <w:rFonts w:hint="eastAsia" w:eastAsia="宋体" w:cs="Times New Roman"/>
                      <w:color w:val="auto"/>
                      <w:kern w:val="2"/>
                      <w:sz w:val="21"/>
                      <w:szCs w:val="21"/>
                      <w:lang w:val="en-US" w:eastAsia="zh-CN" w:bidi="ar-SA"/>
                    </w:rPr>
                    <w:t>，</w:t>
                  </w:r>
                  <w:r>
                    <w:rPr>
                      <w:rStyle w:val="26"/>
                      <w:rFonts w:hint="default" w:ascii="Times New Roman" w:hAnsi="Times New Roman" w:eastAsia="宋体" w:cs="Times New Roman"/>
                      <w:color w:val="auto"/>
                      <w:kern w:val="2"/>
                      <w:sz w:val="21"/>
                      <w:szCs w:val="21"/>
                      <w:lang w:val="en-US" w:eastAsia="zh-CN" w:bidi="ar-SA"/>
                    </w:rPr>
                    <w:t>落实企业新化学物质环境风险防控主体责任。落实国家《优先控制化学品名录（第一批）》《优先控制化学品名录（第二批）》《重点管控新污染物清单（2023年版）》环境风险管控措施。</w:t>
                  </w:r>
                </w:p>
                <w:p w14:paraId="04C7FC10">
                  <w:pPr>
                    <w:pStyle w:val="83"/>
                    <w:keepNext w:val="0"/>
                    <w:keepLines w:val="0"/>
                    <w:pageBreakBefore w:val="0"/>
                    <w:widowControl/>
                    <w:shd w:val="clear" w:color="auto" w:fill="FFFFFF"/>
                    <w:kinsoku/>
                    <w:wordWrap/>
                    <w:overflowPunct/>
                    <w:topLinePunct w:val="0"/>
                    <w:autoSpaceDE/>
                    <w:autoSpaceDN/>
                    <w:bidi w:val="0"/>
                    <w:adjustRightInd/>
                    <w:snapToGrid/>
                    <w:spacing w:line="280" w:lineRule="exact"/>
                    <w:ind w:firstLine="0" w:firstLineChars="0"/>
                    <w:jc w:val="left"/>
                    <w:textAlignment w:val="auto"/>
                    <w:rPr>
                      <w:rStyle w:val="26"/>
                      <w:rFonts w:hint="default" w:ascii="Times New Roman" w:hAnsi="Times New Roman" w:eastAsia="宋体" w:cs="Times New Roman"/>
                      <w:color w:val="auto"/>
                      <w:kern w:val="2"/>
                      <w:sz w:val="21"/>
                      <w:szCs w:val="21"/>
                      <w:lang w:val="en-US" w:eastAsia="zh-CN" w:bidi="ar-SA"/>
                    </w:rPr>
                  </w:pPr>
                  <w:r>
                    <w:rPr>
                      <w:rStyle w:val="26"/>
                      <w:rFonts w:hint="default" w:ascii="Times New Roman" w:hAnsi="Times New Roman" w:eastAsia="宋体" w:cs="Times New Roman"/>
                      <w:color w:val="auto"/>
                      <w:kern w:val="2"/>
                      <w:sz w:val="21"/>
                      <w:szCs w:val="21"/>
                      <w:lang w:val="en-US" w:eastAsia="zh-CN" w:bidi="ar-SA"/>
                    </w:rPr>
                    <w:t>农业面源水污染控制措施要求</w:t>
                  </w:r>
                </w:p>
                <w:p w14:paraId="36954C1A">
                  <w:pPr>
                    <w:pStyle w:val="83"/>
                    <w:keepNext w:val="0"/>
                    <w:keepLines w:val="0"/>
                    <w:pageBreakBefore w:val="0"/>
                    <w:widowControl/>
                    <w:shd w:val="clear" w:color="auto" w:fill="FFFFFF"/>
                    <w:kinsoku/>
                    <w:wordWrap/>
                    <w:overflowPunct/>
                    <w:topLinePunct w:val="0"/>
                    <w:autoSpaceDE/>
                    <w:autoSpaceDN/>
                    <w:bidi w:val="0"/>
                    <w:adjustRightInd/>
                    <w:snapToGrid/>
                    <w:spacing w:line="280" w:lineRule="exact"/>
                    <w:ind w:firstLine="0" w:firstLineChars="0"/>
                    <w:jc w:val="left"/>
                    <w:textAlignment w:val="auto"/>
                    <w:rPr>
                      <w:rStyle w:val="26"/>
                      <w:rFonts w:hint="default" w:ascii="Times New Roman" w:hAnsi="Times New Roman" w:eastAsia="宋体" w:cs="Times New Roman"/>
                      <w:color w:val="auto"/>
                      <w:kern w:val="2"/>
                      <w:sz w:val="21"/>
                      <w:szCs w:val="21"/>
                      <w:lang w:val="en-US" w:eastAsia="zh-CN" w:bidi="ar-SA"/>
                    </w:rPr>
                  </w:pPr>
                  <w:r>
                    <w:rPr>
                      <w:rStyle w:val="26"/>
                      <w:rFonts w:hint="default" w:ascii="Times New Roman" w:hAnsi="Times New Roman" w:eastAsia="宋体" w:cs="Times New Roman"/>
                      <w:color w:val="auto"/>
                      <w:kern w:val="2"/>
                      <w:sz w:val="21"/>
                      <w:szCs w:val="21"/>
                      <w:lang w:val="en-US" w:eastAsia="zh-CN" w:bidi="ar-SA"/>
                    </w:rPr>
                    <w:t>船舶港口水污染控制措施要求</w:t>
                  </w:r>
                </w:p>
                <w:p w14:paraId="4997083B">
                  <w:pPr>
                    <w:pStyle w:val="83"/>
                    <w:keepNext w:val="0"/>
                    <w:keepLines w:val="0"/>
                    <w:pageBreakBefore w:val="0"/>
                    <w:widowControl/>
                    <w:shd w:val="clear" w:color="auto" w:fill="FFFFFF"/>
                    <w:kinsoku/>
                    <w:wordWrap/>
                    <w:overflowPunct/>
                    <w:topLinePunct w:val="0"/>
                    <w:autoSpaceDE/>
                    <w:autoSpaceDN/>
                    <w:bidi w:val="0"/>
                    <w:adjustRightInd/>
                    <w:snapToGrid/>
                    <w:spacing w:line="280" w:lineRule="exact"/>
                    <w:ind w:firstLine="0" w:firstLineChars="0"/>
                    <w:jc w:val="left"/>
                    <w:textAlignment w:val="auto"/>
                    <w:rPr>
                      <w:rFonts w:hint="default" w:ascii="Times New Roman" w:hAnsi="Times New Roman" w:eastAsia="宋体" w:cs="Times New Roman"/>
                      <w:color w:val="auto"/>
                      <w:kern w:val="2"/>
                      <w:sz w:val="21"/>
                      <w:szCs w:val="21"/>
                      <w:lang w:val="en-US" w:eastAsia="zh-CN" w:bidi="ar-SA"/>
                    </w:rPr>
                  </w:pPr>
                  <w:r>
                    <w:rPr>
                      <w:rStyle w:val="26"/>
                      <w:rFonts w:hint="default" w:ascii="Times New Roman" w:hAnsi="Times New Roman" w:eastAsia="宋体" w:cs="Times New Roman"/>
                      <w:color w:val="auto"/>
                      <w:kern w:val="2"/>
                      <w:sz w:val="21"/>
                      <w:szCs w:val="21"/>
                      <w:lang w:val="en-US" w:eastAsia="zh-CN" w:bidi="ar-SA"/>
                    </w:rPr>
                    <w:t>饮用水水源和其它特殊水体保护要求</w:t>
                  </w:r>
                </w:p>
              </w:tc>
              <w:tc>
                <w:tcPr>
                  <w:tcW w:w="879" w:type="pct"/>
                  <w:tcBorders>
                    <w:tl2br w:val="nil"/>
                    <w:tr2bl w:val="nil"/>
                  </w:tcBorders>
                  <w:vAlign w:val="center"/>
                </w:tcPr>
                <w:p w14:paraId="3DE32756">
                  <w:pPr>
                    <w:pStyle w:val="83"/>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rPr>
                  </w:pPr>
                  <w:r>
                    <w:rPr>
                      <w:rFonts w:hint="eastAsia" w:eastAsia="宋体" w:cs="Times New Roman"/>
                      <w:color w:val="auto"/>
                      <w:sz w:val="21"/>
                      <w:szCs w:val="21"/>
                      <w:lang w:eastAsia="zh-CN"/>
                    </w:rPr>
                    <w:t>项目</w:t>
                  </w:r>
                  <w:r>
                    <w:rPr>
                      <w:rFonts w:hint="default" w:ascii="Times New Roman" w:hAnsi="Times New Roman" w:eastAsia="宋体" w:cs="Times New Roman"/>
                      <w:color w:val="auto"/>
                      <w:sz w:val="21"/>
                      <w:szCs w:val="21"/>
                    </w:rPr>
                    <w:t>生活污水通过定期拉运的方式进入东岳场镇污水处理厂处理后</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rPr>
                    <w:t>项目生产废水经</w:t>
                  </w:r>
                  <w:r>
                    <w:rPr>
                      <w:rFonts w:hint="default" w:ascii="Times New Roman" w:hAnsi="Times New Roman" w:eastAsia="宋体" w:cs="Times New Roman"/>
                      <w:color w:val="auto"/>
                      <w:sz w:val="21"/>
                      <w:szCs w:val="21"/>
                      <w:lang w:eastAsia="zh-CN"/>
                    </w:rPr>
                    <w:t>沉淀</w:t>
                  </w:r>
                  <w:r>
                    <w:rPr>
                      <w:rFonts w:hint="default" w:ascii="Times New Roman" w:hAnsi="Times New Roman" w:eastAsia="宋体" w:cs="Times New Roman"/>
                      <w:color w:val="auto"/>
                      <w:sz w:val="21"/>
                      <w:szCs w:val="21"/>
                    </w:rPr>
                    <w:t>处理后全部循环使用，不外排</w:t>
                  </w:r>
                  <w:r>
                    <w:rPr>
                      <w:rFonts w:hint="default" w:ascii="Times New Roman" w:hAnsi="Times New Roman" w:eastAsia="宋体" w:cs="Times New Roman"/>
                      <w:color w:val="auto"/>
                      <w:sz w:val="21"/>
                      <w:szCs w:val="21"/>
                      <w:lang w:eastAsia="zh-CN"/>
                    </w:rPr>
                    <w:t>。项目不涉及新化学物质。</w:t>
                  </w:r>
                </w:p>
              </w:tc>
              <w:tc>
                <w:tcPr>
                  <w:tcW w:w="193" w:type="pct"/>
                  <w:tcBorders>
                    <w:tl2br w:val="nil"/>
                    <w:tr2bl w:val="nil"/>
                  </w:tcBorders>
                  <w:vAlign w:val="center"/>
                </w:tcPr>
                <w:p w14:paraId="6305BE60">
                  <w:pPr>
                    <w:pStyle w:val="83"/>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r w14:paraId="6937663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78" w:type="pct"/>
                  <w:vMerge w:val="continue"/>
                  <w:tcBorders>
                    <w:tl2br w:val="nil"/>
                    <w:tr2bl w:val="nil"/>
                  </w:tcBorders>
                  <w:vAlign w:val="center"/>
                </w:tcPr>
                <w:p w14:paraId="1EB9FB9D">
                  <w:pPr>
                    <w:pStyle w:val="83"/>
                    <w:keepNext w:val="0"/>
                    <w:keepLines w:val="0"/>
                    <w:pageBreakBefore w:val="0"/>
                    <w:kinsoku/>
                    <w:wordWrap/>
                    <w:overflowPunct/>
                    <w:topLinePunct w:val="0"/>
                    <w:autoSpaceDE/>
                    <w:autoSpaceDN/>
                    <w:bidi w:val="0"/>
                    <w:adjustRightInd/>
                    <w:snapToGrid/>
                    <w:spacing w:line="240" w:lineRule="exact"/>
                    <w:ind w:firstLine="0" w:firstLineChars="0"/>
                    <w:jc w:val="left"/>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YS5117223210003</w:t>
                  </w:r>
                </w:p>
              </w:tc>
              <w:tc>
                <w:tcPr>
                  <w:tcW w:w="297" w:type="pct"/>
                  <w:vMerge w:val="continue"/>
                  <w:tcBorders>
                    <w:tl2br w:val="nil"/>
                    <w:tr2bl w:val="nil"/>
                  </w:tcBorders>
                  <w:vAlign w:val="center"/>
                </w:tcPr>
                <w:p w14:paraId="7D1EEA22">
                  <w:pPr>
                    <w:pStyle w:val="83"/>
                    <w:keepNext w:val="0"/>
                    <w:keepLines w:val="0"/>
                    <w:pageBreakBefore w:val="0"/>
                    <w:kinsoku/>
                    <w:wordWrap/>
                    <w:overflowPunct/>
                    <w:topLinePunct w:val="0"/>
                    <w:autoSpaceDE/>
                    <w:autoSpaceDN/>
                    <w:bidi w:val="0"/>
                    <w:adjustRightInd/>
                    <w:snapToGrid/>
                    <w:spacing w:line="240" w:lineRule="exact"/>
                    <w:ind w:firstLine="0" w:firstLineChars="0"/>
                    <w:jc w:val="left"/>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中河宣汉县普光控制单元</w:t>
                  </w:r>
                </w:p>
              </w:tc>
              <w:tc>
                <w:tcPr>
                  <w:tcW w:w="2040" w:type="pct"/>
                  <w:vMerge w:val="continue"/>
                  <w:tcBorders>
                    <w:tl2br w:val="nil"/>
                    <w:tr2bl w:val="nil"/>
                  </w:tcBorders>
                  <w:vAlign w:val="center"/>
                </w:tcPr>
                <w:p w14:paraId="3E6FE7E1">
                  <w:pPr>
                    <w:pStyle w:val="83"/>
                    <w:keepNext w:val="0"/>
                    <w:keepLines w:val="0"/>
                    <w:pageBreakBefore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宋体" w:cs="Times New Roman"/>
                      <w:color w:val="auto"/>
                      <w:kern w:val="0"/>
                      <w:sz w:val="21"/>
                      <w:szCs w:val="21"/>
                    </w:rPr>
                  </w:pPr>
                </w:p>
              </w:tc>
              <w:tc>
                <w:tcPr>
                  <w:tcW w:w="274" w:type="pct"/>
                  <w:tcBorders>
                    <w:tl2br w:val="nil"/>
                    <w:tr2bl w:val="nil"/>
                  </w:tcBorders>
                  <w:vAlign w:val="center"/>
                </w:tcPr>
                <w:p w14:paraId="509303C3">
                  <w:pPr>
                    <w:pStyle w:val="83"/>
                    <w:keepNext w:val="0"/>
                    <w:keepLines w:val="0"/>
                    <w:pageBreakBefore w:val="0"/>
                    <w:kinsoku/>
                    <w:wordWrap/>
                    <w:overflowPunct/>
                    <w:topLinePunct w:val="0"/>
                    <w:autoSpaceDE/>
                    <w:autoSpaceDN/>
                    <w:bidi w:val="0"/>
                    <w:adjustRightInd/>
                    <w:snapToGrid/>
                    <w:spacing w:line="280" w:lineRule="exact"/>
                    <w:ind w:firstLine="0" w:firstLineChars="0"/>
                    <w:jc w:val="left"/>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环境风险防控</w:t>
                  </w:r>
                </w:p>
              </w:tc>
              <w:tc>
                <w:tcPr>
                  <w:tcW w:w="1134" w:type="pct"/>
                  <w:tcBorders>
                    <w:tl2br w:val="nil"/>
                    <w:tr2bl w:val="nil"/>
                  </w:tcBorders>
                  <w:shd w:val="clear" w:color="auto" w:fill="auto"/>
                  <w:vAlign w:val="center"/>
                </w:tcPr>
                <w:p w14:paraId="0B06EB7F">
                  <w:pPr>
                    <w:pStyle w:val="83"/>
                    <w:keepNext w:val="0"/>
                    <w:keepLines w:val="0"/>
                    <w:pageBreakBefore w:val="0"/>
                    <w:widowControl/>
                    <w:shd w:val="clear" w:color="auto" w:fill="FFFFFF"/>
                    <w:kinsoku/>
                    <w:wordWrap/>
                    <w:overflowPunct/>
                    <w:topLinePunct w:val="0"/>
                    <w:autoSpaceDE/>
                    <w:autoSpaceDN/>
                    <w:bidi w:val="0"/>
                    <w:adjustRightInd/>
                    <w:snapToGrid/>
                    <w:spacing w:line="280" w:lineRule="exact"/>
                    <w:ind w:firstLine="0" w:firstLineChars="0"/>
                    <w:jc w:val="left"/>
                    <w:textAlignment w:val="auto"/>
                    <w:rPr>
                      <w:rFonts w:hint="default" w:ascii="Times New Roman" w:hAnsi="Times New Roman" w:eastAsia="宋体" w:cs="Times New Roman"/>
                      <w:color w:val="auto"/>
                      <w:kern w:val="2"/>
                      <w:sz w:val="21"/>
                      <w:szCs w:val="21"/>
                      <w:lang w:val="en-US" w:eastAsia="zh-CN" w:bidi="ar-SA"/>
                    </w:rPr>
                  </w:pPr>
                  <w:r>
                    <w:rPr>
                      <w:rStyle w:val="26"/>
                      <w:rFonts w:hint="default" w:ascii="Times New Roman" w:hAnsi="Times New Roman" w:eastAsia="宋体" w:cs="Times New Roman"/>
                      <w:color w:val="auto"/>
                      <w:kern w:val="2"/>
                      <w:sz w:val="21"/>
                      <w:szCs w:val="21"/>
                      <w:lang w:val="en-US" w:eastAsia="zh-CN" w:bidi="ar-SA"/>
                    </w:rPr>
                    <w:t>禁止在长江干支流岸线一公里范围内新建、扩建化工园区和化工项目。按要求设置生态隔离带，建设相应的防护工程。合理设置与抗风险能力相匹配的事故调蓄设施和环境应急措施。强化工业园区环境风险防控工作，突出全防全控，完善各项环境风险防范制度，确保将风险防范纳入日常环境管理制度体系。加强执法监督，实现对工业园区、重点工矿企业和主要环境风险类型的动态监控。</w:t>
                  </w:r>
                </w:p>
              </w:tc>
              <w:tc>
                <w:tcPr>
                  <w:tcW w:w="879" w:type="pct"/>
                  <w:tcBorders>
                    <w:tl2br w:val="nil"/>
                    <w:tr2bl w:val="nil"/>
                  </w:tcBorders>
                  <w:vAlign w:val="center"/>
                </w:tcPr>
                <w:p w14:paraId="4B0E857A">
                  <w:pPr>
                    <w:pStyle w:val="83"/>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yellow"/>
                      <w:lang w:eastAsia="zh-CN"/>
                    </w:rPr>
                  </w:pPr>
                  <w:r>
                    <w:rPr>
                      <w:rFonts w:hint="default" w:ascii="Times New Roman" w:hAnsi="Times New Roman" w:eastAsia="宋体" w:cs="Times New Roman"/>
                      <w:color w:val="auto"/>
                      <w:sz w:val="21"/>
                      <w:szCs w:val="21"/>
                      <w:highlight w:val="none"/>
                      <w:lang w:eastAsia="zh-CN"/>
                    </w:rPr>
                    <w:t>本项目不属于</w:t>
                  </w:r>
                  <w:r>
                    <w:rPr>
                      <w:rStyle w:val="26"/>
                      <w:rFonts w:hint="default" w:ascii="Times New Roman" w:hAnsi="Times New Roman" w:eastAsia="宋体" w:cs="Times New Roman"/>
                      <w:color w:val="auto"/>
                      <w:kern w:val="2"/>
                      <w:sz w:val="21"/>
                      <w:szCs w:val="21"/>
                      <w:highlight w:val="none"/>
                      <w:lang w:val="en-US" w:eastAsia="zh-CN" w:bidi="ar-SA"/>
                    </w:rPr>
                    <w:t>长江干支流岸线一公里范围内的化工园区和化工项目。</w:t>
                  </w:r>
                  <w:r>
                    <w:rPr>
                      <w:rFonts w:hint="default" w:ascii="Times New Roman" w:hAnsi="Times New Roman" w:eastAsia="宋体" w:cs="Times New Roman"/>
                      <w:color w:val="auto"/>
                      <w:sz w:val="21"/>
                      <w:szCs w:val="21"/>
                      <w:highlight w:val="none"/>
                    </w:rPr>
                    <w:t>在落实环评提出的风险防范措施后，环境风险可</w:t>
                  </w:r>
                  <w:r>
                    <w:rPr>
                      <w:rFonts w:hint="default" w:ascii="Times New Roman" w:hAnsi="Times New Roman" w:eastAsia="宋体" w:cs="Times New Roman"/>
                      <w:color w:val="auto"/>
                      <w:sz w:val="21"/>
                      <w:szCs w:val="21"/>
                    </w:rPr>
                    <w:t>控</w:t>
                  </w:r>
                  <w:r>
                    <w:rPr>
                      <w:rFonts w:hint="default" w:ascii="Times New Roman" w:hAnsi="Times New Roman" w:eastAsia="宋体" w:cs="Times New Roman"/>
                      <w:color w:val="auto"/>
                      <w:sz w:val="21"/>
                      <w:szCs w:val="21"/>
                      <w:lang w:eastAsia="zh-CN"/>
                    </w:rPr>
                    <w:t>，建成后将按要求编制《突发环境风 险应急预案》。</w:t>
                  </w:r>
                </w:p>
              </w:tc>
              <w:tc>
                <w:tcPr>
                  <w:tcW w:w="193" w:type="pct"/>
                  <w:tcBorders>
                    <w:tl2br w:val="nil"/>
                    <w:tr2bl w:val="nil"/>
                  </w:tcBorders>
                  <w:vAlign w:val="center"/>
                </w:tcPr>
                <w:p w14:paraId="3D637C85">
                  <w:pPr>
                    <w:pStyle w:val="83"/>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rPr>
                    <w:t>/</w:t>
                  </w:r>
                </w:p>
              </w:tc>
            </w:tr>
            <w:tr w14:paraId="239363A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78" w:type="pct"/>
                  <w:vMerge w:val="continue"/>
                  <w:tcBorders>
                    <w:tl2br w:val="nil"/>
                    <w:tr2bl w:val="nil"/>
                  </w:tcBorders>
                  <w:vAlign w:val="center"/>
                </w:tcPr>
                <w:p w14:paraId="388C3204">
                  <w:pPr>
                    <w:pStyle w:val="83"/>
                    <w:keepNext w:val="0"/>
                    <w:keepLines w:val="0"/>
                    <w:pageBreakBefore w:val="0"/>
                    <w:kinsoku/>
                    <w:wordWrap/>
                    <w:overflowPunct/>
                    <w:topLinePunct w:val="0"/>
                    <w:autoSpaceDE/>
                    <w:autoSpaceDN/>
                    <w:bidi w:val="0"/>
                    <w:adjustRightInd/>
                    <w:snapToGrid/>
                    <w:spacing w:line="240" w:lineRule="exact"/>
                    <w:ind w:firstLine="0" w:firstLineChars="0"/>
                    <w:jc w:val="left"/>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YS5117223210003</w:t>
                  </w:r>
                </w:p>
              </w:tc>
              <w:tc>
                <w:tcPr>
                  <w:tcW w:w="297" w:type="pct"/>
                  <w:vMerge w:val="continue"/>
                  <w:tcBorders>
                    <w:tl2br w:val="nil"/>
                    <w:tr2bl w:val="nil"/>
                  </w:tcBorders>
                  <w:vAlign w:val="center"/>
                </w:tcPr>
                <w:p w14:paraId="19799F46">
                  <w:pPr>
                    <w:pStyle w:val="83"/>
                    <w:keepNext w:val="0"/>
                    <w:keepLines w:val="0"/>
                    <w:pageBreakBefore w:val="0"/>
                    <w:kinsoku/>
                    <w:wordWrap/>
                    <w:overflowPunct/>
                    <w:topLinePunct w:val="0"/>
                    <w:autoSpaceDE/>
                    <w:autoSpaceDN/>
                    <w:bidi w:val="0"/>
                    <w:adjustRightInd/>
                    <w:snapToGrid/>
                    <w:spacing w:line="240" w:lineRule="exact"/>
                    <w:ind w:firstLine="0" w:firstLineChars="0"/>
                    <w:jc w:val="left"/>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中河宣汉县普光控制单元</w:t>
                  </w:r>
                </w:p>
              </w:tc>
              <w:tc>
                <w:tcPr>
                  <w:tcW w:w="2040" w:type="pct"/>
                  <w:vMerge w:val="continue"/>
                  <w:tcBorders>
                    <w:tl2br w:val="nil"/>
                    <w:tr2bl w:val="nil"/>
                  </w:tcBorders>
                  <w:vAlign w:val="center"/>
                </w:tcPr>
                <w:p w14:paraId="651E5A2B">
                  <w:pPr>
                    <w:pStyle w:val="83"/>
                    <w:keepNext w:val="0"/>
                    <w:keepLines w:val="0"/>
                    <w:pageBreakBefore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宋体" w:cs="Times New Roman"/>
                      <w:color w:val="auto"/>
                      <w:kern w:val="0"/>
                      <w:sz w:val="21"/>
                      <w:szCs w:val="21"/>
                    </w:rPr>
                  </w:pPr>
                </w:p>
              </w:tc>
              <w:tc>
                <w:tcPr>
                  <w:tcW w:w="274" w:type="pct"/>
                  <w:tcBorders>
                    <w:tl2br w:val="nil"/>
                    <w:tr2bl w:val="nil"/>
                  </w:tcBorders>
                  <w:vAlign w:val="center"/>
                </w:tcPr>
                <w:p w14:paraId="32D2F81A">
                  <w:pPr>
                    <w:pStyle w:val="83"/>
                    <w:keepNext w:val="0"/>
                    <w:keepLines w:val="0"/>
                    <w:pageBreakBefore w:val="0"/>
                    <w:kinsoku/>
                    <w:wordWrap/>
                    <w:overflowPunct/>
                    <w:topLinePunct w:val="0"/>
                    <w:autoSpaceDE/>
                    <w:autoSpaceDN/>
                    <w:bidi w:val="0"/>
                    <w:adjustRightInd/>
                    <w:snapToGrid/>
                    <w:spacing w:line="280" w:lineRule="exact"/>
                    <w:ind w:firstLine="0" w:firstLineChars="0"/>
                    <w:jc w:val="left"/>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资源开发效率要求</w:t>
                  </w:r>
                </w:p>
              </w:tc>
              <w:tc>
                <w:tcPr>
                  <w:tcW w:w="1134" w:type="pct"/>
                  <w:tcBorders>
                    <w:tl2br w:val="nil"/>
                    <w:tr2bl w:val="nil"/>
                  </w:tcBorders>
                  <w:shd w:val="clear" w:color="auto" w:fill="auto"/>
                  <w:vAlign w:val="center"/>
                </w:tcPr>
                <w:p w14:paraId="4E1C4D07">
                  <w:pPr>
                    <w:pStyle w:val="83"/>
                    <w:keepNext w:val="0"/>
                    <w:keepLines w:val="0"/>
                    <w:pageBreakBefore w:val="0"/>
                    <w:widowControl/>
                    <w:shd w:val="clear" w:color="auto" w:fill="FFFFFF"/>
                    <w:kinsoku/>
                    <w:wordWrap/>
                    <w:overflowPunct/>
                    <w:topLinePunct w:val="0"/>
                    <w:autoSpaceDE/>
                    <w:autoSpaceDN/>
                    <w:bidi w:val="0"/>
                    <w:adjustRightInd/>
                    <w:snapToGrid/>
                    <w:spacing w:line="280" w:lineRule="exact"/>
                    <w:ind w:firstLine="0" w:firstLineChars="0"/>
                    <w:jc w:val="left"/>
                    <w:textAlignment w:val="auto"/>
                    <w:rPr>
                      <w:rFonts w:hint="default" w:ascii="Times New Roman" w:hAnsi="Times New Roman" w:eastAsia="宋体" w:cs="Times New Roman"/>
                      <w:color w:val="auto"/>
                      <w:kern w:val="2"/>
                      <w:sz w:val="21"/>
                      <w:szCs w:val="21"/>
                      <w:lang w:val="en-US" w:eastAsia="zh-CN" w:bidi="ar-SA"/>
                    </w:rPr>
                  </w:pPr>
                  <w:r>
                    <w:rPr>
                      <w:rStyle w:val="26"/>
                      <w:rFonts w:hint="default" w:ascii="Times New Roman" w:hAnsi="Times New Roman" w:eastAsia="宋体" w:cs="Times New Roman"/>
                      <w:color w:val="auto"/>
                      <w:kern w:val="2"/>
                      <w:sz w:val="21"/>
                      <w:szCs w:val="21"/>
                      <w:lang w:val="en-US" w:eastAsia="zh-CN" w:bidi="ar-SA"/>
                    </w:rPr>
                    <w:t>加强高耗水行业用水定额管理，以水定产，严格控制高耗水新建、改建、扩建项目。</w:t>
                  </w:r>
                </w:p>
              </w:tc>
              <w:tc>
                <w:tcPr>
                  <w:tcW w:w="879" w:type="pct"/>
                  <w:tcBorders>
                    <w:tl2br w:val="nil"/>
                    <w:tr2bl w:val="nil"/>
                  </w:tcBorders>
                  <w:vAlign w:val="center"/>
                </w:tcPr>
                <w:p w14:paraId="3D95B49C">
                  <w:pPr>
                    <w:pStyle w:val="83"/>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yellow"/>
                      <w:lang w:eastAsia="zh-CN"/>
                    </w:rPr>
                  </w:pPr>
                  <w:r>
                    <w:rPr>
                      <w:rFonts w:hint="default" w:ascii="Times New Roman" w:hAnsi="Times New Roman" w:eastAsia="宋体" w:cs="Times New Roman"/>
                      <w:color w:val="auto"/>
                      <w:sz w:val="21"/>
                      <w:szCs w:val="21"/>
                      <w:highlight w:val="none"/>
                      <w:lang w:eastAsia="zh-CN"/>
                    </w:rPr>
                    <w:t>本项目不属于高耗水行业。</w:t>
                  </w:r>
                </w:p>
              </w:tc>
              <w:tc>
                <w:tcPr>
                  <w:tcW w:w="193" w:type="pct"/>
                  <w:tcBorders>
                    <w:tl2br w:val="nil"/>
                    <w:tr2bl w:val="nil"/>
                  </w:tcBorders>
                  <w:vAlign w:val="center"/>
                </w:tcPr>
                <w:p w14:paraId="5D8AD982">
                  <w:pPr>
                    <w:pStyle w:val="83"/>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rPr>
                  </w:pPr>
                </w:p>
              </w:tc>
            </w:tr>
            <w:tr w14:paraId="1AF32A5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78" w:type="pct"/>
                  <w:vMerge w:val="restart"/>
                  <w:tcBorders>
                    <w:tl2br w:val="nil"/>
                    <w:tr2bl w:val="nil"/>
                  </w:tcBorders>
                  <w:vAlign w:val="center"/>
                </w:tcPr>
                <w:p w14:paraId="6617395C">
                  <w:pPr>
                    <w:pStyle w:val="83"/>
                    <w:keepNext w:val="0"/>
                    <w:keepLines w:val="0"/>
                    <w:pageBreakBefore w:val="0"/>
                    <w:widowControl/>
                    <w:kinsoku/>
                    <w:wordWrap/>
                    <w:overflowPunct/>
                    <w:topLinePunct w:val="0"/>
                    <w:autoSpaceDE/>
                    <w:autoSpaceDN/>
                    <w:bidi w:val="0"/>
                    <w:adjustRightInd/>
                    <w:snapToGrid/>
                    <w:spacing w:line="240" w:lineRule="exact"/>
                    <w:ind w:firstLine="0" w:firstLineChars="0"/>
                    <w:jc w:val="left"/>
                    <w:textAlignment w:val="auto"/>
                    <w:rPr>
                      <w:rFonts w:hint="default" w:ascii="Times New Roman" w:hAnsi="Times New Roman" w:eastAsia="宋体" w:cs="Times New Roman"/>
                      <w:color w:val="auto"/>
                      <w:kern w:val="0"/>
                      <w:sz w:val="21"/>
                      <w:szCs w:val="21"/>
                    </w:rPr>
                  </w:pPr>
                  <w:r>
                    <w:rPr>
                      <w:rStyle w:val="26"/>
                      <w:rFonts w:hint="default" w:ascii="Times New Roman" w:hAnsi="Times New Roman" w:eastAsia="宋体" w:cs="Times New Roman"/>
                      <w:color w:val="auto"/>
                      <w:kern w:val="2"/>
                      <w:sz w:val="21"/>
                      <w:szCs w:val="21"/>
                      <w:lang w:val="en-US" w:eastAsia="zh-CN" w:bidi="ar-SA"/>
                    </w:rPr>
                    <w:t>YS5117022310002</w:t>
                  </w:r>
                </w:p>
              </w:tc>
              <w:tc>
                <w:tcPr>
                  <w:tcW w:w="297" w:type="pct"/>
                  <w:vMerge w:val="restart"/>
                  <w:tcBorders>
                    <w:tl2br w:val="nil"/>
                    <w:tr2bl w:val="nil"/>
                  </w:tcBorders>
                  <w:vAlign w:val="center"/>
                </w:tcPr>
                <w:p w14:paraId="6EE1278D">
                  <w:pPr>
                    <w:pStyle w:val="83"/>
                    <w:keepNext w:val="0"/>
                    <w:keepLines w:val="0"/>
                    <w:pageBreakBefore w:val="0"/>
                    <w:widowControl/>
                    <w:kinsoku/>
                    <w:wordWrap/>
                    <w:overflowPunct/>
                    <w:topLinePunct w:val="0"/>
                    <w:autoSpaceDE/>
                    <w:autoSpaceDN/>
                    <w:bidi w:val="0"/>
                    <w:adjustRightInd/>
                    <w:snapToGrid/>
                    <w:spacing w:line="240" w:lineRule="exact"/>
                    <w:ind w:firstLine="0" w:firstLineChars="0"/>
                    <w:jc w:val="left"/>
                    <w:textAlignment w:val="auto"/>
                    <w:rPr>
                      <w:rFonts w:hint="default" w:ascii="Times New Roman" w:hAnsi="Times New Roman" w:eastAsia="宋体" w:cs="Times New Roman"/>
                      <w:color w:val="auto"/>
                      <w:sz w:val="21"/>
                      <w:szCs w:val="21"/>
                    </w:rPr>
                  </w:pPr>
                  <w:r>
                    <w:rPr>
                      <w:rStyle w:val="26"/>
                      <w:rFonts w:hint="default" w:ascii="Times New Roman" w:hAnsi="Times New Roman" w:eastAsia="宋体" w:cs="Times New Roman"/>
                      <w:color w:val="auto"/>
                      <w:kern w:val="2"/>
                      <w:sz w:val="21"/>
                      <w:szCs w:val="21"/>
                      <w:lang w:val="en-US" w:eastAsia="zh-CN" w:bidi="ar-SA"/>
                    </w:rPr>
                    <w:t>东岳新型工业集聚区</w:t>
                  </w:r>
                </w:p>
              </w:tc>
              <w:tc>
                <w:tcPr>
                  <w:tcW w:w="2040" w:type="pct"/>
                  <w:vMerge w:val="continue"/>
                  <w:tcBorders>
                    <w:tl2br w:val="nil"/>
                    <w:tr2bl w:val="nil"/>
                  </w:tcBorders>
                  <w:vAlign w:val="center"/>
                </w:tcPr>
                <w:p w14:paraId="0DC869BC">
                  <w:pPr>
                    <w:pStyle w:val="83"/>
                    <w:keepNext w:val="0"/>
                    <w:keepLines w:val="0"/>
                    <w:pageBreakBefore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宋体" w:cs="Times New Roman"/>
                      <w:color w:val="auto"/>
                      <w:kern w:val="0"/>
                      <w:sz w:val="21"/>
                      <w:szCs w:val="21"/>
                    </w:rPr>
                  </w:pPr>
                </w:p>
              </w:tc>
              <w:tc>
                <w:tcPr>
                  <w:tcW w:w="274" w:type="pct"/>
                  <w:tcBorders>
                    <w:tl2br w:val="nil"/>
                    <w:tr2bl w:val="nil"/>
                  </w:tcBorders>
                  <w:vAlign w:val="center"/>
                </w:tcPr>
                <w:p w14:paraId="622AF95E">
                  <w:pPr>
                    <w:pStyle w:val="83"/>
                    <w:keepNext w:val="0"/>
                    <w:keepLines w:val="0"/>
                    <w:pageBreakBefore w:val="0"/>
                    <w:kinsoku/>
                    <w:wordWrap/>
                    <w:overflowPunct/>
                    <w:topLinePunct w:val="0"/>
                    <w:autoSpaceDE/>
                    <w:autoSpaceDN/>
                    <w:bidi w:val="0"/>
                    <w:adjustRightInd/>
                    <w:snapToGrid/>
                    <w:spacing w:line="280" w:lineRule="exact"/>
                    <w:ind w:firstLine="0" w:firstLineChars="0"/>
                    <w:jc w:val="left"/>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空间布局约束</w:t>
                  </w:r>
                </w:p>
              </w:tc>
              <w:tc>
                <w:tcPr>
                  <w:tcW w:w="1134" w:type="pct"/>
                  <w:tcBorders>
                    <w:tl2br w:val="nil"/>
                    <w:tr2bl w:val="nil"/>
                  </w:tcBorders>
                  <w:shd w:val="clear" w:color="auto" w:fill="auto"/>
                  <w:vAlign w:val="center"/>
                </w:tcPr>
                <w:p w14:paraId="030F5C22">
                  <w:pPr>
                    <w:pStyle w:val="83"/>
                    <w:keepNext w:val="0"/>
                    <w:keepLines w:val="0"/>
                    <w:pageBreakBefore w:val="0"/>
                    <w:widowControl/>
                    <w:shd w:val="clear" w:color="auto" w:fill="FFFFFF"/>
                    <w:kinsoku/>
                    <w:wordWrap/>
                    <w:overflowPunct/>
                    <w:topLinePunct w:val="0"/>
                    <w:autoSpaceDE/>
                    <w:autoSpaceDN/>
                    <w:bidi w:val="0"/>
                    <w:adjustRightInd/>
                    <w:snapToGrid/>
                    <w:spacing w:line="280" w:lineRule="exact"/>
                    <w:ind w:firstLine="0" w:firstLineChars="0"/>
                    <w:jc w:val="left"/>
                    <w:textAlignment w:val="auto"/>
                    <w:rPr>
                      <w:rStyle w:val="26"/>
                      <w:rFonts w:hint="default" w:ascii="Times New Roman" w:hAnsi="Times New Roman" w:eastAsia="宋体" w:cs="Times New Roman"/>
                      <w:color w:val="auto"/>
                      <w:kern w:val="2"/>
                      <w:sz w:val="21"/>
                      <w:szCs w:val="21"/>
                      <w:lang w:val="en-US" w:eastAsia="zh-CN" w:bidi="ar-SA"/>
                    </w:rPr>
                  </w:pPr>
                  <w:r>
                    <w:rPr>
                      <w:rStyle w:val="26"/>
                      <w:rFonts w:hint="default" w:ascii="Times New Roman" w:hAnsi="Times New Roman" w:eastAsia="宋体" w:cs="Times New Roman"/>
                      <w:color w:val="auto"/>
                      <w:kern w:val="2"/>
                      <w:sz w:val="21"/>
                      <w:szCs w:val="21"/>
                      <w:lang w:val="en-US" w:eastAsia="zh-CN" w:bidi="ar-SA"/>
                    </w:rPr>
                    <w:t>禁止开发建设活动的要求/</w:t>
                  </w:r>
                </w:p>
                <w:p w14:paraId="0085E9DE">
                  <w:pPr>
                    <w:pStyle w:val="83"/>
                    <w:keepNext w:val="0"/>
                    <w:keepLines w:val="0"/>
                    <w:pageBreakBefore w:val="0"/>
                    <w:widowControl/>
                    <w:shd w:val="clear" w:color="auto" w:fill="FFFFFF"/>
                    <w:kinsoku/>
                    <w:wordWrap/>
                    <w:overflowPunct/>
                    <w:topLinePunct w:val="0"/>
                    <w:autoSpaceDE/>
                    <w:autoSpaceDN/>
                    <w:bidi w:val="0"/>
                    <w:adjustRightInd/>
                    <w:snapToGrid/>
                    <w:spacing w:line="280" w:lineRule="exact"/>
                    <w:ind w:firstLine="0" w:firstLineChars="0"/>
                    <w:jc w:val="left"/>
                    <w:textAlignment w:val="auto"/>
                    <w:rPr>
                      <w:rStyle w:val="26"/>
                      <w:rFonts w:hint="default" w:ascii="Times New Roman" w:hAnsi="Times New Roman" w:eastAsia="宋体" w:cs="Times New Roman"/>
                      <w:color w:val="auto"/>
                      <w:kern w:val="2"/>
                      <w:sz w:val="21"/>
                      <w:szCs w:val="21"/>
                      <w:lang w:val="en-US" w:eastAsia="zh-CN" w:bidi="ar-SA"/>
                    </w:rPr>
                  </w:pPr>
                  <w:r>
                    <w:rPr>
                      <w:rStyle w:val="26"/>
                      <w:rFonts w:hint="default" w:ascii="Times New Roman" w:hAnsi="Times New Roman" w:eastAsia="宋体" w:cs="Times New Roman"/>
                      <w:color w:val="auto"/>
                      <w:kern w:val="2"/>
                      <w:sz w:val="21"/>
                      <w:szCs w:val="21"/>
                      <w:lang w:val="en-US" w:eastAsia="zh-CN" w:bidi="ar-SA"/>
                    </w:rPr>
                    <w:t>限制开发建设活动的要求/</w:t>
                  </w:r>
                </w:p>
                <w:p w14:paraId="5A5DAE8B">
                  <w:pPr>
                    <w:pStyle w:val="83"/>
                    <w:keepNext w:val="0"/>
                    <w:keepLines w:val="0"/>
                    <w:pageBreakBefore w:val="0"/>
                    <w:widowControl/>
                    <w:shd w:val="clear" w:color="auto" w:fill="FFFFFF"/>
                    <w:kinsoku/>
                    <w:wordWrap/>
                    <w:overflowPunct/>
                    <w:topLinePunct w:val="0"/>
                    <w:autoSpaceDE/>
                    <w:autoSpaceDN/>
                    <w:bidi w:val="0"/>
                    <w:adjustRightInd/>
                    <w:snapToGrid/>
                    <w:spacing w:line="280" w:lineRule="exact"/>
                    <w:ind w:firstLine="0" w:firstLineChars="0"/>
                    <w:jc w:val="left"/>
                    <w:textAlignment w:val="auto"/>
                    <w:rPr>
                      <w:rStyle w:val="26"/>
                      <w:rFonts w:hint="default" w:ascii="Times New Roman" w:hAnsi="Times New Roman" w:eastAsia="宋体" w:cs="Times New Roman"/>
                      <w:color w:val="auto"/>
                      <w:kern w:val="2"/>
                      <w:sz w:val="21"/>
                      <w:szCs w:val="21"/>
                      <w:lang w:val="en-US" w:eastAsia="zh-CN" w:bidi="ar-SA"/>
                    </w:rPr>
                  </w:pPr>
                  <w:r>
                    <w:rPr>
                      <w:rStyle w:val="26"/>
                      <w:rFonts w:hint="default" w:ascii="Times New Roman" w:hAnsi="Times New Roman" w:eastAsia="宋体" w:cs="Times New Roman"/>
                      <w:color w:val="auto"/>
                      <w:kern w:val="2"/>
                      <w:sz w:val="21"/>
                      <w:szCs w:val="21"/>
                      <w:lang w:val="en-US" w:eastAsia="zh-CN" w:bidi="ar-SA"/>
                    </w:rPr>
                    <w:t>允许开发建设活动的要求/</w:t>
                  </w:r>
                </w:p>
                <w:p w14:paraId="2422E93A">
                  <w:pPr>
                    <w:pStyle w:val="83"/>
                    <w:keepNext w:val="0"/>
                    <w:keepLines w:val="0"/>
                    <w:pageBreakBefore w:val="0"/>
                    <w:widowControl/>
                    <w:shd w:val="clear" w:color="auto" w:fill="FFFFFF"/>
                    <w:kinsoku/>
                    <w:wordWrap/>
                    <w:overflowPunct/>
                    <w:topLinePunct w:val="0"/>
                    <w:autoSpaceDE/>
                    <w:autoSpaceDN/>
                    <w:bidi w:val="0"/>
                    <w:adjustRightInd/>
                    <w:snapToGrid/>
                    <w:spacing w:line="280" w:lineRule="exact"/>
                    <w:ind w:firstLine="0" w:firstLineChars="0"/>
                    <w:jc w:val="left"/>
                    <w:textAlignment w:val="auto"/>
                    <w:rPr>
                      <w:rStyle w:val="26"/>
                      <w:rFonts w:hint="default" w:ascii="Times New Roman" w:hAnsi="Times New Roman" w:eastAsia="宋体" w:cs="Times New Roman"/>
                      <w:color w:val="auto"/>
                      <w:kern w:val="2"/>
                      <w:sz w:val="21"/>
                      <w:szCs w:val="21"/>
                      <w:lang w:val="en-US" w:eastAsia="zh-CN" w:bidi="ar-SA"/>
                    </w:rPr>
                  </w:pPr>
                  <w:r>
                    <w:rPr>
                      <w:rStyle w:val="26"/>
                      <w:rFonts w:hint="default" w:ascii="Times New Roman" w:hAnsi="Times New Roman" w:eastAsia="宋体" w:cs="Times New Roman"/>
                      <w:color w:val="auto"/>
                      <w:kern w:val="2"/>
                      <w:sz w:val="21"/>
                      <w:szCs w:val="21"/>
                      <w:lang w:val="en-US" w:eastAsia="zh-CN" w:bidi="ar-SA"/>
                    </w:rPr>
                    <w:t>不符合空间布局要求活动的退出要求/</w:t>
                  </w:r>
                </w:p>
                <w:p w14:paraId="49D37582">
                  <w:pPr>
                    <w:pStyle w:val="83"/>
                    <w:keepNext w:val="0"/>
                    <w:keepLines w:val="0"/>
                    <w:pageBreakBefore w:val="0"/>
                    <w:widowControl/>
                    <w:shd w:val="clear" w:color="auto" w:fill="FFFFFF"/>
                    <w:kinsoku/>
                    <w:wordWrap/>
                    <w:overflowPunct/>
                    <w:topLinePunct w:val="0"/>
                    <w:autoSpaceDE/>
                    <w:autoSpaceDN/>
                    <w:bidi w:val="0"/>
                    <w:adjustRightInd/>
                    <w:snapToGrid/>
                    <w:spacing w:line="280" w:lineRule="exact"/>
                    <w:ind w:firstLine="0" w:firstLineChars="0"/>
                    <w:jc w:val="left"/>
                    <w:textAlignment w:val="auto"/>
                    <w:rPr>
                      <w:rFonts w:hint="default" w:ascii="Times New Roman" w:hAnsi="Times New Roman" w:eastAsia="宋体" w:cs="Times New Roman"/>
                      <w:color w:val="auto"/>
                      <w:kern w:val="2"/>
                      <w:sz w:val="21"/>
                      <w:szCs w:val="21"/>
                      <w:lang w:val="en-US" w:eastAsia="zh-CN" w:bidi="ar-SA"/>
                    </w:rPr>
                  </w:pPr>
                  <w:r>
                    <w:rPr>
                      <w:rStyle w:val="26"/>
                      <w:rFonts w:hint="default" w:ascii="Times New Roman" w:hAnsi="Times New Roman" w:eastAsia="宋体" w:cs="Times New Roman"/>
                      <w:color w:val="auto"/>
                      <w:kern w:val="2"/>
                      <w:sz w:val="21"/>
                      <w:szCs w:val="21"/>
                      <w:lang w:val="en-US" w:eastAsia="zh-CN" w:bidi="ar-SA"/>
                    </w:rPr>
                    <w:t>其他空间布局约束要求/</w:t>
                  </w:r>
                </w:p>
              </w:tc>
              <w:tc>
                <w:tcPr>
                  <w:tcW w:w="879" w:type="pct"/>
                  <w:vMerge w:val="restart"/>
                  <w:tcBorders>
                    <w:tl2br w:val="nil"/>
                    <w:tr2bl w:val="nil"/>
                  </w:tcBorders>
                  <w:vAlign w:val="center"/>
                </w:tcPr>
                <w:p w14:paraId="18938FF6">
                  <w:pPr>
                    <w:pStyle w:val="83"/>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项目主要污染物为颗粒物，经采取湿法切割、周刻后能做到达标排放。</w:t>
                  </w:r>
                </w:p>
                <w:p w14:paraId="2D4C0108">
                  <w:pPr>
                    <w:pStyle w:val="83"/>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yellow"/>
                    </w:rPr>
                  </w:pPr>
                  <w:r>
                    <w:rPr>
                      <w:rFonts w:hint="default" w:ascii="Times New Roman" w:hAnsi="Times New Roman" w:eastAsia="宋体" w:cs="Times New Roman"/>
                      <w:color w:val="auto"/>
                      <w:sz w:val="21"/>
                      <w:szCs w:val="21"/>
                      <w:highlight w:val="none"/>
                      <w:lang w:eastAsia="zh-CN"/>
                    </w:rPr>
                    <w:t>不涉及燃煤锅炉、工业炉窑等大气污染严重企业，项目以青石荒料为原料，不涉及</w:t>
                  </w:r>
                  <w:r>
                    <w:rPr>
                      <w:rFonts w:hint="default" w:ascii="Times New Roman" w:hAnsi="Times New Roman" w:eastAsia="宋体" w:cs="Times New Roman"/>
                      <w:color w:val="auto"/>
                      <w:sz w:val="21"/>
                      <w:szCs w:val="21"/>
                      <w:highlight w:val="none"/>
                      <w:lang w:val="en-US" w:eastAsia="zh-CN"/>
                    </w:rPr>
                    <w:t>VOCs原辅材料及的排放。</w:t>
                  </w:r>
                </w:p>
              </w:tc>
              <w:tc>
                <w:tcPr>
                  <w:tcW w:w="193" w:type="pct"/>
                  <w:tcBorders>
                    <w:tl2br w:val="nil"/>
                    <w:tr2bl w:val="nil"/>
                  </w:tcBorders>
                  <w:vAlign w:val="center"/>
                </w:tcPr>
                <w:p w14:paraId="43D329AB">
                  <w:pPr>
                    <w:pStyle w:val="83"/>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r w14:paraId="36DF3B0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78" w:type="pct"/>
                  <w:vMerge w:val="continue"/>
                  <w:tcBorders>
                    <w:tl2br w:val="nil"/>
                    <w:tr2bl w:val="nil"/>
                  </w:tcBorders>
                  <w:vAlign w:val="center"/>
                </w:tcPr>
                <w:p w14:paraId="36D83A0B">
                  <w:pPr>
                    <w:pStyle w:val="83"/>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YS5117222330002</w:t>
                  </w:r>
                </w:p>
              </w:tc>
              <w:tc>
                <w:tcPr>
                  <w:tcW w:w="297" w:type="pct"/>
                  <w:vMerge w:val="continue"/>
                  <w:tcBorders>
                    <w:tl2br w:val="nil"/>
                    <w:tr2bl w:val="nil"/>
                  </w:tcBorders>
                  <w:vAlign w:val="center"/>
                </w:tcPr>
                <w:p w14:paraId="47D0A4B3">
                  <w:pPr>
                    <w:pStyle w:val="83"/>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宣汉县大气环境弱扩散重点管控区</w:t>
                  </w:r>
                </w:p>
              </w:tc>
              <w:tc>
                <w:tcPr>
                  <w:tcW w:w="2040" w:type="pct"/>
                  <w:vMerge w:val="continue"/>
                  <w:tcBorders>
                    <w:tl2br w:val="nil"/>
                    <w:tr2bl w:val="nil"/>
                  </w:tcBorders>
                  <w:vAlign w:val="center"/>
                </w:tcPr>
                <w:p w14:paraId="3C8A36BE">
                  <w:pPr>
                    <w:pStyle w:val="83"/>
                    <w:keepNext w:val="0"/>
                    <w:keepLines w:val="0"/>
                    <w:pageBreakBefore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kern w:val="0"/>
                      <w:sz w:val="21"/>
                      <w:szCs w:val="21"/>
                    </w:rPr>
                  </w:pPr>
                </w:p>
              </w:tc>
              <w:tc>
                <w:tcPr>
                  <w:tcW w:w="274" w:type="pct"/>
                  <w:tcBorders>
                    <w:tl2br w:val="nil"/>
                    <w:tr2bl w:val="nil"/>
                  </w:tcBorders>
                  <w:vAlign w:val="center"/>
                </w:tcPr>
                <w:p w14:paraId="6963A300">
                  <w:pPr>
                    <w:pStyle w:val="83"/>
                    <w:keepNext w:val="0"/>
                    <w:keepLines w:val="0"/>
                    <w:pageBreakBefore w:val="0"/>
                    <w:kinsoku/>
                    <w:wordWrap/>
                    <w:overflowPunct/>
                    <w:topLinePunct w:val="0"/>
                    <w:autoSpaceDE/>
                    <w:autoSpaceDN/>
                    <w:bidi w:val="0"/>
                    <w:adjustRightInd/>
                    <w:snapToGrid/>
                    <w:spacing w:line="240" w:lineRule="exact"/>
                    <w:ind w:firstLine="0" w:firstLineChars="0"/>
                    <w:jc w:val="left"/>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污染物排放管控</w:t>
                  </w:r>
                </w:p>
              </w:tc>
              <w:tc>
                <w:tcPr>
                  <w:tcW w:w="1134" w:type="pct"/>
                  <w:tcBorders>
                    <w:tl2br w:val="nil"/>
                    <w:tr2bl w:val="nil"/>
                  </w:tcBorders>
                  <w:shd w:val="clear" w:color="auto" w:fill="auto"/>
                  <w:vAlign w:val="center"/>
                </w:tcPr>
                <w:p w14:paraId="5D4282B4">
                  <w:pPr>
                    <w:pStyle w:val="83"/>
                    <w:keepNext w:val="0"/>
                    <w:keepLines w:val="0"/>
                    <w:pageBreakBefore w:val="0"/>
                    <w:widowControl/>
                    <w:shd w:val="clear" w:color="auto" w:fill="FFFFFF"/>
                    <w:kinsoku/>
                    <w:wordWrap/>
                    <w:overflowPunct/>
                    <w:topLinePunct w:val="0"/>
                    <w:autoSpaceDE/>
                    <w:autoSpaceDN/>
                    <w:bidi w:val="0"/>
                    <w:adjustRightInd/>
                    <w:snapToGrid/>
                    <w:spacing w:line="240" w:lineRule="exact"/>
                    <w:ind w:firstLine="0" w:firstLineChars="0"/>
                    <w:jc w:val="left"/>
                    <w:textAlignment w:val="auto"/>
                    <w:rPr>
                      <w:rStyle w:val="26"/>
                      <w:rFonts w:hint="default" w:ascii="Times New Roman" w:hAnsi="Times New Roman" w:eastAsia="宋体" w:cs="Times New Roman"/>
                      <w:color w:val="auto"/>
                      <w:kern w:val="2"/>
                      <w:sz w:val="21"/>
                      <w:szCs w:val="21"/>
                      <w:lang w:val="en-US" w:eastAsia="zh-CN" w:bidi="ar-SA"/>
                    </w:rPr>
                  </w:pPr>
                  <w:r>
                    <w:rPr>
                      <w:rStyle w:val="26"/>
                      <w:rFonts w:hint="default" w:ascii="Times New Roman" w:hAnsi="Times New Roman" w:eastAsia="宋体" w:cs="Times New Roman"/>
                      <w:color w:val="auto"/>
                      <w:kern w:val="2"/>
                      <w:sz w:val="21"/>
                      <w:szCs w:val="21"/>
                      <w:lang w:val="en-US" w:eastAsia="zh-CN" w:bidi="ar-SA"/>
                    </w:rPr>
                    <w:t>大气环境质量执行标准</w:t>
                  </w:r>
                </w:p>
                <w:p w14:paraId="08D4435B">
                  <w:pPr>
                    <w:pStyle w:val="83"/>
                    <w:keepNext w:val="0"/>
                    <w:keepLines w:val="0"/>
                    <w:pageBreakBefore w:val="0"/>
                    <w:widowControl/>
                    <w:shd w:val="clear" w:color="auto" w:fill="FFFFFF"/>
                    <w:kinsoku/>
                    <w:wordWrap/>
                    <w:overflowPunct/>
                    <w:topLinePunct w:val="0"/>
                    <w:autoSpaceDE/>
                    <w:autoSpaceDN/>
                    <w:bidi w:val="0"/>
                    <w:adjustRightInd/>
                    <w:snapToGrid/>
                    <w:spacing w:line="240" w:lineRule="exact"/>
                    <w:ind w:firstLine="0" w:firstLineChars="0"/>
                    <w:jc w:val="left"/>
                    <w:textAlignment w:val="auto"/>
                    <w:rPr>
                      <w:rStyle w:val="26"/>
                      <w:rFonts w:hint="default" w:ascii="Times New Roman" w:hAnsi="Times New Roman" w:eastAsia="宋体" w:cs="Times New Roman"/>
                      <w:color w:val="auto"/>
                      <w:kern w:val="2"/>
                      <w:sz w:val="21"/>
                      <w:szCs w:val="21"/>
                      <w:lang w:val="en-US" w:eastAsia="zh-CN" w:bidi="ar-SA"/>
                    </w:rPr>
                  </w:pPr>
                  <w:r>
                    <w:rPr>
                      <w:rStyle w:val="26"/>
                      <w:rFonts w:hint="default" w:ascii="Times New Roman" w:hAnsi="Times New Roman" w:eastAsia="宋体" w:cs="Times New Roman"/>
                      <w:color w:val="auto"/>
                      <w:kern w:val="2"/>
                      <w:sz w:val="21"/>
                      <w:szCs w:val="21"/>
                      <w:lang w:val="en-US" w:eastAsia="zh-CN" w:bidi="ar-SA"/>
                    </w:rPr>
                    <w:t>《环境空气质量标准》（GB3095-2012）：二级</w:t>
                  </w:r>
                </w:p>
                <w:p w14:paraId="5FE243EF">
                  <w:pPr>
                    <w:pStyle w:val="83"/>
                    <w:keepNext w:val="0"/>
                    <w:keepLines w:val="0"/>
                    <w:pageBreakBefore w:val="0"/>
                    <w:widowControl/>
                    <w:shd w:val="clear" w:color="auto" w:fill="FFFFFF"/>
                    <w:kinsoku/>
                    <w:wordWrap/>
                    <w:overflowPunct/>
                    <w:topLinePunct w:val="0"/>
                    <w:autoSpaceDE/>
                    <w:autoSpaceDN/>
                    <w:bidi w:val="0"/>
                    <w:adjustRightInd/>
                    <w:snapToGrid/>
                    <w:spacing w:line="240" w:lineRule="exact"/>
                    <w:ind w:firstLine="0" w:firstLineChars="0"/>
                    <w:jc w:val="left"/>
                    <w:textAlignment w:val="auto"/>
                    <w:rPr>
                      <w:rStyle w:val="26"/>
                      <w:rFonts w:hint="default" w:ascii="Times New Roman" w:hAnsi="Times New Roman" w:eastAsia="宋体" w:cs="Times New Roman"/>
                      <w:color w:val="auto"/>
                      <w:kern w:val="2"/>
                      <w:sz w:val="21"/>
                      <w:szCs w:val="21"/>
                      <w:lang w:val="en-US" w:eastAsia="zh-CN" w:bidi="ar-SA"/>
                    </w:rPr>
                  </w:pPr>
                  <w:r>
                    <w:rPr>
                      <w:rStyle w:val="26"/>
                      <w:rFonts w:hint="default" w:ascii="Times New Roman" w:hAnsi="Times New Roman" w:eastAsia="宋体" w:cs="Times New Roman"/>
                      <w:color w:val="auto"/>
                      <w:kern w:val="2"/>
                      <w:sz w:val="21"/>
                      <w:szCs w:val="21"/>
                      <w:lang w:val="en-US" w:eastAsia="zh-CN" w:bidi="ar-SA"/>
                    </w:rPr>
                    <w:t>区域大气污染物削减/替代要求/</w:t>
                  </w:r>
                </w:p>
                <w:p w14:paraId="7876AD61">
                  <w:pPr>
                    <w:pStyle w:val="83"/>
                    <w:keepNext w:val="0"/>
                    <w:keepLines w:val="0"/>
                    <w:pageBreakBefore w:val="0"/>
                    <w:widowControl/>
                    <w:shd w:val="clear" w:color="auto" w:fill="FFFFFF"/>
                    <w:kinsoku/>
                    <w:wordWrap/>
                    <w:overflowPunct/>
                    <w:topLinePunct w:val="0"/>
                    <w:autoSpaceDE/>
                    <w:autoSpaceDN/>
                    <w:bidi w:val="0"/>
                    <w:adjustRightInd/>
                    <w:snapToGrid/>
                    <w:spacing w:line="240" w:lineRule="exact"/>
                    <w:ind w:firstLine="0" w:firstLineChars="0"/>
                    <w:jc w:val="left"/>
                    <w:textAlignment w:val="auto"/>
                    <w:rPr>
                      <w:rStyle w:val="26"/>
                      <w:rFonts w:hint="default" w:ascii="Times New Roman" w:hAnsi="Times New Roman" w:eastAsia="宋体" w:cs="Times New Roman"/>
                      <w:color w:val="auto"/>
                      <w:kern w:val="2"/>
                      <w:sz w:val="21"/>
                      <w:szCs w:val="21"/>
                      <w:lang w:val="en-US" w:eastAsia="zh-CN" w:bidi="ar-SA"/>
                    </w:rPr>
                  </w:pPr>
                  <w:r>
                    <w:rPr>
                      <w:rStyle w:val="26"/>
                      <w:rFonts w:hint="default" w:ascii="Times New Roman" w:hAnsi="Times New Roman" w:eastAsia="宋体" w:cs="Times New Roman"/>
                      <w:color w:val="auto"/>
                      <w:kern w:val="2"/>
                      <w:sz w:val="21"/>
                      <w:szCs w:val="21"/>
                      <w:lang w:val="en-US" w:eastAsia="zh-CN" w:bidi="ar-SA"/>
                    </w:rPr>
                    <w:t>燃煤和其他能源大气污染控制要求/</w:t>
                  </w:r>
                </w:p>
                <w:p w14:paraId="091BAD0F">
                  <w:pPr>
                    <w:pStyle w:val="83"/>
                    <w:keepNext w:val="0"/>
                    <w:keepLines w:val="0"/>
                    <w:pageBreakBefore w:val="0"/>
                    <w:widowControl/>
                    <w:shd w:val="clear" w:color="auto" w:fill="FFFFFF"/>
                    <w:kinsoku/>
                    <w:wordWrap/>
                    <w:overflowPunct/>
                    <w:topLinePunct w:val="0"/>
                    <w:autoSpaceDE/>
                    <w:autoSpaceDN/>
                    <w:bidi w:val="0"/>
                    <w:adjustRightInd/>
                    <w:snapToGrid/>
                    <w:spacing w:line="240" w:lineRule="exact"/>
                    <w:ind w:firstLine="0" w:firstLineChars="0"/>
                    <w:jc w:val="left"/>
                    <w:textAlignment w:val="auto"/>
                    <w:rPr>
                      <w:rStyle w:val="26"/>
                      <w:rFonts w:hint="default" w:ascii="Times New Roman" w:hAnsi="Times New Roman" w:eastAsia="宋体" w:cs="Times New Roman"/>
                      <w:color w:val="auto"/>
                      <w:kern w:val="2"/>
                      <w:sz w:val="21"/>
                      <w:szCs w:val="21"/>
                      <w:lang w:val="en-US" w:eastAsia="zh-CN" w:bidi="ar-SA"/>
                    </w:rPr>
                  </w:pPr>
                  <w:r>
                    <w:rPr>
                      <w:rStyle w:val="26"/>
                      <w:rFonts w:hint="default" w:ascii="Times New Roman" w:hAnsi="Times New Roman" w:eastAsia="宋体" w:cs="Times New Roman"/>
                      <w:color w:val="auto"/>
                      <w:kern w:val="2"/>
                      <w:sz w:val="21"/>
                      <w:szCs w:val="21"/>
                      <w:lang w:val="en-US" w:eastAsia="zh-CN" w:bidi="ar-SA"/>
                    </w:rPr>
                    <w:t>工业废气污染控制要求</w:t>
                  </w:r>
                </w:p>
                <w:p w14:paraId="40E5697C">
                  <w:pPr>
                    <w:pStyle w:val="83"/>
                    <w:keepNext w:val="0"/>
                    <w:keepLines w:val="0"/>
                    <w:pageBreakBefore w:val="0"/>
                    <w:widowControl/>
                    <w:shd w:val="clear" w:color="auto" w:fill="FFFFFF"/>
                    <w:kinsoku/>
                    <w:wordWrap/>
                    <w:overflowPunct/>
                    <w:topLinePunct w:val="0"/>
                    <w:autoSpaceDE/>
                    <w:autoSpaceDN/>
                    <w:bidi w:val="0"/>
                    <w:adjustRightInd/>
                    <w:snapToGrid/>
                    <w:spacing w:line="240" w:lineRule="exact"/>
                    <w:ind w:firstLine="0" w:firstLineChars="0"/>
                    <w:jc w:val="left"/>
                    <w:textAlignment w:val="auto"/>
                    <w:rPr>
                      <w:rStyle w:val="26"/>
                      <w:rFonts w:hint="default" w:ascii="Times New Roman" w:hAnsi="Times New Roman" w:eastAsia="宋体" w:cs="Times New Roman"/>
                      <w:color w:val="auto"/>
                      <w:kern w:val="2"/>
                      <w:sz w:val="21"/>
                      <w:szCs w:val="21"/>
                      <w:lang w:val="en-US" w:eastAsia="zh-CN" w:bidi="ar-SA"/>
                    </w:rPr>
                  </w:pPr>
                  <w:r>
                    <w:rPr>
                      <w:rStyle w:val="26"/>
                      <w:rFonts w:hint="default" w:ascii="Times New Roman" w:hAnsi="Times New Roman" w:eastAsia="宋体" w:cs="Times New Roman"/>
                      <w:color w:val="auto"/>
                      <w:kern w:val="2"/>
                      <w:sz w:val="21"/>
                      <w:szCs w:val="21"/>
                      <w:lang w:val="en-US" w:eastAsia="zh-CN" w:bidi="ar-SA"/>
                    </w:rPr>
                    <w:t>1、全面淘汰10蒸吨/小时及以下燃煤锅炉，原则上不再新建35蒸吨/小时及以下的燃煤锅炉，推进县级及以上城市建成区淘汰35蒸吨/小时及以下燃煤锅炉，以工业余热、电厂热力、清洁能源等替代煤炭。</w:t>
                  </w:r>
                </w:p>
                <w:p w14:paraId="5D1DE22F">
                  <w:pPr>
                    <w:pStyle w:val="83"/>
                    <w:keepNext w:val="0"/>
                    <w:keepLines w:val="0"/>
                    <w:pageBreakBefore w:val="0"/>
                    <w:widowControl/>
                    <w:shd w:val="clear" w:color="auto" w:fill="FFFFFF"/>
                    <w:kinsoku/>
                    <w:wordWrap/>
                    <w:overflowPunct/>
                    <w:topLinePunct w:val="0"/>
                    <w:autoSpaceDE/>
                    <w:autoSpaceDN/>
                    <w:bidi w:val="0"/>
                    <w:adjustRightInd/>
                    <w:snapToGrid/>
                    <w:spacing w:line="240" w:lineRule="exact"/>
                    <w:ind w:firstLine="0" w:firstLineChars="0"/>
                    <w:jc w:val="left"/>
                    <w:textAlignment w:val="auto"/>
                    <w:rPr>
                      <w:rStyle w:val="26"/>
                      <w:rFonts w:hint="default" w:ascii="Times New Roman" w:hAnsi="Times New Roman" w:eastAsia="宋体" w:cs="Times New Roman"/>
                      <w:color w:val="auto"/>
                      <w:kern w:val="2"/>
                      <w:sz w:val="21"/>
                      <w:szCs w:val="21"/>
                      <w:lang w:val="en-US" w:eastAsia="zh-CN" w:bidi="ar-SA"/>
                    </w:rPr>
                  </w:pPr>
                  <w:r>
                    <w:rPr>
                      <w:rStyle w:val="26"/>
                      <w:rFonts w:hint="default" w:ascii="Times New Roman" w:hAnsi="Times New Roman" w:eastAsia="宋体" w:cs="Times New Roman"/>
                      <w:color w:val="auto"/>
                      <w:kern w:val="2"/>
                      <w:sz w:val="21"/>
                      <w:szCs w:val="21"/>
                      <w:lang w:val="en-US" w:eastAsia="zh-CN" w:bidi="ar-SA"/>
                    </w:rPr>
                    <w:t>2、加快推进火电、钢铁、铸造（含烧结、球团、高炉工序）水泥、焦化行业燃煤锅炉和工业炉窑超低排放改造及深度治理。稳步实施陶瓷、玻璃、铁合金、有色、砖瓦等行业企业深度治理，推进工业炉窑煤改电（气）和低氮燃烧改造。全面加强钢铁、建材、有色、焦化、铸造重点行业无组织排放治理。生物质锅炉采用专用锅炉，配套布袋等高效除尘设施，禁止掺烧煤炭、垃圾等其他物料。</w:t>
                  </w:r>
                </w:p>
                <w:p w14:paraId="736A0C59">
                  <w:pPr>
                    <w:pStyle w:val="83"/>
                    <w:keepNext w:val="0"/>
                    <w:keepLines w:val="0"/>
                    <w:pageBreakBefore w:val="0"/>
                    <w:widowControl/>
                    <w:shd w:val="clear" w:color="auto" w:fill="FFFFFF"/>
                    <w:kinsoku/>
                    <w:wordWrap/>
                    <w:overflowPunct/>
                    <w:topLinePunct w:val="0"/>
                    <w:autoSpaceDE/>
                    <w:autoSpaceDN/>
                    <w:bidi w:val="0"/>
                    <w:adjustRightInd/>
                    <w:snapToGrid/>
                    <w:spacing w:line="240" w:lineRule="exact"/>
                    <w:ind w:firstLine="0" w:firstLineChars="0"/>
                    <w:jc w:val="left"/>
                    <w:textAlignment w:val="auto"/>
                    <w:rPr>
                      <w:rStyle w:val="26"/>
                      <w:rFonts w:hint="default" w:ascii="Times New Roman" w:hAnsi="Times New Roman" w:eastAsia="宋体" w:cs="Times New Roman"/>
                      <w:color w:val="auto"/>
                      <w:kern w:val="2"/>
                      <w:sz w:val="21"/>
                      <w:szCs w:val="21"/>
                      <w:lang w:val="en-US" w:eastAsia="zh-CN" w:bidi="ar-SA"/>
                    </w:rPr>
                  </w:pPr>
                  <w:r>
                    <w:rPr>
                      <w:rStyle w:val="26"/>
                      <w:rFonts w:hint="default" w:ascii="Times New Roman" w:hAnsi="Times New Roman" w:eastAsia="宋体" w:cs="Times New Roman"/>
                      <w:color w:val="auto"/>
                      <w:kern w:val="2"/>
                      <w:sz w:val="21"/>
                      <w:szCs w:val="21"/>
                      <w:lang w:val="en-US" w:eastAsia="zh-CN" w:bidi="ar-SA"/>
                    </w:rPr>
                    <w:t>机动车船大气污染控制要求/</w:t>
                  </w:r>
                </w:p>
                <w:p w14:paraId="0EA02DC9">
                  <w:pPr>
                    <w:pStyle w:val="83"/>
                    <w:keepNext w:val="0"/>
                    <w:keepLines w:val="0"/>
                    <w:pageBreakBefore w:val="0"/>
                    <w:widowControl/>
                    <w:shd w:val="clear" w:color="auto" w:fill="FFFFFF"/>
                    <w:kinsoku/>
                    <w:wordWrap/>
                    <w:overflowPunct/>
                    <w:topLinePunct w:val="0"/>
                    <w:autoSpaceDE/>
                    <w:autoSpaceDN/>
                    <w:bidi w:val="0"/>
                    <w:adjustRightInd/>
                    <w:snapToGrid/>
                    <w:spacing w:line="240" w:lineRule="exact"/>
                    <w:ind w:firstLine="0" w:firstLineChars="0"/>
                    <w:jc w:val="left"/>
                    <w:textAlignment w:val="auto"/>
                    <w:rPr>
                      <w:rStyle w:val="26"/>
                      <w:rFonts w:hint="default" w:ascii="Times New Roman" w:hAnsi="Times New Roman" w:eastAsia="宋体" w:cs="Times New Roman"/>
                      <w:color w:val="auto"/>
                      <w:kern w:val="2"/>
                      <w:sz w:val="21"/>
                      <w:szCs w:val="21"/>
                      <w:lang w:val="en-US" w:eastAsia="zh-CN" w:bidi="ar-SA"/>
                    </w:rPr>
                  </w:pPr>
                  <w:r>
                    <w:rPr>
                      <w:rStyle w:val="26"/>
                      <w:rFonts w:hint="default" w:ascii="Times New Roman" w:hAnsi="Times New Roman" w:eastAsia="宋体" w:cs="Times New Roman"/>
                      <w:color w:val="auto"/>
                      <w:kern w:val="2"/>
                      <w:sz w:val="21"/>
                      <w:szCs w:val="21"/>
                      <w:lang w:val="en-US" w:eastAsia="zh-CN" w:bidi="ar-SA"/>
                    </w:rPr>
                    <w:t>扬尘污染控制要求/</w:t>
                  </w:r>
                </w:p>
                <w:p w14:paraId="67C4F55E">
                  <w:pPr>
                    <w:pStyle w:val="83"/>
                    <w:keepNext w:val="0"/>
                    <w:keepLines w:val="0"/>
                    <w:pageBreakBefore w:val="0"/>
                    <w:widowControl/>
                    <w:shd w:val="clear" w:color="auto" w:fill="FFFFFF"/>
                    <w:kinsoku/>
                    <w:wordWrap/>
                    <w:overflowPunct/>
                    <w:topLinePunct w:val="0"/>
                    <w:autoSpaceDE/>
                    <w:autoSpaceDN/>
                    <w:bidi w:val="0"/>
                    <w:adjustRightInd/>
                    <w:snapToGrid/>
                    <w:spacing w:line="240" w:lineRule="exact"/>
                    <w:ind w:firstLine="0" w:firstLineChars="0"/>
                    <w:jc w:val="left"/>
                    <w:textAlignment w:val="auto"/>
                    <w:rPr>
                      <w:rStyle w:val="26"/>
                      <w:rFonts w:hint="default" w:ascii="Times New Roman" w:hAnsi="Times New Roman" w:eastAsia="宋体" w:cs="Times New Roman"/>
                      <w:color w:val="auto"/>
                      <w:kern w:val="2"/>
                      <w:sz w:val="21"/>
                      <w:szCs w:val="21"/>
                      <w:lang w:val="en-US" w:eastAsia="zh-CN" w:bidi="ar-SA"/>
                    </w:rPr>
                  </w:pPr>
                  <w:r>
                    <w:rPr>
                      <w:rStyle w:val="26"/>
                      <w:rFonts w:hint="default" w:ascii="Times New Roman" w:hAnsi="Times New Roman" w:eastAsia="宋体" w:cs="Times New Roman"/>
                      <w:color w:val="auto"/>
                      <w:kern w:val="2"/>
                      <w:sz w:val="21"/>
                      <w:szCs w:val="21"/>
                      <w:lang w:val="en-US" w:eastAsia="zh-CN" w:bidi="ar-SA"/>
                    </w:rPr>
                    <w:t>农业生产经营活动大气污染控制要求/</w:t>
                  </w:r>
                </w:p>
                <w:p w14:paraId="681426FA">
                  <w:pPr>
                    <w:pStyle w:val="83"/>
                    <w:keepNext w:val="0"/>
                    <w:keepLines w:val="0"/>
                    <w:pageBreakBefore w:val="0"/>
                    <w:widowControl/>
                    <w:shd w:val="clear" w:color="auto" w:fill="FFFFFF"/>
                    <w:kinsoku/>
                    <w:wordWrap/>
                    <w:overflowPunct/>
                    <w:topLinePunct w:val="0"/>
                    <w:autoSpaceDE/>
                    <w:autoSpaceDN/>
                    <w:bidi w:val="0"/>
                    <w:adjustRightInd/>
                    <w:snapToGrid/>
                    <w:spacing w:line="240" w:lineRule="exact"/>
                    <w:ind w:firstLine="0" w:firstLineChars="0"/>
                    <w:jc w:val="left"/>
                    <w:textAlignment w:val="auto"/>
                    <w:rPr>
                      <w:rStyle w:val="26"/>
                      <w:rFonts w:hint="default" w:ascii="Times New Roman" w:hAnsi="Times New Roman" w:eastAsia="宋体" w:cs="Times New Roman"/>
                      <w:color w:val="auto"/>
                      <w:kern w:val="2"/>
                      <w:sz w:val="21"/>
                      <w:szCs w:val="21"/>
                      <w:lang w:val="en-US" w:eastAsia="zh-CN" w:bidi="ar-SA"/>
                    </w:rPr>
                  </w:pPr>
                  <w:r>
                    <w:rPr>
                      <w:rStyle w:val="26"/>
                      <w:rFonts w:hint="default" w:ascii="Times New Roman" w:hAnsi="Times New Roman" w:eastAsia="宋体" w:cs="Times New Roman"/>
                      <w:color w:val="auto"/>
                      <w:kern w:val="2"/>
                      <w:sz w:val="21"/>
                      <w:szCs w:val="21"/>
                      <w:lang w:val="en-US" w:eastAsia="zh-CN" w:bidi="ar-SA"/>
                    </w:rPr>
                    <w:t>重点行业企业专项治理要求</w:t>
                  </w:r>
                </w:p>
                <w:p w14:paraId="29ED6712">
                  <w:pPr>
                    <w:pStyle w:val="83"/>
                    <w:keepNext w:val="0"/>
                    <w:keepLines w:val="0"/>
                    <w:pageBreakBefore w:val="0"/>
                    <w:widowControl/>
                    <w:shd w:val="clear" w:color="auto" w:fill="FFFFFF"/>
                    <w:kinsoku/>
                    <w:wordWrap/>
                    <w:overflowPunct/>
                    <w:topLinePunct w:val="0"/>
                    <w:autoSpaceDE/>
                    <w:autoSpaceDN/>
                    <w:bidi w:val="0"/>
                    <w:adjustRightInd/>
                    <w:snapToGrid/>
                    <w:spacing w:line="240" w:lineRule="exact"/>
                    <w:ind w:firstLine="0" w:firstLineChars="0"/>
                    <w:jc w:val="left"/>
                    <w:textAlignment w:val="auto"/>
                    <w:rPr>
                      <w:rStyle w:val="26"/>
                      <w:rFonts w:hint="default" w:ascii="Times New Roman" w:hAnsi="Times New Roman" w:eastAsia="宋体" w:cs="Times New Roman"/>
                      <w:color w:val="auto"/>
                      <w:kern w:val="2"/>
                      <w:sz w:val="21"/>
                      <w:szCs w:val="21"/>
                      <w:lang w:val="en-US" w:eastAsia="zh-CN" w:bidi="ar-SA"/>
                    </w:rPr>
                  </w:pPr>
                  <w:r>
                    <w:rPr>
                      <w:rStyle w:val="26"/>
                      <w:rFonts w:hint="default" w:ascii="Times New Roman" w:hAnsi="Times New Roman" w:eastAsia="宋体" w:cs="Times New Roman"/>
                      <w:color w:val="auto"/>
                      <w:kern w:val="2"/>
                      <w:sz w:val="21"/>
                      <w:szCs w:val="21"/>
                      <w:lang w:val="en-US" w:eastAsia="zh-CN" w:bidi="ar-SA"/>
                    </w:rPr>
                    <w:t>加快实施低VOCs含量原辅材料替代。持续开展VOCs治理设施提级增效，对采用单一低温等离子、光氧化、光催化以及非水溶性VOCs废气采用单一喷淋吸收等治理技术且无法稳定达标的，加快推进升级改造。强化VOCs无组织排放整治。石化、化工等行业加强非正常工况废气排放管控。推进涉VOCs产业集群治理提升</w:t>
                  </w:r>
                </w:p>
                <w:p w14:paraId="3009BA23">
                  <w:pPr>
                    <w:pStyle w:val="83"/>
                    <w:keepNext w:val="0"/>
                    <w:keepLines w:val="0"/>
                    <w:pageBreakBefore w:val="0"/>
                    <w:widowControl/>
                    <w:shd w:val="clear" w:color="auto" w:fill="FFFFFF"/>
                    <w:kinsoku/>
                    <w:wordWrap/>
                    <w:overflowPunct/>
                    <w:topLinePunct w:val="0"/>
                    <w:autoSpaceDE/>
                    <w:autoSpaceDN/>
                    <w:bidi w:val="0"/>
                    <w:adjustRightInd/>
                    <w:snapToGrid/>
                    <w:spacing w:line="240" w:lineRule="exact"/>
                    <w:ind w:firstLine="0" w:firstLineChars="0"/>
                    <w:jc w:val="left"/>
                    <w:textAlignment w:val="auto"/>
                    <w:rPr>
                      <w:rFonts w:hint="default" w:ascii="Times New Roman" w:hAnsi="Times New Roman" w:eastAsia="宋体" w:cs="Times New Roman"/>
                      <w:color w:val="auto"/>
                      <w:kern w:val="2"/>
                      <w:sz w:val="21"/>
                      <w:szCs w:val="21"/>
                      <w:lang w:val="en-US" w:eastAsia="zh-CN" w:bidi="ar-SA"/>
                    </w:rPr>
                  </w:pPr>
                  <w:r>
                    <w:rPr>
                      <w:rStyle w:val="26"/>
                      <w:rFonts w:hint="default" w:ascii="Times New Roman" w:hAnsi="Times New Roman" w:eastAsia="宋体" w:cs="Times New Roman"/>
                      <w:color w:val="auto"/>
                      <w:kern w:val="2"/>
                      <w:sz w:val="21"/>
                      <w:szCs w:val="21"/>
                      <w:lang w:val="en-US" w:eastAsia="zh-CN" w:bidi="ar-SA"/>
                    </w:rPr>
                    <w:t>其他大气污染物排放管控要求/</w:t>
                  </w:r>
                </w:p>
              </w:tc>
              <w:tc>
                <w:tcPr>
                  <w:tcW w:w="879" w:type="pct"/>
                  <w:vMerge w:val="continue"/>
                  <w:tcBorders>
                    <w:tl2br w:val="nil"/>
                    <w:tr2bl w:val="nil"/>
                  </w:tcBorders>
                  <w:vAlign w:val="center"/>
                </w:tcPr>
                <w:p w14:paraId="100D8D06">
                  <w:pPr>
                    <w:pStyle w:val="83"/>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yellow"/>
                    </w:rPr>
                  </w:pPr>
                </w:p>
              </w:tc>
              <w:tc>
                <w:tcPr>
                  <w:tcW w:w="193" w:type="pct"/>
                  <w:tcBorders>
                    <w:tl2br w:val="nil"/>
                    <w:tr2bl w:val="nil"/>
                  </w:tcBorders>
                  <w:vAlign w:val="center"/>
                </w:tcPr>
                <w:p w14:paraId="7DF549D5">
                  <w:pPr>
                    <w:pStyle w:val="83"/>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bl>
          <w:p w14:paraId="45431F59">
            <w:pPr>
              <w:spacing w:line="360" w:lineRule="auto"/>
              <w:rPr>
                <w:rFonts w:cs="Times New Roman"/>
                <w:color w:val="auto"/>
              </w:rPr>
            </w:pPr>
          </w:p>
        </w:tc>
      </w:tr>
    </w:tbl>
    <w:p w14:paraId="239ABBE6">
      <w:pPr>
        <w:pStyle w:val="13"/>
        <w:rPr>
          <w:rFonts w:cs="Times New Roman"/>
          <w:color w:val="auto"/>
        </w:rPr>
        <w:sectPr>
          <w:pgSz w:w="16838" w:h="11906" w:orient="landscape"/>
          <w:pgMar w:top="1417" w:right="1134" w:bottom="1134" w:left="1134" w:header="851" w:footer="992" w:gutter="0"/>
          <w:pgBorders>
            <w:top w:val="none" w:sz="0" w:space="0"/>
            <w:left w:val="none" w:sz="0" w:space="0"/>
            <w:bottom w:val="none" w:sz="0" w:space="0"/>
            <w:right w:val="none" w:sz="0" w:space="0"/>
          </w:pgBorders>
          <w:pgNumType w:fmt="numberInDash"/>
          <w:cols w:space="0" w:num="1"/>
          <w:docGrid w:type="lines" w:linePitch="322" w:charSpace="0"/>
        </w:sectPr>
      </w:pPr>
    </w:p>
    <w:tbl>
      <w:tblPr>
        <w:tblStyle w:val="24"/>
        <w:tblW w:w="957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43"/>
        <w:gridCol w:w="8227"/>
      </w:tblGrid>
      <w:tr w14:paraId="7D68A1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343" w:type="dxa"/>
            <w:vAlign w:val="center"/>
          </w:tcPr>
          <w:p w14:paraId="633C63DD">
            <w:pPr>
              <w:jc w:val="center"/>
              <w:rPr>
                <w:rFonts w:cs="Times New Roman"/>
                <w:b/>
                <w:bCs/>
                <w:color w:val="auto"/>
                <w:sz w:val="24"/>
                <w:szCs w:val="24"/>
              </w:rPr>
            </w:pPr>
          </w:p>
          <w:p w14:paraId="713D9678">
            <w:pPr>
              <w:jc w:val="center"/>
              <w:rPr>
                <w:rFonts w:cs="Times New Roman"/>
                <w:b/>
                <w:bCs/>
                <w:color w:val="auto"/>
                <w:sz w:val="24"/>
                <w:szCs w:val="24"/>
              </w:rPr>
            </w:pPr>
          </w:p>
          <w:p w14:paraId="776AF4B7">
            <w:pPr>
              <w:jc w:val="center"/>
              <w:rPr>
                <w:rFonts w:cs="Times New Roman"/>
                <w:b/>
                <w:bCs/>
                <w:color w:val="auto"/>
                <w:sz w:val="24"/>
                <w:szCs w:val="24"/>
              </w:rPr>
            </w:pPr>
          </w:p>
          <w:p w14:paraId="56336FF2">
            <w:pPr>
              <w:jc w:val="center"/>
              <w:rPr>
                <w:rFonts w:cs="Times New Roman"/>
                <w:b/>
                <w:bCs/>
                <w:color w:val="auto"/>
                <w:sz w:val="24"/>
                <w:szCs w:val="24"/>
              </w:rPr>
            </w:pPr>
          </w:p>
          <w:p w14:paraId="0174545F">
            <w:pPr>
              <w:jc w:val="center"/>
              <w:rPr>
                <w:rFonts w:cs="Times New Roman"/>
                <w:b/>
                <w:bCs/>
                <w:color w:val="auto"/>
                <w:sz w:val="24"/>
                <w:szCs w:val="24"/>
              </w:rPr>
            </w:pPr>
          </w:p>
          <w:p w14:paraId="73BCE283">
            <w:pPr>
              <w:jc w:val="center"/>
              <w:rPr>
                <w:rFonts w:cs="Times New Roman"/>
                <w:b/>
                <w:bCs/>
                <w:color w:val="auto"/>
                <w:sz w:val="24"/>
                <w:szCs w:val="24"/>
              </w:rPr>
            </w:pPr>
          </w:p>
          <w:p w14:paraId="5DBD2639">
            <w:pPr>
              <w:jc w:val="center"/>
              <w:rPr>
                <w:rFonts w:cs="Times New Roman"/>
                <w:b/>
                <w:bCs/>
                <w:color w:val="auto"/>
                <w:sz w:val="24"/>
                <w:szCs w:val="24"/>
              </w:rPr>
            </w:pPr>
          </w:p>
          <w:p w14:paraId="2FF7599B">
            <w:pPr>
              <w:jc w:val="center"/>
              <w:rPr>
                <w:rFonts w:cs="Times New Roman"/>
                <w:b/>
                <w:bCs/>
                <w:color w:val="auto"/>
                <w:sz w:val="24"/>
                <w:szCs w:val="24"/>
              </w:rPr>
            </w:pPr>
          </w:p>
          <w:p w14:paraId="0D1E5E34">
            <w:pPr>
              <w:jc w:val="center"/>
              <w:rPr>
                <w:rFonts w:cs="Times New Roman"/>
                <w:b/>
                <w:bCs/>
                <w:color w:val="auto"/>
                <w:sz w:val="24"/>
                <w:szCs w:val="24"/>
              </w:rPr>
            </w:pPr>
          </w:p>
          <w:p w14:paraId="19D867E5">
            <w:pPr>
              <w:jc w:val="center"/>
              <w:rPr>
                <w:rFonts w:cs="Times New Roman"/>
                <w:b/>
                <w:bCs/>
                <w:color w:val="auto"/>
                <w:sz w:val="24"/>
                <w:szCs w:val="24"/>
              </w:rPr>
            </w:pPr>
          </w:p>
          <w:p w14:paraId="73152169">
            <w:pPr>
              <w:jc w:val="center"/>
              <w:rPr>
                <w:rFonts w:cs="Times New Roman"/>
                <w:b/>
                <w:bCs/>
                <w:color w:val="auto"/>
                <w:sz w:val="24"/>
                <w:szCs w:val="24"/>
              </w:rPr>
            </w:pPr>
          </w:p>
          <w:p w14:paraId="3D8F40D5">
            <w:pPr>
              <w:jc w:val="center"/>
              <w:rPr>
                <w:rFonts w:cs="Times New Roman"/>
                <w:b/>
                <w:bCs/>
                <w:color w:val="auto"/>
                <w:sz w:val="24"/>
                <w:szCs w:val="24"/>
              </w:rPr>
            </w:pPr>
          </w:p>
          <w:p w14:paraId="0FE3536C">
            <w:pPr>
              <w:jc w:val="center"/>
              <w:rPr>
                <w:rFonts w:cs="Times New Roman"/>
                <w:b/>
                <w:bCs/>
                <w:color w:val="auto"/>
                <w:sz w:val="24"/>
                <w:szCs w:val="24"/>
              </w:rPr>
            </w:pPr>
          </w:p>
          <w:p w14:paraId="7BA89A56">
            <w:pPr>
              <w:jc w:val="center"/>
              <w:rPr>
                <w:rFonts w:cs="Times New Roman"/>
                <w:b/>
                <w:bCs/>
                <w:color w:val="auto"/>
                <w:sz w:val="24"/>
                <w:szCs w:val="24"/>
              </w:rPr>
            </w:pPr>
          </w:p>
          <w:p w14:paraId="584A24A2">
            <w:pPr>
              <w:jc w:val="center"/>
              <w:rPr>
                <w:rFonts w:cs="Times New Roman"/>
                <w:b/>
                <w:bCs/>
                <w:color w:val="auto"/>
                <w:sz w:val="24"/>
                <w:szCs w:val="24"/>
              </w:rPr>
            </w:pPr>
          </w:p>
          <w:p w14:paraId="19E9CEF1">
            <w:pPr>
              <w:jc w:val="center"/>
              <w:rPr>
                <w:rFonts w:cs="Times New Roman"/>
                <w:b/>
                <w:bCs/>
                <w:color w:val="auto"/>
                <w:sz w:val="24"/>
                <w:szCs w:val="24"/>
              </w:rPr>
            </w:pPr>
          </w:p>
          <w:p w14:paraId="79749868">
            <w:pPr>
              <w:jc w:val="center"/>
              <w:rPr>
                <w:rFonts w:cs="Times New Roman"/>
                <w:b/>
                <w:bCs/>
                <w:color w:val="auto"/>
                <w:sz w:val="24"/>
                <w:szCs w:val="24"/>
              </w:rPr>
            </w:pPr>
          </w:p>
          <w:p w14:paraId="34AA04E5">
            <w:pPr>
              <w:jc w:val="center"/>
              <w:rPr>
                <w:rFonts w:cs="Times New Roman"/>
                <w:b/>
                <w:bCs/>
                <w:color w:val="auto"/>
                <w:sz w:val="24"/>
                <w:szCs w:val="24"/>
              </w:rPr>
            </w:pPr>
          </w:p>
          <w:p w14:paraId="3E6FB6FF">
            <w:pPr>
              <w:jc w:val="center"/>
              <w:rPr>
                <w:rFonts w:cs="Times New Roman"/>
                <w:b/>
                <w:bCs/>
                <w:color w:val="auto"/>
                <w:sz w:val="24"/>
                <w:szCs w:val="24"/>
              </w:rPr>
            </w:pPr>
          </w:p>
          <w:p w14:paraId="108B66BA">
            <w:pPr>
              <w:jc w:val="center"/>
              <w:rPr>
                <w:rFonts w:cs="Times New Roman"/>
                <w:b/>
                <w:bCs/>
                <w:color w:val="auto"/>
                <w:sz w:val="24"/>
                <w:szCs w:val="24"/>
              </w:rPr>
            </w:pPr>
          </w:p>
          <w:p w14:paraId="73F2EDD7">
            <w:pPr>
              <w:jc w:val="center"/>
              <w:rPr>
                <w:rFonts w:cs="Times New Roman"/>
                <w:b/>
                <w:bCs/>
                <w:color w:val="auto"/>
                <w:sz w:val="24"/>
                <w:szCs w:val="24"/>
              </w:rPr>
            </w:pPr>
          </w:p>
          <w:p w14:paraId="23A37520">
            <w:pPr>
              <w:jc w:val="center"/>
              <w:rPr>
                <w:rFonts w:cs="Times New Roman"/>
                <w:b/>
                <w:bCs/>
                <w:color w:val="auto"/>
                <w:sz w:val="24"/>
                <w:szCs w:val="24"/>
              </w:rPr>
            </w:pPr>
            <w:r>
              <w:rPr>
                <w:rFonts w:cs="Times New Roman"/>
                <w:b/>
                <w:bCs/>
                <w:color w:val="auto"/>
                <w:sz w:val="24"/>
                <w:szCs w:val="24"/>
              </w:rPr>
              <w:t>其他符合性分析</w:t>
            </w:r>
          </w:p>
          <w:p w14:paraId="5FB7F74F">
            <w:pPr>
              <w:jc w:val="center"/>
              <w:rPr>
                <w:rFonts w:cs="Times New Roman"/>
                <w:b/>
                <w:bCs/>
                <w:color w:val="auto"/>
                <w:sz w:val="24"/>
                <w:szCs w:val="24"/>
              </w:rPr>
            </w:pPr>
          </w:p>
          <w:p w14:paraId="1E8581BF">
            <w:pPr>
              <w:jc w:val="center"/>
              <w:rPr>
                <w:rFonts w:cs="Times New Roman"/>
                <w:b/>
                <w:bCs/>
                <w:color w:val="auto"/>
                <w:sz w:val="24"/>
                <w:szCs w:val="24"/>
              </w:rPr>
            </w:pPr>
          </w:p>
          <w:p w14:paraId="065465A1">
            <w:pPr>
              <w:jc w:val="center"/>
              <w:rPr>
                <w:rFonts w:cs="Times New Roman"/>
                <w:b/>
                <w:bCs/>
                <w:color w:val="auto"/>
                <w:sz w:val="24"/>
                <w:szCs w:val="24"/>
              </w:rPr>
            </w:pPr>
          </w:p>
          <w:p w14:paraId="3CD4E08D">
            <w:pPr>
              <w:jc w:val="center"/>
              <w:rPr>
                <w:rFonts w:cs="Times New Roman"/>
                <w:b/>
                <w:bCs/>
                <w:color w:val="auto"/>
                <w:sz w:val="24"/>
                <w:szCs w:val="24"/>
              </w:rPr>
            </w:pPr>
          </w:p>
          <w:p w14:paraId="2EBAE44B">
            <w:pPr>
              <w:jc w:val="center"/>
              <w:rPr>
                <w:rFonts w:cs="Times New Roman"/>
                <w:b/>
                <w:bCs/>
                <w:color w:val="auto"/>
                <w:sz w:val="24"/>
                <w:szCs w:val="24"/>
              </w:rPr>
            </w:pPr>
          </w:p>
          <w:p w14:paraId="2B53FE3D">
            <w:pPr>
              <w:jc w:val="center"/>
              <w:rPr>
                <w:rFonts w:cs="Times New Roman"/>
                <w:b/>
                <w:bCs/>
                <w:color w:val="auto"/>
                <w:sz w:val="24"/>
                <w:szCs w:val="24"/>
              </w:rPr>
            </w:pPr>
          </w:p>
          <w:p w14:paraId="372AFB56">
            <w:pPr>
              <w:jc w:val="center"/>
              <w:rPr>
                <w:rFonts w:cs="Times New Roman"/>
                <w:b/>
                <w:bCs/>
                <w:color w:val="auto"/>
                <w:sz w:val="24"/>
                <w:szCs w:val="24"/>
              </w:rPr>
            </w:pPr>
          </w:p>
          <w:p w14:paraId="17C8675F">
            <w:pPr>
              <w:jc w:val="center"/>
              <w:rPr>
                <w:rFonts w:cs="Times New Roman"/>
                <w:b/>
                <w:bCs/>
                <w:color w:val="auto"/>
                <w:sz w:val="24"/>
                <w:szCs w:val="24"/>
              </w:rPr>
            </w:pPr>
          </w:p>
          <w:p w14:paraId="7FE7AD9C">
            <w:pPr>
              <w:jc w:val="center"/>
              <w:rPr>
                <w:rFonts w:cs="Times New Roman"/>
                <w:b/>
                <w:bCs/>
                <w:color w:val="auto"/>
                <w:sz w:val="24"/>
                <w:szCs w:val="24"/>
              </w:rPr>
            </w:pPr>
          </w:p>
          <w:p w14:paraId="17B10177">
            <w:pPr>
              <w:jc w:val="center"/>
              <w:rPr>
                <w:rFonts w:cs="Times New Roman"/>
                <w:b/>
                <w:bCs/>
                <w:color w:val="auto"/>
                <w:sz w:val="24"/>
                <w:szCs w:val="24"/>
              </w:rPr>
            </w:pPr>
          </w:p>
          <w:p w14:paraId="6B85A157">
            <w:pPr>
              <w:jc w:val="center"/>
              <w:rPr>
                <w:rFonts w:cs="Times New Roman"/>
                <w:b/>
                <w:bCs/>
                <w:color w:val="auto"/>
                <w:sz w:val="24"/>
                <w:szCs w:val="24"/>
              </w:rPr>
            </w:pPr>
          </w:p>
          <w:p w14:paraId="23E593E5">
            <w:pPr>
              <w:jc w:val="center"/>
              <w:rPr>
                <w:rFonts w:cs="Times New Roman"/>
                <w:b/>
                <w:bCs/>
                <w:color w:val="auto"/>
                <w:sz w:val="24"/>
                <w:szCs w:val="24"/>
              </w:rPr>
            </w:pPr>
          </w:p>
          <w:p w14:paraId="7B26CCB7">
            <w:pPr>
              <w:jc w:val="center"/>
              <w:rPr>
                <w:rFonts w:cs="Times New Roman"/>
                <w:b/>
                <w:bCs/>
                <w:color w:val="auto"/>
                <w:sz w:val="24"/>
                <w:szCs w:val="24"/>
              </w:rPr>
            </w:pPr>
          </w:p>
          <w:p w14:paraId="27FE2D3E">
            <w:pPr>
              <w:jc w:val="center"/>
              <w:rPr>
                <w:rFonts w:cs="Times New Roman"/>
                <w:b/>
                <w:bCs/>
                <w:color w:val="auto"/>
                <w:sz w:val="24"/>
                <w:szCs w:val="24"/>
              </w:rPr>
            </w:pPr>
          </w:p>
          <w:p w14:paraId="4FE69683">
            <w:pPr>
              <w:jc w:val="center"/>
              <w:rPr>
                <w:rFonts w:cs="Times New Roman"/>
                <w:b/>
                <w:bCs/>
                <w:color w:val="auto"/>
                <w:sz w:val="24"/>
                <w:szCs w:val="24"/>
              </w:rPr>
            </w:pPr>
          </w:p>
          <w:p w14:paraId="418FC679">
            <w:pPr>
              <w:jc w:val="center"/>
              <w:rPr>
                <w:rFonts w:cs="Times New Roman"/>
                <w:b/>
                <w:bCs/>
                <w:color w:val="auto"/>
                <w:sz w:val="24"/>
                <w:szCs w:val="24"/>
              </w:rPr>
            </w:pPr>
          </w:p>
          <w:p w14:paraId="59199630">
            <w:pPr>
              <w:jc w:val="center"/>
              <w:rPr>
                <w:rFonts w:cs="Times New Roman"/>
                <w:b/>
                <w:bCs/>
                <w:color w:val="auto"/>
                <w:sz w:val="24"/>
                <w:szCs w:val="24"/>
              </w:rPr>
            </w:pPr>
          </w:p>
          <w:p w14:paraId="64445415">
            <w:pPr>
              <w:jc w:val="center"/>
              <w:rPr>
                <w:rFonts w:cs="Times New Roman"/>
                <w:b/>
                <w:bCs/>
                <w:color w:val="auto"/>
                <w:sz w:val="24"/>
                <w:szCs w:val="24"/>
              </w:rPr>
            </w:pPr>
          </w:p>
          <w:p w14:paraId="2C234435">
            <w:pPr>
              <w:jc w:val="center"/>
              <w:rPr>
                <w:rFonts w:cs="Times New Roman"/>
                <w:b/>
                <w:bCs/>
                <w:color w:val="auto"/>
                <w:sz w:val="24"/>
                <w:szCs w:val="24"/>
              </w:rPr>
            </w:pPr>
          </w:p>
          <w:p w14:paraId="7FDB07B1">
            <w:pPr>
              <w:jc w:val="center"/>
              <w:rPr>
                <w:rFonts w:cs="Times New Roman"/>
                <w:b/>
                <w:bCs/>
                <w:color w:val="auto"/>
                <w:sz w:val="24"/>
                <w:szCs w:val="24"/>
              </w:rPr>
            </w:pPr>
          </w:p>
          <w:p w14:paraId="0A50A332">
            <w:pPr>
              <w:jc w:val="center"/>
              <w:rPr>
                <w:rFonts w:cs="Times New Roman"/>
                <w:b/>
                <w:bCs/>
                <w:color w:val="auto"/>
                <w:sz w:val="24"/>
                <w:szCs w:val="24"/>
              </w:rPr>
            </w:pPr>
          </w:p>
          <w:p w14:paraId="2FA5A1F4">
            <w:pPr>
              <w:jc w:val="center"/>
              <w:rPr>
                <w:rFonts w:cs="Times New Roman"/>
                <w:b/>
                <w:bCs/>
                <w:color w:val="auto"/>
                <w:sz w:val="24"/>
                <w:szCs w:val="24"/>
              </w:rPr>
            </w:pPr>
          </w:p>
          <w:p w14:paraId="7D19D41F">
            <w:pPr>
              <w:jc w:val="center"/>
              <w:rPr>
                <w:rFonts w:cs="Times New Roman"/>
                <w:b/>
                <w:bCs/>
                <w:color w:val="auto"/>
                <w:sz w:val="24"/>
                <w:szCs w:val="24"/>
              </w:rPr>
            </w:pPr>
          </w:p>
          <w:p w14:paraId="3673DC7F">
            <w:pPr>
              <w:jc w:val="center"/>
              <w:rPr>
                <w:rFonts w:cs="Times New Roman"/>
                <w:b/>
                <w:bCs/>
                <w:color w:val="auto"/>
                <w:sz w:val="24"/>
                <w:szCs w:val="24"/>
              </w:rPr>
            </w:pPr>
          </w:p>
          <w:p w14:paraId="37A8619B">
            <w:pPr>
              <w:jc w:val="center"/>
              <w:rPr>
                <w:rFonts w:cs="Times New Roman"/>
                <w:b/>
                <w:bCs/>
                <w:color w:val="auto"/>
                <w:sz w:val="24"/>
                <w:szCs w:val="24"/>
              </w:rPr>
            </w:pPr>
          </w:p>
          <w:p w14:paraId="0E811318">
            <w:pPr>
              <w:jc w:val="center"/>
              <w:rPr>
                <w:rFonts w:cs="Times New Roman"/>
                <w:b/>
                <w:bCs/>
                <w:color w:val="auto"/>
                <w:sz w:val="24"/>
                <w:szCs w:val="24"/>
              </w:rPr>
            </w:pPr>
          </w:p>
          <w:p w14:paraId="59DF37BC">
            <w:pPr>
              <w:jc w:val="center"/>
              <w:rPr>
                <w:rFonts w:cs="Times New Roman"/>
                <w:b/>
                <w:bCs/>
                <w:color w:val="auto"/>
                <w:sz w:val="24"/>
                <w:szCs w:val="24"/>
              </w:rPr>
            </w:pPr>
          </w:p>
          <w:p w14:paraId="493208B7">
            <w:pPr>
              <w:jc w:val="center"/>
              <w:rPr>
                <w:rFonts w:cs="Times New Roman"/>
                <w:b/>
                <w:bCs/>
                <w:color w:val="auto"/>
                <w:sz w:val="24"/>
                <w:szCs w:val="24"/>
              </w:rPr>
            </w:pPr>
          </w:p>
          <w:p w14:paraId="652CBB4D">
            <w:pPr>
              <w:jc w:val="center"/>
              <w:rPr>
                <w:rFonts w:cs="Times New Roman"/>
                <w:b/>
                <w:bCs/>
                <w:color w:val="auto"/>
                <w:sz w:val="24"/>
                <w:szCs w:val="24"/>
              </w:rPr>
            </w:pPr>
          </w:p>
          <w:p w14:paraId="30BFB9C6">
            <w:pPr>
              <w:jc w:val="center"/>
              <w:rPr>
                <w:rFonts w:cs="Times New Roman"/>
                <w:b/>
                <w:bCs/>
                <w:color w:val="auto"/>
                <w:sz w:val="24"/>
                <w:szCs w:val="24"/>
              </w:rPr>
            </w:pPr>
          </w:p>
          <w:p w14:paraId="157C1A9D">
            <w:pPr>
              <w:jc w:val="center"/>
              <w:rPr>
                <w:rFonts w:cs="Times New Roman"/>
                <w:b/>
                <w:bCs/>
                <w:color w:val="auto"/>
                <w:sz w:val="24"/>
                <w:szCs w:val="24"/>
              </w:rPr>
            </w:pPr>
          </w:p>
          <w:p w14:paraId="7C2631AB">
            <w:pPr>
              <w:jc w:val="center"/>
              <w:rPr>
                <w:rFonts w:cs="Times New Roman"/>
                <w:b/>
                <w:bCs/>
                <w:color w:val="auto"/>
                <w:sz w:val="24"/>
                <w:szCs w:val="24"/>
              </w:rPr>
            </w:pPr>
          </w:p>
          <w:p w14:paraId="60AC4E94">
            <w:pPr>
              <w:jc w:val="center"/>
              <w:rPr>
                <w:rFonts w:cs="Times New Roman"/>
                <w:b/>
                <w:bCs/>
                <w:color w:val="auto"/>
                <w:sz w:val="24"/>
                <w:szCs w:val="24"/>
              </w:rPr>
            </w:pPr>
          </w:p>
          <w:p w14:paraId="3873A7B5">
            <w:pPr>
              <w:jc w:val="center"/>
              <w:rPr>
                <w:rFonts w:cs="Times New Roman"/>
                <w:b/>
                <w:bCs/>
                <w:color w:val="auto"/>
                <w:sz w:val="24"/>
                <w:szCs w:val="24"/>
              </w:rPr>
            </w:pPr>
          </w:p>
          <w:p w14:paraId="60F53193">
            <w:pPr>
              <w:jc w:val="center"/>
              <w:rPr>
                <w:rFonts w:cs="Times New Roman"/>
                <w:b/>
                <w:bCs/>
                <w:color w:val="auto"/>
                <w:sz w:val="24"/>
                <w:szCs w:val="24"/>
              </w:rPr>
            </w:pPr>
          </w:p>
          <w:p w14:paraId="6C59EED9">
            <w:pPr>
              <w:jc w:val="center"/>
              <w:rPr>
                <w:rFonts w:cs="Times New Roman"/>
                <w:b/>
                <w:bCs/>
                <w:color w:val="auto"/>
                <w:sz w:val="24"/>
                <w:szCs w:val="24"/>
              </w:rPr>
            </w:pPr>
          </w:p>
          <w:p w14:paraId="4F472EA9">
            <w:pPr>
              <w:jc w:val="center"/>
              <w:rPr>
                <w:rFonts w:cs="Times New Roman"/>
                <w:b/>
                <w:bCs/>
                <w:color w:val="auto"/>
                <w:sz w:val="24"/>
                <w:szCs w:val="24"/>
              </w:rPr>
            </w:pPr>
          </w:p>
          <w:p w14:paraId="0CADB364">
            <w:pPr>
              <w:jc w:val="center"/>
              <w:rPr>
                <w:rFonts w:cs="Times New Roman"/>
                <w:b/>
                <w:bCs/>
                <w:color w:val="auto"/>
                <w:sz w:val="24"/>
                <w:szCs w:val="24"/>
              </w:rPr>
            </w:pPr>
          </w:p>
          <w:p w14:paraId="00AB57B1">
            <w:pPr>
              <w:jc w:val="center"/>
              <w:rPr>
                <w:rFonts w:cs="Times New Roman"/>
                <w:b/>
                <w:bCs/>
                <w:color w:val="auto"/>
                <w:sz w:val="24"/>
                <w:szCs w:val="24"/>
              </w:rPr>
            </w:pPr>
          </w:p>
          <w:p w14:paraId="26612319">
            <w:pPr>
              <w:jc w:val="center"/>
              <w:rPr>
                <w:rFonts w:cs="Times New Roman"/>
                <w:b/>
                <w:bCs/>
                <w:color w:val="auto"/>
                <w:sz w:val="24"/>
                <w:szCs w:val="24"/>
              </w:rPr>
            </w:pPr>
          </w:p>
          <w:p w14:paraId="2EC0EEB1">
            <w:pPr>
              <w:jc w:val="center"/>
              <w:rPr>
                <w:rFonts w:cs="Times New Roman"/>
                <w:b/>
                <w:bCs/>
                <w:color w:val="auto"/>
                <w:sz w:val="24"/>
                <w:szCs w:val="24"/>
              </w:rPr>
            </w:pPr>
          </w:p>
          <w:p w14:paraId="67729218">
            <w:pPr>
              <w:jc w:val="center"/>
              <w:rPr>
                <w:rFonts w:cs="Times New Roman"/>
                <w:b/>
                <w:bCs/>
                <w:color w:val="auto"/>
                <w:sz w:val="24"/>
                <w:szCs w:val="24"/>
              </w:rPr>
            </w:pPr>
          </w:p>
          <w:p w14:paraId="6F55D5FA">
            <w:pPr>
              <w:jc w:val="center"/>
              <w:rPr>
                <w:rFonts w:cs="Times New Roman"/>
                <w:b/>
                <w:bCs/>
                <w:color w:val="auto"/>
                <w:sz w:val="24"/>
                <w:szCs w:val="24"/>
              </w:rPr>
            </w:pPr>
          </w:p>
          <w:p w14:paraId="10F1A9C0">
            <w:pPr>
              <w:jc w:val="center"/>
              <w:rPr>
                <w:rFonts w:cs="Times New Roman"/>
                <w:b/>
                <w:bCs/>
                <w:color w:val="auto"/>
                <w:sz w:val="24"/>
                <w:szCs w:val="24"/>
              </w:rPr>
            </w:pPr>
          </w:p>
          <w:p w14:paraId="11B0D3A6">
            <w:pPr>
              <w:jc w:val="center"/>
              <w:rPr>
                <w:rFonts w:cs="Times New Roman"/>
                <w:b/>
                <w:bCs/>
                <w:color w:val="auto"/>
                <w:sz w:val="24"/>
                <w:szCs w:val="24"/>
              </w:rPr>
            </w:pPr>
          </w:p>
          <w:p w14:paraId="4133038E">
            <w:pPr>
              <w:jc w:val="center"/>
              <w:rPr>
                <w:rFonts w:cs="Times New Roman"/>
                <w:b/>
                <w:bCs/>
                <w:color w:val="auto"/>
                <w:sz w:val="24"/>
                <w:szCs w:val="24"/>
              </w:rPr>
            </w:pPr>
          </w:p>
          <w:p w14:paraId="54B48088">
            <w:pPr>
              <w:jc w:val="center"/>
              <w:rPr>
                <w:rFonts w:cs="Times New Roman"/>
                <w:b/>
                <w:bCs/>
                <w:color w:val="auto"/>
                <w:sz w:val="24"/>
                <w:szCs w:val="24"/>
              </w:rPr>
            </w:pPr>
          </w:p>
          <w:p w14:paraId="4E1300E9">
            <w:pPr>
              <w:jc w:val="center"/>
              <w:rPr>
                <w:rFonts w:cs="Times New Roman"/>
                <w:b/>
                <w:bCs/>
                <w:color w:val="auto"/>
                <w:sz w:val="24"/>
                <w:szCs w:val="24"/>
              </w:rPr>
            </w:pPr>
            <w:r>
              <w:rPr>
                <w:rFonts w:cs="Times New Roman"/>
                <w:b/>
                <w:bCs/>
                <w:color w:val="auto"/>
                <w:sz w:val="24"/>
                <w:szCs w:val="24"/>
              </w:rPr>
              <w:t>其他符合性分析</w:t>
            </w:r>
          </w:p>
          <w:p w14:paraId="610110BB">
            <w:pPr>
              <w:jc w:val="center"/>
              <w:rPr>
                <w:rFonts w:cs="Times New Roman"/>
                <w:b/>
                <w:bCs/>
                <w:color w:val="auto"/>
                <w:sz w:val="24"/>
                <w:szCs w:val="24"/>
              </w:rPr>
            </w:pPr>
          </w:p>
          <w:p w14:paraId="4AA26C0E">
            <w:pPr>
              <w:jc w:val="center"/>
              <w:rPr>
                <w:rFonts w:cs="Times New Roman"/>
                <w:b/>
                <w:bCs/>
                <w:color w:val="auto"/>
                <w:sz w:val="24"/>
                <w:szCs w:val="24"/>
              </w:rPr>
            </w:pPr>
          </w:p>
          <w:p w14:paraId="0E894145">
            <w:pPr>
              <w:jc w:val="center"/>
              <w:rPr>
                <w:rFonts w:cs="Times New Roman"/>
                <w:b/>
                <w:bCs/>
                <w:color w:val="auto"/>
                <w:sz w:val="24"/>
                <w:szCs w:val="24"/>
              </w:rPr>
            </w:pPr>
          </w:p>
          <w:p w14:paraId="3E3C4C81">
            <w:pPr>
              <w:jc w:val="center"/>
              <w:rPr>
                <w:rFonts w:cs="Times New Roman"/>
                <w:b/>
                <w:bCs/>
                <w:color w:val="auto"/>
                <w:sz w:val="24"/>
                <w:szCs w:val="24"/>
              </w:rPr>
            </w:pPr>
          </w:p>
          <w:p w14:paraId="0868240E">
            <w:pPr>
              <w:jc w:val="center"/>
              <w:rPr>
                <w:rFonts w:cs="Times New Roman"/>
                <w:b/>
                <w:bCs/>
                <w:color w:val="auto"/>
                <w:sz w:val="24"/>
                <w:szCs w:val="24"/>
              </w:rPr>
            </w:pPr>
          </w:p>
          <w:p w14:paraId="714396D3">
            <w:pPr>
              <w:jc w:val="center"/>
              <w:rPr>
                <w:rFonts w:cs="Times New Roman"/>
                <w:b/>
                <w:bCs/>
                <w:color w:val="auto"/>
                <w:sz w:val="24"/>
                <w:szCs w:val="24"/>
              </w:rPr>
            </w:pPr>
          </w:p>
          <w:p w14:paraId="7E883AD1">
            <w:pPr>
              <w:jc w:val="center"/>
              <w:rPr>
                <w:rFonts w:cs="Times New Roman"/>
                <w:b/>
                <w:bCs/>
                <w:color w:val="auto"/>
                <w:sz w:val="24"/>
                <w:szCs w:val="24"/>
              </w:rPr>
            </w:pPr>
          </w:p>
          <w:p w14:paraId="3249DC16">
            <w:pPr>
              <w:jc w:val="center"/>
              <w:rPr>
                <w:rFonts w:cs="Times New Roman"/>
                <w:b/>
                <w:bCs/>
                <w:color w:val="auto"/>
                <w:sz w:val="24"/>
                <w:szCs w:val="24"/>
              </w:rPr>
            </w:pPr>
          </w:p>
          <w:p w14:paraId="1C837363">
            <w:pPr>
              <w:jc w:val="center"/>
              <w:rPr>
                <w:rFonts w:cs="Times New Roman"/>
                <w:b/>
                <w:bCs/>
                <w:color w:val="auto"/>
                <w:sz w:val="24"/>
                <w:szCs w:val="24"/>
              </w:rPr>
            </w:pPr>
          </w:p>
          <w:p w14:paraId="1A61F5FD">
            <w:pPr>
              <w:jc w:val="center"/>
              <w:rPr>
                <w:rFonts w:cs="Times New Roman"/>
                <w:b/>
                <w:bCs/>
                <w:color w:val="auto"/>
                <w:sz w:val="24"/>
                <w:szCs w:val="24"/>
              </w:rPr>
            </w:pPr>
          </w:p>
          <w:p w14:paraId="17CA1AC3">
            <w:pPr>
              <w:jc w:val="center"/>
              <w:rPr>
                <w:rFonts w:cs="Times New Roman"/>
                <w:b/>
                <w:bCs/>
                <w:color w:val="auto"/>
                <w:sz w:val="24"/>
                <w:szCs w:val="24"/>
              </w:rPr>
            </w:pPr>
          </w:p>
          <w:p w14:paraId="4F650772">
            <w:pPr>
              <w:jc w:val="center"/>
              <w:rPr>
                <w:rFonts w:cs="Times New Roman"/>
                <w:b/>
                <w:bCs/>
                <w:color w:val="auto"/>
                <w:sz w:val="24"/>
                <w:szCs w:val="24"/>
              </w:rPr>
            </w:pPr>
          </w:p>
          <w:p w14:paraId="31053202">
            <w:pPr>
              <w:jc w:val="center"/>
              <w:rPr>
                <w:rFonts w:cs="Times New Roman"/>
                <w:b/>
                <w:bCs/>
                <w:color w:val="auto"/>
                <w:sz w:val="24"/>
                <w:szCs w:val="24"/>
              </w:rPr>
            </w:pPr>
          </w:p>
          <w:p w14:paraId="4F931493">
            <w:pPr>
              <w:jc w:val="center"/>
              <w:rPr>
                <w:rFonts w:cs="Times New Roman"/>
                <w:b/>
                <w:bCs/>
                <w:color w:val="auto"/>
                <w:sz w:val="24"/>
                <w:szCs w:val="24"/>
              </w:rPr>
            </w:pPr>
          </w:p>
          <w:p w14:paraId="1A0CCEE2">
            <w:pPr>
              <w:jc w:val="center"/>
              <w:rPr>
                <w:rFonts w:cs="Times New Roman"/>
                <w:b/>
                <w:bCs/>
                <w:color w:val="auto"/>
                <w:sz w:val="24"/>
                <w:szCs w:val="24"/>
              </w:rPr>
            </w:pPr>
          </w:p>
          <w:p w14:paraId="350FEAF6">
            <w:pPr>
              <w:jc w:val="center"/>
              <w:rPr>
                <w:rFonts w:cs="Times New Roman"/>
                <w:b/>
                <w:bCs/>
                <w:color w:val="auto"/>
                <w:sz w:val="24"/>
                <w:szCs w:val="24"/>
              </w:rPr>
            </w:pPr>
          </w:p>
          <w:p w14:paraId="4C2D2325">
            <w:pPr>
              <w:jc w:val="center"/>
              <w:rPr>
                <w:rFonts w:cs="Times New Roman"/>
                <w:b/>
                <w:bCs/>
                <w:color w:val="auto"/>
                <w:sz w:val="24"/>
                <w:szCs w:val="24"/>
              </w:rPr>
            </w:pPr>
          </w:p>
          <w:p w14:paraId="30EF777D">
            <w:pPr>
              <w:jc w:val="center"/>
              <w:rPr>
                <w:rFonts w:cs="Times New Roman"/>
                <w:b/>
                <w:bCs/>
                <w:color w:val="auto"/>
                <w:sz w:val="24"/>
                <w:szCs w:val="24"/>
              </w:rPr>
            </w:pPr>
          </w:p>
          <w:p w14:paraId="2E5F9D17">
            <w:pPr>
              <w:jc w:val="center"/>
              <w:rPr>
                <w:rFonts w:cs="Times New Roman"/>
                <w:b/>
                <w:bCs/>
                <w:color w:val="auto"/>
                <w:sz w:val="24"/>
                <w:szCs w:val="24"/>
              </w:rPr>
            </w:pPr>
          </w:p>
          <w:p w14:paraId="070AF83C">
            <w:pPr>
              <w:jc w:val="center"/>
              <w:rPr>
                <w:rFonts w:cs="Times New Roman"/>
                <w:b/>
                <w:bCs/>
                <w:color w:val="auto"/>
                <w:sz w:val="24"/>
                <w:szCs w:val="24"/>
              </w:rPr>
            </w:pPr>
          </w:p>
          <w:p w14:paraId="2EADBD9C">
            <w:pPr>
              <w:jc w:val="center"/>
              <w:rPr>
                <w:rFonts w:cs="Times New Roman"/>
                <w:b/>
                <w:bCs/>
                <w:color w:val="auto"/>
                <w:sz w:val="24"/>
                <w:szCs w:val="24"/>
              </w:rPr>
            </w:pPr>
          </w:p>
          <w:p w14:paraId="759F2D76">
            <w:pPr>
              <w:jc w:val="center"/>
              <w:rPr>
                <w:rFonts w:cs="Times New Roman"/>
                <w:b/>
                <w:bCs/>
                <w:color w:val="auto"/>
                <w:sz w:val="24"/>
                <w:szCs w:val="24"/>
              </w:rPr>
            </w:pPr>
          </w:p>
          <w:p w14:paraId="431378BD">
            <w:pPr>
              <w:jc w:val="center"/>
              <w:rPr>
                <w:rFonts w:cs="Times New Roman"/>
                <w:b/>
                <w:bCs/>
                <w:color w:val="auto"/>
                <w:sz w:val="24"/>
                <w:szCs w:val="24"/>
              </w:rPr>
            </w:pPr>
          </w:p>
          <w:p w14:paraId="597105D3">
            <w:pPr>
              <w:jc w:val="center"/>
              <w:rPr>
                <w:rFonts w:cs="Times New Roman"/>
                <w:b/>
                <w:bCs/>
                <w:color w:val="auto"/>
                <w:sz w:val="24"/>
                <w:szCs w:val="24"/>
              </w:rPr>
            </w:pPr>
          </w:p>
          <w:p w14:paraId="784F52DF">
            <w:pPr>
              <w:jc w:val="center"/>
              <w:rPr>
                <w:rFonts w:cs="Times New Roman"/>
                <w:b/>
                <w:bCs/>
                <w:color w:val="auto"/>
                <w:sz w:val="24"/>
                <w:szCs w:val="24"/>
              </w:rPr>
            </w:pPr>
          </w:p>
          <w:p w14:paraId="03F65F2D">
            <w:pPr>
              <w:jc w:val="center"/>
              <w:rPr>
                <w:rFonts w:cs="Times New Roman"/>
                <w:b/>
                <w:bCs/>
                <w:color w:val="auto"/>
                <w:sz w:val="24"/>
                <w:szCs w:val="24"/>
              </w:rPr>
            </w:pPr>
          </w:p>
          <w:p w14:paraId="01E891E2">
            <w:pPr>
              <w:jc w:val="center"/>
              <w:rPr>
                <w:rFonts w:cs="Times New Roman"/>
                <w:b/>
                <w:bCs/>
                <w:color w:val="auto"/>
                <w:sz w:val="24"/>
                <w:szCs w:val="24"/>
              </w:rPr>
            </w:pPr>
          </w:p>
          <w:p w14:paraId="30472FBC">
            <w:pPr>
              <w:jc w:val="center"/>
              <w:rPr>
                <w:rFonts w:cs="Times New Roman"/>
                <w:b/>
                <w:bCs/>
                <w:color w:val="auto"/>
                <w:sz w:val="24"/>
                <w:szCs w:val="24"/>
              </w:rPr>
            </w:pPr>
          </w:p>
          <w:p w14:paraId="6D230C06">
            <w:pPr>
              <w:jc w:val="center"/>
              <w:rPr>
                <w:rFonts w:cs="Times New Roman"/>
                <w:b/>
                <w:bCs/>
                <w:color w:val="auto"/>
                <w:sz w:val="24"/>
                <w:szCs w:val="24"/>
              </w:rPr>
            </w:pPr>
          </w:p>
          <w:p w14:paraId="2B04ABFD">
            <w:pPr>
              <w:jc w:val="center"/>
              <w:rPr>
                <w:rFonts w:cs="Times New Roman"/>
                <w:b/>
                <w:bCs/>
                <w:color w:val="auto"/>
                <w:sz w:val="24"/>
                <w:szCs w:val="24"/>
              </w:rPr>
            </w:pPr>
          </w:p>
          <w:p w14:paraId="1C11CF87">
            <w:pPr>
              <w:jc w:val="center"/>
              <w:rPr>
                <w:rFonts w:cs="Times New Roman"/>
                <w:b/>
                <w:bCs/>
                <w:color w:val="auto"/>
                <w:sz w:val="24"/>
                <w:szCs w:val="24"/>
              </w:rPr>
            </w:pPr>
          </w:p>
          <w:p w14:paraId="0D22AD94">
            <w:pPr>
              <w:jc w:val="center"/>
              <w:rPr>
                <w:rFonts w:cs="Times New Roman"/>
                <w:b/>
                <w:bCs/>
                <w:color w:val="auto"/>
                <w:sz w:val="24"/>
                <w:szCs w:val="24"/>
              </w:rPr>
            </w:pPr>
          </w:p>
          <w:p w14:paraId="0910C8E5">
            <w:pPr>
              <w:jc w:val="center"/>
              <w:rPr>
                <w:rFonts w:cs="Times New Roman"/>
                <w:b/>
                <w:bCs/>
                <w:color w:val="auto"/>
                <w:sz w:val="24"/>
                <w:szCs w:val="24"/>
              </w:rPr>
            </w:pPr>
          </w:p>
          <w:p w14:paraId="14246958">
            <w:pPr>
              <w:jc w:val="center"/>
              <w:rPr>
                <w:rFonts w:cs="Times New Roman"/>
                <w:b/>
                <w:bCs/>
                <w:color w:val="auto"/>
                <w:sz w:val="24"/>
                <w:szCs w:val="24"/>
              </w:rPr>
            </w:pPr>
          </w:p>
          <w:p w14:paraId="0D6B485D">
            <w:pPr>
              <w:jc w:val="center"/>
              <w:rPr>
                <w:rFonts w:cs="Times New Roman"/>
                <w:b/>
                <w:bCs/>
                <w:color w:val="auto"/>
                <w:sz w:val="24"/>
                <w:szCs w:val="24"/>
              </w:rPr>
            </w:pPr>
          </w:p>
          <w:p w14:paraId="00DEB23A">
            <w:pPr>
              <w:jc w:val="center"/>
              <w:rPr>
                <w:rFonts w:cs="Times New Roman"/>
                <w:b/>
                <w:bCs/>
                <w:color w:val="auto"/>
                <w:sz w:val="24"/>
                <w:szCs w:val="24"/>
              </w:rPr>
            </w:pPr>
          </w:p>
          <w:p w14:paraId="038FA50B">
            <w:pPr>
              <w:jc w:val="center"/>
              <w:rPr>
                <w:rFonts w:cs="Times New Roman"/>
                <w:b/>
                <w:bCs/>
                <w:color w:val="auto"/>
                <w:sz w:val="24"/>
                <w:szCs w:val="24"/>
              </w:rPr>
            </w:pPr>
          </w:p>
          <w:p w14:paraId="7B7E9816">
            <w:pPr>
              <w:jc w:val="center"/>
              <w:rPr>
                <w:rFonts w:cs="Times New Roman"/>
                <w:b/>
                <w:bCs/>
                <w:color w:val="auto"/>
                <w:sz w:val="24"/>
                <w:szCs w:val="24"/>
              </w:rPr>
            </w:pPr>
          </w:p>
          <w:p w14:paraId="0F2A0055">
            <w:pPr>
              <w:jc w:val="center"/>
              <w:rPr>
                <w:rFonts w:cs="Times New Roman"/>
                <w:b/>
                <w:bCs/>
                <w:color w:val="auto"/>
                <w:sz w:val="24"/>
                <w:szCs w:val="24"/>
              </w:rPr>
            </w:pPr>
          </w:p>
          <w:p w14:paraId="689342FA">
            <w:pPr>
              <w:jc w:val="center"/>
              <w:rPr>
                <w:rFonts w:cs="Times New Roman"/>
                <w:b/>
                <w:bCs/>
                <w:color w:val="auto"/>
                <w:sz w:val="24"/>
                <w:szCs w:val="24"/>
              </w:rPr>
            </w:pPr>
          </w:p>
          <w:p w14:paraId="15F7DF3D">
            <w:pPr>
              <w:jc w:val="center"/>
              <w:rPr>
                <w:rFonts w:cs="Times New Roman"/>
                <w:b/>
                <w:bCs/>
                <w:color w:val="auto"/>
                <w:sz w:val="24"/>
                <w:szCs w:val="24"/>
              </w:rPr>
            </w:pPr>
          </w:p>
          <w:p w14:paraId="44613C83">
            <w:pPr>
              <w:jc w:val="center"/>
              <w:rPr>
                <w:rFonts w:cs="Times New Roman"/>
                <w:b/>
                <w:bCs/>
                <w:color w:val="auto"/>
                <w:sz w:val="24"/>
                <w:szCs w:val="24"/>
              </w:rPr>
            </w:pPr>
          </w:p>
          <w:p w14:paraId="5BD4C6BC">
            <w:pPr>
              <w:jc w:val="center"/>
              <w:rPr>
                <w:rFonts w:cs="Times New Roman"/>
                <w:b/>
                <w:bCs/>
                <w:color w:val="auto"/>
                <w:sz w:val="24"/>
                <w:szCs w:val="24"/>
              </w:rPr>
            </w:pPr>
            <w:r>
              <w:rPr>
                <w:rFonts w:cs="Times New Roman"/>
                <w:b/>
                <w:bCs/>
                <w:color w:val="auto"/>
                <w:sz w:val="24"/>
                <w:szCs w:val="24"/>
              </w:rPr>
              <w:t>其他符合性分析</w:t>
            </w:r>
          </w:p>
          <w:p w14:paraId="0DD79C1F">
            <w:pPr>
              <w:jc w:val="center"/>
              <w:rPr>
                <w:rFonts w:cs="Times New Roman"/>
                <w:b/>
                <w:bCs/>
                <w:color w:val="auto"/>
                <w:sz w:val="24"/>
                <w:szCs w:val="24"/>
              </w:rPr>
            </w:pPr>
          </w:p>
          <w:p w14:paraId="08F1AEC1">
            <w:pPr>
              <w:jc w:val="center"/>
              <w:rPr>
                <w:rFonts w:cs="Times New Roman"/>
                <w:b/>
                <w:bCs/>
                <w:color w:val="auto"/>
                <w:sz w:val="24"/>
                <w:szCs w:val="24"/>
              </w:rPr>
            </w:pPr>
          </w:p>
          <w:p w14:paraId="6866E6FE">
            <w:pPr>
              <w:jc w:val="center"/>
              <w:rPr>
                <w:rFonts w:cs="Times New Roman"/>
                <w:b/>
                <w:bCs/>
                <w:color w:val="auto"/>
                <w:sz w:val="24"/>
                <w:szCs w:val="24"/>
              </w:rPr>
            </w:pPr>
          </w:p>
          <w:p w14:paraId="6F75A6A7">
            <w:pPr>
              <w:jc w:val="center"/>
              <w:rPr>
                <w:rFonts w:cs="Times New Roman"/>
                <w:b/>
                <w:bCs/>
                <w:color w:val="auto"/>
                <w:sz w:val="24"/>
                <w:szCs w:val="24"/>
              </w:rPr>
            </w:pPr>
          </w:p>
          <w:p w14:paraId="02530415">
            <w:pPr>
              <w:jc w:val="center"/>
              <w:rPr>
                <w:rFonts w:cs="Times New Roman"/>
                <w:b/>
                <w:bCs/>
                <w:color w:val="auto"/>
                <w:sz w:val="24"/>
                <w:szCs w:val="24"/>
              </w:rPr>
            </w:pPr>
          </w:p>
          <w:p w14:paraId="190B59F3">
            <w:pPr>
              <w:jc w:val="center"/>
              <w:rPr>
                <w:rFonts w:cs="Times New Roman"/>
                <w:b/>
                <w:bCs/>
                <w:color w:val="auto"/>
                <w:sz w:val="24"/>
                <w:szCs w:val="24"/>
              </w:rPr>
            </w:pPr>
          </w:p>
          <w:p w14:paraId="63F5B4C6">
            <w:pPr>
              <w:jc w:val="center"/>
              <w:rPr>
                <w:rFonts w:cs="Times New Roman"/>
                <w:b/>
                <w:bCs/>
                <w:color w:val="auto"/>
                <w:sz w:val="24"/>
                <w:szCs w:val="24"/>
              </w:rPr>
            </w:pPr>
          </w:p>
          <w:p w14:paraId="4A51518E">
            <w:pPr>
              <w:jc w:val="center"/>
              <w:rPr>
                <w:rFonts w:cs="Times New Roman"/>
                <w:b/>
                <w:bCs/>
                <w:color w:val="auto"/>
                <w:sz w:val="24"/>
                <w:szCs w:val="24"/>
              </w:rPr>
            </w:pPr>
          </w:p>
          <w:p w14:paraId="79AC0BA7">
            <w:pPr>
              <w:jc w:val="center"/>
              <w:rPr>
                <w:rFonts w:cs="Times New Roman"/>
                <w:b/>
                <w:bCs/>
                <w:color w:val="auto"/>
                <w:sz w:val="24"/>
                <w:szCs w:val="24"/>
              </w:rPr>
            </w:pPr>
          </w:p>
          <w:p w14:paraId="762D76B4">
            <w:pPr>
              <w:jc w:val="center"/>
              <w:rPr>
                <w:rFonts w:cs="Times New Roman"/>
                <w:b/>
                <w:bCs/>
                <w:color w:val="auto"/>
                <w:sz w:val="24"/>
                <w:szCs w:val="24"/>
              </w:rPr>
            </w:pPr>
          </w:p>
          <w:p w14:paraId="1EFD51A7">
            <w:pPr>
              <w:jc w:val="center"/>
              <w:rPr>
                <w:rFonts w:cs="Times New Roman"/>
                <w:b/>
                <w:bCs/>
                <w:color w:val="auto"/>
                <w:sz w:val="24"/>
                <w:szCs w:val="24"/>
              </w:rPr>
            </w:pPr>
          </w:p>
          <w:p w14:paraId="44E7D3D6">
            <w:pPr>
              <w:jc w:val="center"/>
              <w:rPr>
                <w:rFonts w:cs="Times New Roman"/>
                <w:b/>
                <w:bCs/>
                <w:color w:val="auto"/>
                <w:sz w:val="24"/>
                <w:szCs w:val="24"/>
              </w:rPr>
            </w:pPr>
          </w:p>
          <w:p w14:paraId="183889BF">
            <w:pPr>
              <w:jc w:val="center"/>
              <w:rPr>
                <w:rFonts w:cs="Times New Roman"/>
                <w:b/>
                <w:bCs/>
                <w:color w:val="auto"/>
                <w:sz w:val="24"/>
                <w:szCs w:val="24"/>
              </w:rPr>
            </w:pPr>
          </w:p>
          <w:p w14:paraId="2B66C2D6">
            <w:pPr>
              <w:jc w:val="center"/>
              <w:rPr>
                <w:rFonts w:cs="Times New Roman"/>
                <w:b/>
                <w:bCs/>
                <w:color w:val="auto"/>
                <w:sz w:val="24"/>
                <w:szCs w:val="24"/>
              </w:rPr>
            </w:pPr>
          </w:p>
          <w:p w14:paraId="52A9297F">
            <w:pPr>
              <w:jc w:val="center"/>
              <w:rPr>
                <w:rFonts w:cs="Times New Roman"/>
                <w:b/>
                <w:bCs/>
                <w:color w:val="auto"/>
                <w:sz w:val="24"/>
                <w:szCs w:val="24"/>
              </w:rPr>
            </w:pPr>
          </w:p>
          <w:p w14:paraId="502501D9">
            <w:pPr>
              <w:jc w:val="center"/>
              <w:rPr>
                <w:rFonts w:cs="Times New Roman"/>
                <w:b/>
                <w:bCs/>
                <w:color w:val="auto"/>
                <w:sz w:val="24"/>
                <w:szCs w:val="24"/>
              </w:rPr>
            </w:pPr>
          </w:p>
          <w:p w14:paraId="271E2D5F">
            <w:pPr>
              <w:jc w:val="center"/>
              <w:rPr>
                <w:rFonts w:cs="Times New Roman"/>
                <w:b/>
                <w:bCs/>
                <w:color w:val="auto"/>
                <w:sz w:val="24"/>
                <w:szCs w:val="24"/>
              </w:rPr>
            </w:pPr>
          </w:p>
          <w:p w14:paraId="465E86AB">
            <w:pPr>
              <w:jc w:val="center"/>
              <w:rPr>
                <w:rFonts w:cs="Times New Roman"/>
                <w:b/>
                <w:bCs/>
                <w:color w:val="auto"/>
                <w:sz w:val="24"/>
                <w:szCs w:val="24"/>
              </w:rPr>
            </w:pPr>
          </w:p>
          <w:p w14:paraId="3793B5E4">
            <w:pPr>
              <w:jc w:val="center"/>
              <w:rPr>
                <w:rFonts w:cs="Times New Roman"/>
                <w:b/>
                <w:bCs/>
                <w:color w:val="auto"/>
                <w:sz w:val="24"/>
                <w:szCs w:val="24"/>
              </w:rPr>
            </w:pPr>
          </w:p>
          <w:p w14:paraId="78568892">
            <w:pPr>
              <w:jc w:val="center"/>
              <w:rPr>
                <w:rFonts w:cs="Times New Roman"/>
                <w:b/>
                <w:bCs/>
                <w:color w:val="auto"/>
                <w:sz w:val="24"/>
                <w:szCs w:val="24"/>
              </w:rPr>
            </w:pPr>
          </w:p>
          <w:p w14:paraId="39D1DAEE">
            <w:pPr>
              <w:jc w:val="center"/>
              <w:rPr>
                <w:rFonts w:cs="Times New Roman"/>
                <w:b/>
                <w:bCs/>
                <w:color w:val="auto"/>
                <w:sz w:val="24"/>
                <w:szCs w:val="24"/>
              </w:rPr>
            </w:pPr>
          </w:p>
          <w:p w14:paraId="63833455">
            <w:pPr>
              <w:jc w:val="center"/>
              <w:rPr>
                <w:rFonts w:cs="Times New Roman"/>
                <w:b/>
                <w:bCs/>
                <w:color w:val="auto"/>
                <w:sz w:val="24"/>
                <w:szCs w:val="24"/>
              </w:rPr>
            </w:pPr>
          </w:p>
          <w:p w14:paraId="44457FF4">
            <w:pPr>
              <w:jc w:val="center"/>
              <w:rPr>
                <w:rFonts w:cs="Times New Roman"/>
                <w:b/>
                <w:bCs/>
                <w:color w:val="auto"/>
                <w:sz w:val="24"/>
                <w:szCs w:val="24"/>
              </w:rPr>
            </w:pPr>
          </w:p>
          <w:p w14:paraId="52E2515D">
            <w:pPr>
              <w:jc w:val="center"/>
              <w:rPr>
                <w:rFonts w:cs="Times New Roman"/>
                <w:b/>
                <w:bCs/>
                <w:color w:val="auto"/>
                <w:sz w:val="24"/>
                <w:szCs w:val="24"/>
              </w:rPr>
            </w:pPr>
          </w:p>
          <w:p w14:paraId="4F938456">
            <w:pPr>
              <w:jc w:val="center"/>
              <w:rPr>
                <w:rFonts w:cs="Times New Roman"/>
                <w:b/>
                <w:bCs/>
                <w:color w:val="auto"/>
                <w:sz w:val="24"/>
                <w:szCs w:val="24"/>
              </w:rPr>
            </w:pPr>
          </w:p>
          <w:p w14:paraId="53731F6B">
            <w:pPr>
              <w:jc w:val="center"/>
              <w:rPr>
                <w:rFonts w:cs="Times New Roman"/>
                <w:b/>
                <w:bCs/>
                <w:color w:val="auto"/>
                <w:sz w:val="24"/>
                <w:szCs w:val="24"/>
              </w:rPr>
            </w:pPr>
          </w:p>
          <w:p w14:paraId="5EBE51E6">
            <w:pPr>
              <w:jc w:val="center"/>
              <w:rPr>
                <w:rFonts w:cs="Times New Roman"/>
                <w:b/>
                <w:bCs/>
                <w:color w:val="auto"/>
                <w:sz w:val="24"/>
                <w:szCs w:val="24"/>
              </w:rPr>
            </w:pPr>
          </w:p>
          <w:p w14:paraId="73020882">
            <w:pPr>
              <w:jc w:val="center"/>
              <w:rPr>
                <w:rFonts w:cs="Times New Roman"/>
                <w:b/>
                <w:bCs/>
                <w:color w:val="auto"/>
                <w:sz w:val="24"/>
                <w:szCs w:val="24"/>
              </w:rPr>
            </w:pPr>
          </w:p>
          <w:p w14:paraId="6E69FA0A">
            <w:pPr>
              <w:jc w:val="center"/>
              <w:rPr>
                <w:rFonts w:cs="Times New Roman"/>
                <w:b/>
                <w:bCs/>
                <w:color w:val="auto"/>
                <w:sz w:val="24"/>
                <w:szCs w:val="24"/>
              </w:rPr>
            </w:pPr>
          </w:p>
          <w:p w14:paraId="40EBB76B">
            <w:pPr>
              <w:jc w:val="center"/>
              <w:rPr>
                <w:rFonts w:cs="Times New Roman"/>
                <w:b/>
                <w:bCs/>
                <w:color w:val="auto"/>
                <w:sz w:val="24"/>
                <w:szCs w:val="24"/>
              </w:rPr>
            </w:pPr>
          </w:p>
          <w:p w14:paraId="45F7549D">
            <w:pPr>
              <w:jc w:val="center"/>
              <w:rPr>
                <w:rFonts w:cs="Times New Roman"/>
                <w:b/>
                <w:bCs/>
                <w:color w:val="auto"/>
                <w:sz w:val="24"/>
                <w:szCs w:val="24"/>
              </w:rPr>
            </w:pPr>
          </w:p>
          <w:p w14:paraId="74327D7C">
            <w:pPr>
              <w:jc w:val="center"/>
              <w:rPr>
                <w:rFonts w:cs="Times New Roman"/>
                <w:b/>
                <w:bCs/>
                <w:color w:val="auto"/>
                <w:sz w:val="24"/>
                <w:szCs w:val="24"/>
              </w:rPr>
            </w:pPr>
          </w:p>
          <w:p w14:paraId="4C65A72A">
            <w:pPr>
              <w:jc w:val="center"/>
              <w:rPr>
                <w:rFonts w:cs="Times New Roman"/>
                <w:b/>
                <w:bCs/>
                <w:color w:val="auto"/>
                <w:sz w:val="24"/>
                <w:szCs w:val="24"/>
              </w:rPr>
            </w:pPr>
          </w:p>
          <w:p w14:paraId="6ACC5E3F">
            <w:pPr>
              <w:jc w:val="center"/>
              <w:rPr>
                <w:rFonts w:cs="Times New Roman"/>
                <w:b/>
                <w:bCs/>
                <w:color w:val="auto"/>
                <w:sz w:val="24"/>
                <w:szCs w:val="24"/>
              </w:rPr>
            </w:pPr>
          </w:p>
          <w:p w14:paraId="427A08BD">
            <w:pPr>
              <w:jc w:val="center"/>
              <w:rPr>
                <w:rFonts w:cs="Times New Roman"/>
                <w:b/>
                <w:bCs/>
                <w:color w:val="auto"/>
                <w:sz w:val="24"/>
                <w:szCs w:val="24"/>
              </w:rPr>
            </w:pPr>
          </w:p>
          <w:p w14:paraId="11BF8DDE">
            <w:pPr>
              <w:jc w:val="center"/>
              <w:rPr>
                <w:rFonts w:cs="Times New Roman"/>
                <w:b/>
                <w:bCs/>
                <w:color w:val="auto"/>
                <w:sz w:val="24"/>
                <w:szCs w:val="24"/>
              </w:rPr>
            </w:pPr>
          </w:p>
          <w:p w14:paraId="2FD00978">
            <w:pPr>
              <w:jc w:val="center"/>
              <w:rPr>
                <w:rFonts w:cs="Times New Roman"/>
                <w:b/>
                <w:bCs/>
                <w:color w:val="auto"/>
                <w:sz w:val="24"/>
                <w:szCs w:val="24"/>
              </w:rPr>
            </w:pPr>
          </w:p>
          <w:p w14:paraId="6F8E191E">
            <w:pPr>
              <w:jc w:val="center"/>
              <w:rPr>
                <w:rFonts w:cs="Times New Roman"/>
                <w:b/>
                <w:bCs/>
                <w:color w:val="auto"/>
                <w:sz w:val="24"/>
                <w:szCs w:val="24"/>
              </w:rPr>
            </w:pPr>
          </w:p>
          <w:p w14:paraId="28AC6D29">
            <w:pPr>
              <w:jc w:val="center"/>
              <w:rPr>
                <w:rFonts w:cs="Times New Roman"/>
                <w:b/>
                <w:bCs/>
                <w:color w:val="auto"/>
                <w:sz w:val="24"/>
                <w:szCs w:val="24"/>
              </w:rPr>
            </w:pPr>
          </w:p>
          <w:p w14:paraId="60119EEA">
            <w:pPr>
              <w:jc w:val="center"/>
              <w:rPr>
                <w:rFonts w:cs="Times New Roman"/>
                <w:b/>
                <w:bCs/>
                <w:color w:val="auto"/>
                <w:sz w:val="24"/>
                <w:szCs w:val="24"/>
              </w:rPr>
            </w:pPr>
          </w:p>
          <w:p w14:paraId="03F2AA75">
            <w:pPr>
              <w:jc w:val="center"/>
              <w:rPr>
                <w:rFonts w:cs="Times New Roman"/>
                <w:b/>
                <w:bCs/>
                <w:color w:val="auto"/>
                <w:sz w:val="24"/>
                <w:szCs w:val="24"/>
              </w:rPr>
            </w:pPr>
          </w:p>
          <w:p w14:paraId="2F710DA2">
            <w:pPr>
              <w:jc w:val="center"/>
              <w:rPr>
                <w:rFonts w:cs="Times New Roman"/>
                <w:b/>
                <w:bCs/>
                <w:color w:val="auto"/>
                <w:sz w:val="24"/>
                <w:szCs w:val="24"/>
              </w:rPr>
            </w:pPr>
          </w:p>
          <w:p w14:paraId="71A6D196">
            <w:pPr>
              <w:jc w:val="center"/>
              <w:rPr>
                <w:rFonts w:cs="Times New Roman"/>
                <w:b/>
                <w:bCs/>
                <w:color w:val="auto"/>
                <w:sz w:val="24"/>
                <w:szCs w:val="24"/>
              </w:rPr>
            </w:pPr>
          </w:p>
          <w:p w14:paraId="3FA996BB">
            <w:pPr>
              <w:jc w:val="center"/>
              <w:rPr>
                <w:rFonts w:cs="Times New Roman"/>
                <w:b/>
                <w:bCs/>
                <w:color w:val="auto"/>
                <w:sz w:val="24"/>
                <w:szCs w:val="24"/>
              </w:rPr>
            </w:pPr>
            <w:r>
              <w:rPr>
                <w:rFonts w:cs="Times New Roman"/>
                <w:b/>
                <w:bCs/>
                <w:color w:val="auto"/>
                <w:sz w:val="24"/>
                <w:szCs w:val="24"/>
              </w:rPr>
              <w:t>其他符合性分析</w:t>
            </w:r>
          </w:p>
          <w:p w14:paraId="639A7861">
            <w:pPr>
              <w:jc w:val="center"/>
              <w:rPr>
                <w:rFonts w:cs="Times New Roman"/>
                <w:b/>
                <w:bCs/>
                <w:color w:val="auto"/>
                <w:sz w:val="24"/>
                <w:szCs w:val="24"/>
              </w:rPr>
            </w:pPr>
          </w:p>
          <w:p w14:paraId="5544B299">
            <w:pPr>
              <w:jc w:val="center"/>
              <w:rPr>
                <w:rFonts w:cs="Times New Roman"/>
                <w:b/>
                <w:bCs/>
                <w:color w:val="auto"/>
                <w:sz w:val="24"/>
                <w:szCs w:val="24"/>
              </w:rPr>
            </w:pPr>
          </w:p>
          <w:p w14:paraId="050B6C70">
            <w:pPr>
              <w:jc w:val="center"/>
              <w:rPr>
                <w:rFonts w:cs="Times New Roman"/>
                <w:b/>
                <w:bCs/>
                <w:color w:val="auto"/>
                <w:sz w:val="24"/>
                <w:szCs w:val="24"/>
              </w:rPr>
            </w:pPr>
          </w:p>
          <w:p w14:paraId="4662D555">
            <w:pPr>
              <w:jc w:val="center"/>
              <w:rPr>
                <w:rFonts w:cs="Times New Roman"/>
                <w:b/>
                <w:bCs/>
                <w:color w:val="auto"/>
                <w:sz w:val="24"/>
                <w:szCs w:val="24"/>
              </w:rPr>
            </w:pPr>
          </w:p>
          <w:p w14:paraId="06215C15">
            <w:pPr>
              <w:jc w:val="center"/>
              <w:rPr>
                <w:rFonts w:cs="Times New Roman"/>
                <w:b/>
                <w:bCs/>
                <w:color w:val="auto"/>
                <w:sz w:val="24"/>
                <w:szCs w:val="24"/>
              </w:rPr>
            </w:pPr>
          </w:p>
          <w:p w14:paraId="566E20EB">
            <w:pPr>
              <w:jc w:val="center"/>
              <w:rPr>
                <w:rFonts w:cs="Times New Roman"/>
                <w:b/>
                <w:bCs/>
                <w:color w:val="auto"/>
                <w:sz w:val="24"/>
                <w:szCs w:val="24"/>
              </w:rPr>
            </w:pPr>
          </w:p>
          <w:p w14:paraId="716FDB62">
            <w:pPr>
              <w:jc w:val="center"/>
              <w:rPr>
                <w:rFonts w:cs="Times New Roman"/>
                <w:b/>
                <w:bCs/>
                <w:color w:val="auto"/>
                <w:sz w:val="24"/>
                <w:szCs w:val="24"/>
              </w:rPr>
            </w:pPr>
          </w:p>
          <w:p w14:paraId="68337CBC">
            <w:pPr>
              <w:jc w:val="center"/>
              <w:rPr>
                <w:rFonts w:cs="Times New Roman"/>
                <w:b/>
                <w:bCs/>
                <w:color w:val="auto"/>
                <w:sz w:val="24"/>
                <w:szCs w:val="24"/>
              </w:rPr>
            </w:pPr>
          </w:p>
          <w:p w14:paraId="738C3327">
            <w:pPr>
              <w:jc w:val="center"/>
              <w:rPr>
                <w:rFonts w:cs="Times New Roman"/>
                <w:b/>
                <w:bCs/>
                <w:color w:val="auto"/>
                <w:sz w:val="24"/>
                <w:szCs w:val="24"/>
              </w:rPr>
            </w:pPr>
          </w:p>
          <w:p w14:paraId="4659E0FA">
            <w:pPr>
              <w:jc w:val="center"/>
              <w:rPr>
                <w:rFonts w:cs="Times New Roman"/>
                <w:b/>
                <w:bCs/>
                <w:color w:val="auto"/>
                <w:sz w:val="24"/>
                <w:szCs w:val="24"/>
              </w:rPr>
            </w:pPr>
          </w:p>
          <w:p w14:paraId="080BD355">
            <w:pPr>
              <w:jc w:val="center"/>
              <w:rPr>
                <w:rFonts w:cs="Times New Roman"/>
                <w:b/>
                <w:bCs/>
                <w:color w:val="auto"/>
                <w:sz w:val="24"/>
                <w:szCs w:val="24"/>
              </w:rPr>
            </w:pPr>
          </w:p>
          <w:p w14:paraId="02FB9AF4">
            <w:pPr>
              <w:jc w:val="center"/>
              <w:rPr>
                <w:rFonts w:cs="Times New Roman"/>
                <w:b/>
                <w:bCs/>
                <w:color w:val="auto"/>
                <w:sz w:val="24"/>
                <w:szCs w:val="24"/>
              </w:rPr>
            </w:pPr>
          </w:p>
          <w:p w14:paraId="7914E988">
            <w:pPr>
              <w:jc w:val="center"/>
              <w:rPr>
                <w:rFonts w:cs="Times New Roman"/>
                <w:b/>
                <w:bCs/>
                <w:color w:val="auto"/>
                <w:sz w:val="24"/>
                <w:szCs w:val="24"/>
              </w:rPr>
            </w:pPr>
          </w:p>
          <w:p w14:paraId="6177611C">
            <w:pPr>
              <w:jc w:val="center"/>
              <w:rPr>
                <w:rFonts w:cs="Times New Roman"/>
                <w:b/>
                <w:bCs/>
                <w:color w:val="auto"/>
                <w:sz w:val="24"/>
                <w:szCs w:val="24"/>
              </w:rPr>
            </w:pPr>
          </w:p>
          <w:p w14:paraId="28A587C1">
            <w:pPr>
              <w:jc w:val="center"/>
              <w:rPr>
                <w:rFonts w:cs="Times New Roman"/>
                <w:b/>
                <w:bCs/>
                <w:color w:val="auto"/>
                <w:sz w:val="24"/>
                <w:szCs w:val="24"/>
              </w:rPr>
            </w:pPr>
          </w:p>
          <w:p w14:paraId="4B700C76">
            <w:pPr>
              <w:jc w:val="center"/>
              <w:rPr>
                <w:rFonts w:cs="Times New Roman"/>
                <w:b/>
                <w:bCs/>
                <w:color w:val="auto"/>
                <w:sz w:val="24"/>
                <w:szCs w:val="24"/>
              </w:rPr>
            </w:pPr>
          </w:p>
          <w:p w14:paraId="2E9A1A03">
            <w:pPr>
              <w:jc w:val="center"/>
              <w:rPr>
                <w:rFonts w:cs="Times New Roman"/>
                <w:b/>
                <w:bCs/>
                <w:color w:val="auto"/>
                <w:sz w:val="24"/>
                <w:szCs w:val="24"/>
              </w:rPr>
            </w:pPr>
          </w:p>
          <w:p w14:paraId="509C15E2">
            <w:pPr>
              <w:jc w:val="center"/>
              <w:rPr>
                <w:rFonts w:cs="Times New Roman"/>
                <w:b/>
                <w:bCs/>
                <w:color w:val="auto"/>
                <w:sz w:val="24"/>
                <w:szCs w:val="24"/>
              </w:rPr>
            </w:pPr>
          </w:p>
          <w:p w14:paraId="157B6564">
            <w:pPr>
              <w:jc w:val="center"/>
              <w:rPr>
                <w:rFonts w:cs="Times New Roman"/>
                <w:b/>
                <w:bCs/>
                <w:color w:val="auto"/>
                <w:sz w:val="24"/>
                <w:szCs w:val="24"/>
              </w:rPr>
            </w:pPr>
          </w:p>
          <w:p w14:paraId="2C33E8D6">
            <w:pPr>
              <w:jc w:val="center"/>
              <w:rPr>
                <w:rFonts w:cs="Times New Roman"/>
                <w:b/>
                <w:bCs/>
                <w:color w:val="auto"/>
                <w:sz w:val="24"/>
                <w:szCs w:val="24"/>
              </w:rPr>
            </w:pPr>
          </w:p>
          <w:p w14:paraId="102DCAFB">
            <w:pPr>
              <w:jc w:val="center"/>
              <w:rPr>
                <w:rFonts w:cs="Times New Roman"/>
                <w:b/>
                <w:bCs/>
                <w:color w:val="auto"/>
                <w:sz w:val="24"/>
                <w:szCs w:val="24"/>
              </w:rPr>
            </w:pPr>
          </w:p>
          <w:p w14:paraId="57626616">
            <w:pPr>
              <w:jc w:val="center"/>
              <w:rPr>
                <w:rFonts w:cs="Times New Roman"/>
                <w:b/>
                <w:bCs/>
                <w:color w:val="auto"/>
                <w:sz w:val="24"/>
                <w:szCs w:val="24"/>
              </w:rPr>
            </w:pPr>
          </w:p>
          <w:p w14:paraId="70BA83C3">
            <w:pPr>
              <w:jc w:val="center"/>
              <w:rPr>
                <w:rFonts w:cs="Times New Roman"/>
                <w:b/>
                <w:bCs/>
                <w:color w:val="auto"/>
                <w:sz w:val="24"/>
                <w:szCs w:val="24"/>
              </w:rPr>
            </w:pPr>
          </w:p>
          <w:p w14:paraId="4AE18F36">
            <w:pPr>
              <w:jc w:val="center"/>
              <w:rPr>
                <w:rFonts w:cs="Times New Roman"/>
                <w:b/>
                <w:bCs/>
                <w:color w:val="auto"/>
                <w:sz w:val="24"/>
                <w:szCs w:val="24"/>
              </w:rPr>
            </w:pPr>
          </w:p>
          <w:p w14:paraId="2415CD3D">
            <w:pPr>
              <w:jc w:val="center"/>
              <w:rPr>
                <w:rFonts w:cs="Times New Roman"/>
                <w:b/>
                <w:bCs/>
                <w:color w:val="auto"/>
                <w:sz w:val="24"/>
                <w:szCs w:val="24"/>
              </w:rPr>
            </w:pPr>
          </w:p>
          <w:p w14:paraId="20D816D6">
            <w:pPr>
              <w:jc w:val="center"/>
              <w:rPr>
                <w:rFonts w:cs="Times New Roman"/>
                <w:b/>
                <w:bCs/>
                <w:color w:val="auto"/>
                <w:sz w:val="24"/>
                <w:szCs w:val="24"/>
              </w:rPr>
            </w:pPr>
          </w:p>
          <w:p w14:paraId="2AC7432F">
            <w:pPr>
              <w:jc w:val="center"/>
              <w:rPr>
                <w:rFonts w:cs="Times New Roman"/>
                <w:b/>
                <w:bCs/>
                <w:color w:val="auto"/>
                <w:sz w:val="24"/>
                <w:szCs w:val="24"/>
              </w:rPr>
            </w:pPr>
          </w:p>
          <w:p w14:paraId="24DF7EEF">
            <w:pPr>
              <w:jc w:val="center"/>
              <w:rPr>
                <w:rFonts w:cs="Times New Roman"/>
                <w:b/>
                <w:bCs/>
                <w:color w:val="auto"/>
                <w:sz w:val="24"/>
                <w:szCs w:val="24"/>
              </w:rPr>
            </w:pPr>
          </w:p>
          <w:p w14:paraId="661F1D7F">
            <w:pPr>
              <w:jc w:val="center"/>
              <w:rPr>
                <w:rFonts w:cs="Times New Roman"/>
                <w:b/>
                <w:bCs/>
                <w:color w:val="auto"/>
                <w:sz w:val="24"/>
                <w:szCs w:val="24"/>
              </w:rPr>
            </w:pPr>
          </w:p>
          <w:p w14:paraId="3DDA0A88">
            <w:pPr>
              <w:jc w:val="center"/>
              <w:rPr>
                <w:rFonts w:cs="Times New Roman"/>
                <w:b/>
                <w:bCs/>
                <w:color w:val="auto"/>
                <w:sz w:val="24"/>
                <w:szCs w:val="24"/>
              </w:rPr>
            </w:pPr>
          </w:p>
          <w:p w14:paraId="145F30B6">
            <w:pPr>
              <w:jc w:val="center"/>
              <w:rPr>
                <w:rFonts w:cs="Times New Roman"/>
                <w:b/>
                <w:bCs/>
                <w:color w:val="auto"/>
                <w:sz w:val="24"/>
                <w:szCs w:val="24"/>
              </w:rPr>
            </w:pPr>
          </w:p>
          <w:p w14:paraId="2314238F">
            <w:pPr>
              <w:jc w:val="center"/>
              <w:rPr>
                <w:rFonts w:cs="Times New Roman"/>
                <w:b/>
                <w:bCs/>
                <w:color w:val="auto"/>
                <w:sz w:val="24"/>
                <w:szCs w:val="24"/>
              </w:rPr>
            </w:pPr>
          </w:p>
          <w:p w14:paraId="2D985B2E">
            <w:pPr>
              <w:jc w:val="center"/>
              <w:rPr>
                <w:rFonts w:cs="Times New Roman"/>
                <w:b/>
                <w:bCs/>
                <w:color w:val="auto"/>
                <w:sz w:val="24"/>
                <w:szCs w:val="24"/>
              </w:rPr>
            </w:pPr>
          </w:p>
          <w:p w14:paraId="3AFA45B1">
            <w:pPr>
              <w:jc w:val="center"/>
              <w:rPr>
                <w:rFonts w:cs="Times New Roman"/>
                <w:b/>
                <w:bCs/>
                <w:color w:val="auto"/>
                <w:sz w:val="24"/>
                <w:szCs w:val="24"/>
              </w:rPr>
            </w:pPr>
          </w:p>
          <w:p w14:paraId="53E68516">
            <w:pPr>
              <w:jc w:val="center"/>
              <w:rPr>
                <w:rFonts w:cs="Times New Roman"/>
                <w:b/>
                <w:bCs/>
                <w:color w:val="auto"/>
                <w:sz w:val="24"/>
                <w:szCs w:val="24"/>
              </w:rPr>
            </w:pPr>
          </w:p>
          <w:p w14:paraId="548A890F">
            <w:pPr>
              <w:jc w:val="center"/>
              <w:rPr>
                <w:rFonts w:cs="Times New Roman"/>
                <w:b/>
                <w:bCs/>
                <w:color w:val="auto"/>
                <w:sz w:val="24"/>
                <w:szCs w:val="24"/>
              </w:rPr>
            </w:pPr>
          </w:p>
          <w:p w14:paraId="570BC874">
            <w:pPr>
              <w:jc w:val="center"/>
              <w:rPr>
                <w:rFonts w:cs="Times New Roman"/>
                <w:b/>
                <w:bCs/>
                <w:color w:val="auto"/>
                <w:sz w:val="24"/>
                <w:szCs w:val="24"/>
              </w:rPr>
            </w:pPr>
          </w:p>
          <w:p w14:paraId="4F42FE78">
            <w:pPr>
              <w:jc w:val="center"/>
              <w:rPr>
                <w:rFonts w:cs="Times New Roman"/>
                <w:b/>
                <w:bCs/>
                <w:color w:val="auto"/>
                <w:sz w:val="24"/>
                <w:szCs w:val="24"/>
              </w:rPr>
            </w:pPr>
          </w:p>
          <w:p w14:paraId="49F94EB4">
            <w:pPr>
              <w:jc w:val="center"/>
              <w:rPr>
                <w:rFonts w:cs="Times New Roman"/>
                <w:b/>
                <w:bCs/>
                <w:color w:val="auto"/>
                <w:sz w:val="24"/>
                <w:szCs w:val="24"/>
              </w:rPr>
            </w:pPr>
          </w:p>
          <w:p w14:paraId="40B56C34">
            <w:pPr>
              <w:jc w:val="center"/>
              <w:rPr>
                <w:rFonts w:cs="Times New Roman"/>
                <w:b/>
                <w:bCs/>
                <w:color w:val="auto"/>
                <w:sz w:val="24"/>
                <w:szCs w:val="24"/>
              </w:rPr>
            </w:pPr>
          </w:p>
          <w:p w14:paraId="32D0D8E3">
            <w:pPr>
              <w:jc w:val="center"/>
              <w:rPr>
                <w:rFonts w:cs="Times New Roman"/>
                <w:b/>
                <w:bCs/>
                <w:color w:val="auto"/>
                <w:sz w:val="24"/>
                <w:szCs w:val="24"/>
              </w:rPr>
            </w:pPr>
          </w:p>
          <w:p w14:paraId="4C68116A">
            <w:pPr>
              <w:jc w:val="center"/>
              <w:rPr>
                <w:rFonts w:cs="Times New Roman"/>
                <w:b/>
                <w:bCs/>
                <w:color w:val="auto"/>
                <w:sz w:val="24"/>
                <w:szCs w:val="24"/>
              </w:rPr>
            </w:pPr>
          </w:p>
          <w:p w14:paraId="50C566E4">
            <w:pPr>
              <w:jc w:val="center"/>
              <w:rPr>
                <w:rFonts w:cs="Times New Roman"/>
                <w:b/>
                <w:bCs/>
                <w:color w:val="auto"/>
                <w:sz w:val="24"/>
                <w:szCs w:val="24"/>
              </w:rPr>
            </w:pPr>
          </w:p>
          <w:p w14:paraId="19656CFF">
            <w:pPr>
              <w:jc w:val="center"/>
              <w:rPr>
                <w:rFonts w:cs="Times New Roman"/>
                <w:b/>
                <w:bCs/>
                <w:color w:val="auto"/>
                <w:sz w:val="24"/>
                <w:szCs w:val="24"/>
              </w:rPr>
            </w:pPr>
          </w:p>
          <w:p w14:paraId="09F95F45">
            <w:pPr>
              <w:jc w:val="center"/>
              <w:rPr>
                <w:rFonts w:cs="Times New Roman"/>
                <w:b/>
                <w:bCs/>
                <w:color w:val="auto"/>
                <w:sz w:val="24"/>
                <w:szCs w:val="24"/>
              </w:rPr>
            </w:pPr>
            <w:r>
              <w:rPr>
                <w:rFonts w:cs="Times New Roman"/>
                <w:b/>
                <w:bCs/>
                <w:color w:val="auto"/>
                <w:sz w:val="24"/>
                <w:szCs w:val="24"/>
              </w:rPr>
              <w:t>其他符合性分析</w:t>
            </w:r>
          </w:p>
          <w:p w14:paraId="2BAAA388">
            <w:pPr>
              <w:jc w:val="center"/>
              <w:rPr>
                <w:rFonts w:cs="Times New Roman"/>
                <w:b/>
                <w:bCs/>
                <w:color w:val="auto"/>
                <w:sz w:val="24"/>
                <w:szCs w:val="24"/>
              </w:rPr>
            </w:pPr>
          </w:p>
          <w:p w14:paraId="3BFE221B">
            <w:pPr>
              <w:jc w:val="center"/>
              <w:rPr>
                <w:rFonts w:cs="Times New Roman"/>
                <w:b/>
                <w:bCs/>
                <w:color w:val="auto"/>
                <w:sz w:val="24"/>
                <w:szCs w:val="24"/>
              </w:rPr>
            </w:pPr>
          </w:p>
          <w:p w14:paraId="74FC2062">
            <w:pPr>
              <w:jc w:val="center"/>
              <w:rPr>
                <w:rFonts w:cs="Times New Roman"/>
                <w:b/>
                <w:bCs/>
                <w:color w:val="auto"/>
                <w:sz w:val="24"/>
                <w:szCs w:val="24"/>
              </w:rPr>
            </w:pPr>
          </w:p>
          <w:p w14:paraId="04D8BF76">
            <w:pPr>
              <w:jc w:val="center"/>
              <w:rPr>
                <w:rFonts w:cs="Times New Roman"/>
                <w:b/>
                <w:bCs/>
                <w:color w:val="auto"/>
                <w:sz w:val="24"/>
                <w:szCs w:val="24"/>
              </w:rPr>
            </w:pPr>
          </w:p>
          <w:p w14:paraId="0A2AA57F">
            <w:pPr>
              <w:jc w:val="center"/>
              <w:rPr>
                <w:rFonts w:cs="Times New Roman"/>
                <w:b/>
                <w:bCs/>
                <w:color w:val="auto"/>
                <w:sz w:val="24"/>
                <w:szCs w:val="24"/>
              </w:rPr>
            </w:pPr>
          </w:p>
          <w:p w14:paraId="2457BD70">
            <w:pPr>
              <w:jc w:val="center"/>
              <w:rPr>
                <w:rFonts w:cs="Times New Roman"/>
                <w:b/>
                <w:bCs/>
                <w:color w:val="auto"/>
                <w:sz w:val="24"/>
                <w:szCs w:val="24"/>
              </w:rPr>
            </w:pPr>
          </w:p>
          <w:p w14:paraId="7E0EEFFC">
            <w:pPr>
              <w:jc w:val="center"/>
              <w:rPr>
                <w:rFonts w:cs="Times New Roman"/>
                <w:b/>
                <w:bCs/>
                <w:color w:val="auto"/>
                <w:sz w:val="24"/>
                <w:szCs w:val="24"/>
              </w:rPr>
            </w:pPr>
          </w:p>
          <w:p w14:paraId="167D6834">
            <w:pPr>
              <w:jc w:val="center"/>
              <w:rPr>
                <w:rFonts w:cs="Times New Roman"/>
                <w:b/>
                <w:bCs/>
                <w:color w:val="auto"/>
                <w:sz w:val="24"/>
                <w:szCs w:val="24"/>
              </w:rPr>
            </w:pPr>
          </w:p>
          <w:p w14:paraId="53A5837A">
            <w:pPr>
              <w:jc w:val="center"/>
              <w:rPr>
                <w:rFonts w:cs="Times New Roman"/>
                <w:b/>
                <w:bCs/>
                <w:color w:val="auto"/>
                <w:sz w:val="24"/>
                <w:szCs w:val="24"/>
              </w:rPr>
            </w:pPr>
          </w:p>
          <w:p w14:paraId="0FA83C34">
            <w:pPr>
              <w:jc w:val="center"/>
              <w:rPr>
                <w:rFonts w:cs="Times New Roman"/>
                <w:b/>
                <w:bCs/>
                <w:color w:val="auto"/>
                <w:sz w:val="24"/>
                <w:szCs w:val="24"/>
              </w:rPr>
            </w:pPr>
          </w:p>
          <w:p w14:paraId="6A87518C">
            <w:pPr>
              <w:jc w:val="center"/>
              <w:rPr>
                <w:rFonts w:cs="Times New Roman"/>
                <w:b/>
                <w:bCs/>
                <w:color w:val="auto"/>
                <w:sz w:val="24"/>
                <w:szCs w:val="24"/>
              </w:rPr>
            </w:pPr>
          </w:p>
          <w:p w14:paraId="31A63F0E">
            <w:pPr>
              <w:jc w:val="center"/>
              <w:rPr>
                <w:rFonts w:cs="Times New Roman"/>
                <w:b/>
                <w:bCs/>
                <w:color w:val="auto"/>
                <w:sz w:val="24"/>
                <w:szCs w:val="24"/>
              </w:rPr>
            </w:pPr>
          </w:p>
          <w:p w14:paraId="02982786">
            <w:pPr>
              <w:jc w:val="center"/>
              <w:rPr>
                <w:rFonts w:cs="Times New Roman"/>
                <w:b/>
                <w:bCs/>
                <w:color w:val="auto"/>
                <w:sz w:val="24"/>
                <w:szCs w:val="24"/>
              </w:rPr>
            </w:pPr>
          </w:p>
          <w:p w14:paraId="6045E7D1">
            <w:pPr>
              <w:jc w:val="center"/>
              <w:rPr>
                <w:rFonts w:cs="Times New Roman"/>
                <w:b/>
                <w:bCs/>
                <w:color w:val="auto"/>
                <w:sz w:val="24"/>
                <w:szCs w:val="24"/>
              </w:rPr>
            </w:pPr>
          </w:p>
          <w:p w14:paraId="56E7E463">
            <w:pPr>
              <w:jc w:val="center"/>
              <w:rPr>
                <w:rFonts w:cs="Times New Roman"/>
                <w:b/>
                <w:bCs/>
                <w:color w:val="auto"/>
                <w:sz w:val="24"/>
                <w:szCs w:val="24"/>
              </w:rPr>
            </w:pPr>
          </w:p>
          <w:p w14:paraId="06ADE368">
            <w:pPr>
              <w:jc w:val="center"/>
              <w:rPr>
                <w:rFonts w:cs="Times New Roman"/>
                <w:b/>
                <w:bCs/>
                <w:color w:val="auto"/>
                <w:sz w:val="24"/>
                <w:szCs w:val="24"/>
              </w:rPr>
            </w:pPr>
          </w:p>
          <w:p w14:paraId="18B02E8C">
            <w:pPr>
              <w:jc w:val="center"/>
              <w:rPr>
                <w:rFonts w:cs="Times New Roman"/>
                <w:b/>
                <w:bCs/>
                <w:color w:val="auto"/>
                <w:sz w:val="24"/>
                <w:szCs w:val="24"/>
              </w:rPr>
            </w:pPr>
          </w:p>
          <w:p w14:paraId="7D0C1740">
            <w:pPr>
              <w:jc w:val="center"/>
              <w:rPr>
                <w:rFonts w:cs="Times New Roman"/>
                <w:b/>
                <w:bCs/>
                <w:color w:val="auto"/>
                <w:sz w:val="24"/>
                <w:szCs w:val="24"/>
              </w:rPr>
            </w:pPr>
          </w:p>
          <w:p w14:paraId="79A7F206">
            <w:pPr>
              <w:jc w:val="center"/>
              <w:rPr>
                <w:rFonts w:cs="Times New Roman"/>
                <w:b/>
                <w:bCs/>
                <w:color w:val="auto"/>
                <w:sz w:val="24"/>
                <w:szCs w:val="24"/>
              </w:rPr>
            </w:pPr>
          </w:p>
          <w:p w14:paraId="5FC3B6DC">
            <w:pPr>
              <w:jc w:val="center"/>
              <w:rPr>
                <w:rFonts w:cs="Times New Roman"/>
                <w:b/>
                <w:bCs/>
                <w:color w:val="auto"/>
                <w:sz w:val="24"/>
                <w:szCs w:val="24"/>
              </w:rPr>
            </w:pPr>
          </w:p>
          <w:p w14:paraId="21BEAB38">
            <w:pPr>
              <w:jc w:val="center"/>
              <w:rPr>
                <w:rFonts w:cs="Times New Roman"/>
                <w:b/>
                <w:bCs/>
                <w:color w:val="auto"/>
                <w:sz w:val="24"/>
                <w:szCs w:val="24"/>
              </w:rPr>
            </w:pPr>
          </w:p>
          <w:p w14:paraId="06CD8A4D">
            <w:pPr>
              <w:jc w:val="center"/>
              <w:rPr>
                <w:rFonts w:cs="Times New Roman"/>
                <w:b/>
                <w:bCs/>
                <w:color w:val="auto"/>
                <w:sz w:val="24"/>
                <w:szCs w:val="24"/>
              </w:rPr>
            </w:pPr>
          </w:p>
          <w:p w14:paraId="64EF6BAD">
            <w:pPr>
              <w:jc w:val="center"/>
              <w:rPr>
                <w:rFonts w:cs="Times New Roman"/>
                <w:b/>
                <w:bCs/>
                <w:color w:val="auto"/>
                <w:sz w:val="24"/>
                <w:szCs w:val="24"/>
              </w:rPr>
            </w:pPr>
          </w:p>
          <w:p w14:paraId="2330C770">
            <w:pPr>
              <w:jc w:val="center"/>
              <w:rPr>
                <w:rFonts w:cs="Times New Roman"/>
                <w:b/>
                <w:bCs/>
                <w:color w:val="auto"/>
                <w:sz w:val="24"/>
                <w:szCs w:val="24"/>
              </w:rPr>
            </w:pPr>
          </w:p>
          <w:p w14:paraId="4B4C25E9">
            <w:pPr>
              <w:jc w:val="center"/>
              <w:rPr>
                <w:rFonts w:cs="Times New Roman"/>
                <w:b/>
                <w:bCs/>
                <w:color w:val="auto"/>
                <w:sz w:val="24"/>
                <w:szCs w:val="24"/>
              </w:rPr>
            </w:pPr>
          </w:p>
          <w:p w14:paraId="255FE7C4">
            <w:pPr>
              <w:jc w:val="center"/>
              <w:rPr>
                <w:rFonts w:cs="Times New Roman"/>
                <w:b/>
                <w:bCs/>
                <w:color w:val="auto"/>
                <w:sz w:val="24"/>
                <w:szCs w:val="24"/>
              </w:rPr>
            </w:pPr>
          </w:p>
          <w:p w14:paraId="47DBB767">
            <w:pPr>
              <w:jc w:val="center"/>
              <w:rPr>
                <w:rFonts w:cs="Times New Roman"/>
                <w:b/>
                <w:bCs/>
                <w:color w:val="auto"/>
                <w:sz w:val="24"/>
                <w:szCs w:val="24"/>
              </w:rPr>
            </w:pPr>
          </w:p>
          <w:p w14:paraId="0002A1B5">
            <w:pPr>
              <w:jc w:val="center"/>
              <w:rPr>
                <w:rFonts w:cs="Times New Roman"/>
                <w:b/>
                <w:bCs/>
                <w:color w:val="auto"/>
                <w:sz w:val="24"/>
                <w:szCs w:val="24"/>
              </w:rPr>
            </w:pPr>
          </w:p>
          <w:p w14:paraId="27159311">
            <w:pPr>
              <w:jc w:val="center"/>
              <w:rPr>
                <w:rFonts w:cs="Times New Roman"/>
                <w:b/>
                <w:bCs/>
                <w:color w:val="auto"/>
                <w:sz w:val="24"/>
                <w:szCs w:val="24"/>
              </w:rPr>
            </w:pPr>
          </w:p>
          <w:p w14:paraId="2EC60737">
            <w:pPr>
              <w:jc w:val="center"/>
              <w:rPr>
                <w:rFonts w:cs="Times New Roman"/>
                <w:b/>
                <w:bCs/>
                <w:color w:val="auto"/>
                <w:sz w:val="24"/>
                <w:szCs w:val="24"/>
              </w:rPr>
            </w:pPr>
          </w:p>
          <w:p w14:paraId="14EBE5FE">
            <w:pPr>
              <w:jc w:val="center"/>
              <w:rPr>
                <w:rFonts w:cs="Times New Roman"/>
                <w:b/>
                <w:bCs/>
                <w:color w:val="auto"/>
                <w:sz w:val="24"/>
                <w:szCs w:val="24"/>
              </w:rPr>
            </w:pPr>
          </w:p>
          <w:p w14:paraId="1357D9DB">
            <w:pPr>
              <w:jc w:val="center"/>
              <w:rPr>
                <w:rFonts w:cs="Times New Roman"/>
                <w:b/>
                <w:bCs/>
                <w:color w:val="auto"/>
                <w:sz w:val="24"/>
                <w:szCs w:val="24"/>
              </w:rPr>
            </w:pPr>
          </w:p>
          <w:p w14:paraId="1E5279BF">
            <w:pPr>
              <w:jc w:val="center"/>
              <w:rPr>
                <w:rFonts w:cs="Times New Roman"/>
                <w:b/>
                <w:bCs/>
                <w:color w:val="auto"/>
                <w:sz w:val="24"/>
                <w:szCs w:val="24"/>
              </w:rPr>
            </w:pPr>
          </w:p>
          <w:p w14:paraId="1CADA266">
            <w:pPr>
              <w:jc w:val="center"/>
              <w:rPr>
                <w:rFonts w:cs="Times New Roman"/>
                <w:b/>
                <w:bCs/>
                <w:color w:val="auto"/>
                <w:sz w:val="24"/>
                <w:szCs w:val="24"/>
              </w:rPr>
            </w:pPr>
          </w:p>
          <w:p w14:paraId="2FF64EFF">
            <w:pPr>
              <w:jc w:val="center"/>
              <w:rPr>
                <w:rFonts w:cs="Times New Roman"/>
                <w:b/>
                <w:bCs/>
                <w:color w:val="auto"/>
                <w:sz w:val="24"/>
                <w:szCs w:val="24"/>
              </w:rPr>
            </w:pPr>
          </w:p>
          <w:p w14:paraId="57C91280">
            <w:pPr>
              <w:jc w:val="center"/>
              <w:rPr>
                <w:rFonts w:cs="Times New Roman"/>
                <w:b/>
                <w:bCs/>
                <w:color w:val="auto"/>
                <w:sz w:val="24"/>
                <w:szCs w:val="24"/>
              </w:rPr>
            </w:pPr>
          </w:p>
          <w:p w14:paraId="1A0D1DAB">
            <w:pPr>
              <w:jc w:val="center"/>
              <w:rPr>
                <w:rFonts w:cs="Times New Roman"/>
                <w:b/>
                <w:bCs/>
                <w:color w:val="auto"/>
                <w:sz w:val="24"/>
                <w:szCs w:val="24"/>
              </w:rPr>
            </w:pPr>
          </w:p>
          <w:p w14:paraId="0744FE9F">
            <w:pPr>
              <w:jc w:val="center"/>
              <w:rPr>
                <w:rFonts w:cs="Times New Roman"/>
                <w:b/>
                <w:bCs/>
                <w:color w:val="auto"/>
                <w:sz w:val="24"/>
                <w:szCs w:val="24"/>
              </w:rPr>
            </w:pPr>
          </w:p>
          <w:p w14:paraId="78B8FDA6">
            <w:pPr>
              <w:jc w:val="center"/>
              <w:rPr>
                <w:rFonts w:cs="Times New Roman"/>
                <w:b/>
                <w:bCs/>
                <w:color w:val="auto"/>
                <w:sz w:val="24"/>
                <w:szCs w:val="24"/>
              </w:rPr>
            </w:pPr>
          </w:p>
          <w:p w14:paraId="09DEB1B8">
            <w:pPr>
              <w:jc w:val="center"/>
              <w:rPr>
                <w:rFonts w:cs="Times New Roman"/>
                <w:b/>
                <w:bCs/>
                <w:color w:val="auto"/>
                <w:sz w:val="24"/>
                <w:szCs w:val="24"/>
              </w:rPr>
            </w:pPr>
          </w:p>
          <w:p w14:paraId="6C514F74">
            <w:pPr>
              <w:jc w:val="center"/>
              <w:rPr>
                <w:rFonts w:cs="Times New Roman"/>
                <w:b/>
                <w:bCs/>
                <w:color w:val="auto"/>
                <w:sz w:val="24"/>
                <w:szCs w:val="24"/>
              </w:rPr>
            </w:pPr>
          </w:p>
          <w:p w14:paraId="6898E6AC">
            <w:pPr>
              <w:jc w:val="center"/>
              <w:rPr>
                <w:rFonts w:cs="Times New Roman"/>
                <w:b/>
                <w:bCs/>
                <w:color w:val="auto"/>
                <w:sz w:val="24"/>
                <w:szCs w:val="24"/>
              </w:rPr>
            </w:pPr>
          </w:p>
          <w:p w14:paraId="6373B35B">
            <w:pPr>
              <w:jc w:val="center"/>
              <w:rPr>
                <w:rFonts w:cs="Times New Roman"/>
                <w:b/>
                <w:bCs/>
                <w:color w:val="auto"/>
                <w:sz w:val="24"/>
                <w:szCs w:val="24"/>
              </w:rPr>
            </w:pPr>
          </w:p>
          <w:p w14:paraId="7F617392">
            <w:pPr>
              <w:jc w:val="center"/>
              <w:rPr>
                <w:rFonts w:cs="Times New Roman"/>
                <w:b/>
                <w:bCs/>
                <w:color w:val="auto"/>
                <w:sz w:val="24"/>
                <w:szCs w:val="24"/>
              </w:rPr>
            </w:pPr>
          </w:p>
          <w:p w14:paraId="04C91A72">
            <w:pPr>
              <w:jc w:val="center"/>
              <w:rPr>
                <w:rFonts w:cs="Times New Roman"/>
                <w:b/>
                <w:bCs/>
                <w:color w:val="auto"/>
                <w:sz w:val="24"/>
                <w:szCs w:val="24"/>
              </w:rPr>
            </w:pPr>
          </w:p>
          <w:p w14:paraId="72AD322E">
            <w:pPr>
              <w:jc w:val="center"/>
              <w:rPr>
                <w:rFonts w:cs="Times New Roman"/>
                <w:b/>
                <w:bCs/>
                <w:color w:val="auto"/>
                <w:sz w:val="24"/>
                <w:szCs w:val="24"/>
              </w:rPr>
            </w:pPr>
            <w:r>
              <w:rPr>
                <w:rFonts w:cs="Times New Roman"/>
                <w:b/>
                <w:bCs/>
                <w:color w:val="auto"/>
                <w:sz w:val="24"/>
                <w:szCs w:val="24"/>
              </w:rPr>
              <w:t>其他符合性分析</w:t>
            </w:r>
          </w:p>
        </w:tc>
        <w:tc>
          <w:tcPr>
            <w:tcW w:w="8227" w:type="dxa"/>
            <w:vAlign w:val="center"/>
          </w:tcPr>
          <w:p w14:paraId="7291647B">
            <w:pPr>
              <w:spacing w:line="360" w:lineRule="auto"/>
              <w:ind w:firstLine="482" w:firstLineChars="200"/>
              <w:rPr>
                <w:rFonts w:cs="Times New Roman"/>
                <w:b/>
                <w:bCs/>
                <w:color w:val="auto"/>
                <w:sz w:val="24"/>
                <w:szCs w:val="24"/>
              </w:rPr>
            </w:pPr>
            <w:r>
              <w:rPr>
                <w:rFonts w:cs="Times New Roman"/>
                <w:b/>
                <w:bCs/>
                <w:color w:val="auto"/>
                <w:sz w:val="24"/>
                <w:szCs w:val="24"/>
              </w:rPr>
              <w:t>7、与大气污染防治相关规划符合性分析</w:t>
            </w:r>
          </w:p>
          <w:p w14:paraId="4E8FFF07">
            <w:pPr>
              <w:spacing w:line="360" w:lineRule="auto"/>
              <w:ind w:firstLine="480" w:firstLineChars="200"/>
              <w:rPr>
                <w:rFonts w:cs="Times New Roman"/>
                <w:color w:val="auto"/>
                <w:sz w:val="24"/>
                <w:szCs w:val="24"/>
              </w:rPr>
            </w:pPr>
            <w:r>
              <w:rPr>
                <w:rFonts w:cs="Times New Roman"/>
                <w:color w:val="auto"/>
                <w:sz w:val="24"/>
                <w:szCs w:val="24"/>
              </w:rPr>
              <w:t>与大气污染防治相关规划符合性分析见下表。</w:t>
            </w:r>
          </w:p>
          <w:p w14:paraId="65C09B29">
            <w:pPr>
              <w:spacing w:line="360" w:lineRule="auto"/>
              <w:jc w:val="center"/>
              <w:rPr>
                <w:rFonts w:cs="Times New Roman"/>
                <w:b/>
                <w:bCs/>
                <w:color w:val="auto"/>
                <w:sz w:val="24"/>
                <w:szCs w:val="24"/>
              </w:rPr>
            </w:pPr>
            <w:r>
              <w:rPr>
                <w:rFonts w:cs="Times New Roman"/>
                <w:b/>
                <w:bCs/>
                <w:color w:val="auto"/>
                <w:sz w:val="24"/>
                <w:szCs w:val="24"/>
              </w:rPr>
              <w:t>表1-</w:t>
            </w:r>
            <w:r>
              <w:rPr>
                <w:rFonts w:hint="eastAsia" w:cs="Times New Roman"/>
                <w:b/>
                <w:bCs/>
                <w:color w:val="auto"/>
                <w:sz w:val="24"/>
                <w:szCs w:val="24"/>
                <w:lang w:val="en-US" w:eastAsia="zh-CN"/>
              </w:rPr>
              <w:t>8</w:t>
            </w:r>
            <w:r>
              <w:rPr>
                <w:rFonts w:cs="Times New Roman"/>
                <w:b/>
                <w:bCs/>
                <w:color w:val="auto"/>
                <w:sz w:val="24"/>
                <w:szCs w:val="24"/>
              </w:rPr>
              <w:t xml:space="preserve">  大气污染防治相关规划符合性</w:t>
            </w:r>
          </w:p>
          <w:tbl>
            <w:tblPr>
              <w:tblStyle w:val="24"/>
              <w:tblW w:w="8080"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
            <w:tblGrid>
              <w:gridCol w:w="494"/>
              <w:gridCol w:w="1529"/>
              <w:gridCol w:w="3822"/>
              <w:gridCol w:w="1637"/>
              <w:gridCol w:w="598"/>
            </w:tblGrid>
            <w:tr w14:paraId="6608730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305" w:type="pct"/>
                  <w:tcBorders>
                    <w:tl2br w:val="nil"/>
                    <w:tr2bl w:val="nil"/>
                  </w:tcBorders>
                  <w:vAlign w:val="center"/>
                </w:tcPr>
                <w:p w14:paraId="3DD63AAC">
                  <w:pPr>
                    <w:jc w:val="center"/>
                    <w:rPr>
                      <w:rFonts w:cs="Times New Roman"/>
                      <w:b/>
                      <w:color w:val="auto"/>
                      <w:szCs w:val="21"/>
                    </w:rPr>
                  </w:pPr>
                  <w:r>
                    <w:rPr>
                      <w:rFonts w:cs="Times New Roman"/>
                      <w:b/>
                      <w:color w:val="auto"/>
                      <w:szCs w:val="21"/>
                    </w:rPr>
                    <w:t>序号</w:t>
                  </w:r>
                </w:p>
              </w:tc>
              <w:tc>
                <w:tcPr>
                  <w:tcW w:w="946" w:type="pct"/>
                  <w:tcBorders>
                    <w:tl2br w:val="nil"/>
                    <w:tr2bl w:val="nil"/>
                  </w:tcBorders>
                  <w:vAlign w:val="center"/>
                </w:tcPr>
                <w:p w14:paraId="32F18492">
                  <w:pPr>
                    <w:jc w:val="center"/>
                    <w:rPr>
                      <w:rFonts w:cs="Times New Roman"/>
                      <w:b/>
                      <w:color w:val="auto"/>
                      <w:szCs w:val="21"/>
                    </w:rPr>
                  </w:pPr>
                  <w:r>
                    <w:rPr>
                      <w:rFonts w:cs="Times New Roman"/>
                      <w:b/>
                      <w:color w:val="auto"/>
                      <w:szCs w:val="21"/>
                    </w:rPr>
                    <w:t>文件名称</w:t>
                  </w:r>
                </w:p>
              </w:tc>
              <w:tc>
                <w:tcPr>
                  <w:tcW w:w="2365" w:type="pct"/>
                  <w:tcBorders>
                    <w:tl2br w:val="nil"/>
                    <w:tr2bl w:val="nil"/>
                  </w:tcBorders>
                  <w:vAlign w:val="center"/>
                </w:tcPr>
                <w:p w14:paraId="07F898F0">
                  <w:pPr>
                    <w:jc w:val="center"/>
                    <w:rPr>
                      <w:rFonts w:cs="Times New Roman"/>
                      <w:b/>
                      <w:color w:val="auto"/>
                      <w:szCs w:val="21"/>
                    </w:rPr>
                  </w:pPr>
                  <w:r>
                    <w:rPr>
                      <w:rFonts w:cs="Times New Roman"/>
                      <w:b/>
                      <w:color w:val="auto"/>
                      <w:szCs w:val="21"/>
                    </w:rPr>
                    <w:t>相关要求</w:t>
                  </w:r>
                </w:p>
              </w:tc>
              <w:tc>
                <w:tcPr>
                  <w:tcW w:w="1012" w:type="pct"/>
                  <w:tcBorders>
                    <w:tl2br w:val="nil"/>
                    <w:tr2bl w:val="nil"/>
                  </w:tcBorders>
                  <w:vAlign w:val="center"/>
                </w:tcPr>
                <w:p w14:paraId="2256E55A">
                  <w:pPr>
                    <w:jc w:val="center"/>
                    <w:rPr>
                      <w:rFonts w:cs="Times New Roman"/>
                      <w:b/>
                      <w:color w:val="auto"/>
                      <w:szCs w:val="21"/>
                    </w:rPr>
                  </w:pPr>
                  <w:r>
                    <w:rPr>
                      <w:rFonts w:cs="Times New Roman"/>
                      <w:b/>
                      <w:color w:val="auto"/>
                      <w:szCs w:val="21"/>
                    </w:rPr>
                    <w:t>项目相关情况</w:t>
                  </w:r>
                </w:p>
              </w:tc>
              <w:tc>
                <w:tcPr>
                  <w:tcW w:w="370" w:type="pct"/>
                  <w:tcBorders>
                    <w:tl2br w:val="nil"/>
                    <w:tr2bl w:val="nil"/>
                  </w:tcBorders>
                  <w:vAlign w:val="center"/>
                </w:tcPr>
                <w:p w14:paraId="09B92FA2">
                  <w:pPr>
                    <w:jc w:val="center"/>
                    <w:rPr>
                      <w:rFonts w:cs="Times New Roman"/>
                      <w:b/>
                      <w:color w:val="auto"/>
                      <w:szCs w:val="21"/>
                    </w:rPr>
                  </w:pPr>
                  <w:r>
                    <w:rPr>
                      <w:rFonts w:cs="Times New Roman"/>
                      <w:b/>
                      <w:color w:val="auto"/>
                      <w:szCs w:val="21"/>
                    </w:rPr>
                    <w:t>符合性</w:t>
                  </w:r>
                </w:p>
              </w:tc>
            </w:tr>
            <w:tr w14:paraId="0D2F652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305" w:type="pct"/>
                  <w:tcBorders>
                    <w:tl2br w:val="nil"/>
                    <w:tr2bl w:val="nil"/>
                  </w:tcBorders>
                  <w:vAlign w:val="center"/>
                </w:tcPr>
                <w:p w14:paraId="6805143D">
                  <w:pPr>
                    <w:jc w:val="center"/>
                    <w:rPr>
                      <w:rFonts w:cs="Times New Roman"/>
                      <w:bCs/>
                      <w:color w:val="auto"/>
                      <w:szCs w:val="21"/>
                    </w:rPr>
                  </w:pPr>
                  <w:r>
                    <w:rPr>
                      <w:rFonts w:cs="Times New Roman"/>
                      <w:bCs/>
                      <w:color w:val="auto"/>
                      <w:szCs w:val="21"/>
                    </w:rPr>
                    <w:t>1</w:t>
                  </w:r>
                </w:p>
              </w:tc>
              <w:tc>
                <w:tcPr>
                  <w:tcW w:w="946" w:type="pct"/>
                  <w:tcBorders>
                    <w:tl2br w:val="nil"/>
                    <w:tr2bl w:val="nil"/>
                  </w:tcBorders>
                  <w:vAlign w:val="center"/>
                </w:tcPr>
                <w:p w14:paraId="2CCAF4D9">
                  <w:pPr>
                    <w:jc w:val="center"/>
                    <w:rPr>
                      <w:rFonts w:cs="Times New Roman"/>
                      <w:bCs/>
                      <w:color w:val="auto"/>
                      <w:szCs w:val="21"/>
                    </w:rPr>
                  </w:pPr>
                  <w:r>
                    <w:rPr>
                      <w:rFonts w:cs="Times New Roman"/>
                      <w:bCs/>
                      <w:color w:val="auto"/>
                      <w:szCs w:val="21"/>
                    </w:rPr>
                    <w:t>《中华人民共和国大气污染防治法》（2018年修正）</w:t>
                  </w:r>
                </w:p>
              </w:tc>
              <w:tc>
                <w:tcPr>
                  <w:tcW w:w="2365" w:type="pct"/>
                  <w:tcBorders>
                    <w:tl2br w:val="nil"/>
                    <w:tr2bl w:val="nil"/>
                  </w:tcBorders>
                  <w:vAlign w:val="center"/>
                </w:tcPr>
                <w:p w14:paraId="3CBB39C9">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cs="Times New Roman"/>
                      <w:bCs/>
                      <w:color w:val="auto"/>
                      <w:szCs w:val="21"/>
                    </w:rPr>
                  </w:pPr>
                  <w:r>
                    <w:rPr>
                      <w:rFonts w:cs="Times New Roman"/>
                      <w:bCs/>
                      <w:color w:val="auto"/>
                      <w:szCs w:val="21"/>
                    </w:rPr>
                    <w:t>第四十八条</w:t>
                  </w:r>
                </w:p>
                <w:p w14:paraId="1FB97307">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cs="Times New Roman"/>
                      <w:bCs/>
                      <w:color w:val="auto"/>
                      <w:szCs w:val="21"/>
                    </w:rPr>
                  </w:pPr>
                  <w:r>
                    <w:rPr>
                      <w:rFonts w:cs="Times New Roman"/>
                      <w:bCs/>
                      <w:color w:val="auto"/>
                      <w:szCs w:val="21"/>
                    </w:rPr>
                    <w:t>钢铁、建材、有色金属、石油、化工、制药、矿产开采等企业，应当加强精细化管理，采取集中收集处理等措施，严格控制粉尘和气态污染物的排放。工业生产企业应当采取密闭、围挡、遮盖、清扫、洒水等措施，减少内部物料的堆存、传输、装卸等环节产生的粉尘和气态污染物的排放。</w:t>
                  </w:r>
                </w:p>
              </w:tc>
              <w:tc>
                <w:tcPr>
                  <w:tcW w:w="1012" w:type="pct"/>
                  <w:tcBorders>
                    <w:tl2br w:val="nil"/>
                    <w:tr2bl w:val="nil"/>
                  </w:tcBorders>
                  <w:vAlign w:val="center"/>
                </w:tcPr>
                <w:p w14:paraId="49645C8A">
                  <w:pPr>
                    <w:widowControl/>
                    <w:jc w:val="center"/>
                    <w:rPr>
                      <w:rFonts w:cs="Times New Roman"/>
                      <w:bCs/>
                      <w:color w:val="auto"/>
                      <w:szCs w:val="21"/>
                    </w:rPr>
                  </w:pPr>
                  <w:r>
                    <w:rPr>
                      <w:rFonts w:cs="Times New Roman"/>
                      <w:bCs/>
                      <w:color w:val="auto"/>
                      <w:szCs w:val="21"/>
                    </w:rPr>
                    <w:t>项目运营期产生的大气污染物主要为粉尘，</w:t>
                  </w:r>
                  <w:r>
                    <w:rPr>
                      <w:rFonts w:cs="Times New Roman"/>
                      <w:color w:val="auto"/>
                      <w:szCs w:val="21"/>
                    </w:rPr>
                    <w:t>项目石材加工粉尘经厂房阻隔和湿法作业后无组织排放；食堂油烟经自带油烟净化功能的抽油烟机处理后外排。</w:t>
                  </w:r>
                  <w:r>
                    <w:rPr>
                      <w:rFonts w:cs="Times New Roman"/>
                      <w:bCs/>
                      <w:color w:val="auto"/>
                      <w:szCs w:val="21"/>
                    </w:rPr>
                    <w:t>采取以上措施后可得到妥善处置</w:t>
                  </w:r>
                </w:p>
              </w:tc>
              <w:tc>
                <w:tcPr>
                  <w:tcW w:w="370" w:type="pct"/>
                  <w:tcBorders>
                    <w:tl2br w:val="nil"/>
                    <w:tr2bl w:val="nil"/>
                  </w:tcBorders>
                  <w:vAlign w:val="center"/>
                </w:tcPr>
                <w:p w14:paraId="08F7BBCE">
                  <w:pPr>
                    <w:jc w:val="center"/>
                    <w:rPr>
                      <w:rFonts w:cs="Times New Roman"/>
                      <w:bCs/>
                      <w:color w:val="auto"/>
                      <w:szCs w:val="21"/>
                    </w:rPr>
                  </w:pPr>
                  <w:r>
                    <w:rPr>
                      <w:rFonts w:cs="Times New Roman"/>
                      <w:bCs/>
                      <w:color w:val="auto"/>
                      <w:szCs w:val="21"/>
                    </w:rPr>
                    <w:t>符合</w:t>
                  </w:r>
                </w:p>
              </w:tc>
            </w:tr>
            <w:tr w14:paraId="60AEBBA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90" w:hRule="atLeast"/>
                <w:jc w:val="center"/>
              </w:trPr>
              <w:tc>
                <w:tcPr>
                  <w:tcW w:w="305" w:type="pct"/>
                  <w:tcBorders>
                    <w:tl2br w:val="nil"/>
                    <w:tr2bl w:val="nil"/>
                  </w:tcBorders>
                  <w:vAlign w:val="center"/>
                </w:tcPr>
                <w:p w14:paraId="39AE430A">
                  <w:pPr>
                    <w:jc w:val="center"/>
                    <w:rPr>
                      <w:rFonts w:hint="eastAsia" w:eastAsia="宋体" w:cs="Times New Roman"/>
                      <w:bCs/>
                      <w:color w:val="auto"/>
                      <w:szCs w:val="21"/>
                      <w:lang w:val="en-US" w:eastAsia="zh-CN"/>
                    </w:rPr>
                  </w:pPr>
                  <w:r>
                    <w:rPr>
                      <w:rFonts w:hint="eastAsia" w:cs="Times New Roman"/>
                      <w:bCs/>
                      <w:color w:val="auto"/>
                      <w:szCs w:val="21"/>
                      <w:lang w:val="en-US" w:eastAsia="zh-CN"/>
                    </w:rPr>
                    <w:t>2</w:t>
                  </w:r>
                </w:p>
              </w:tc>
              <w:tc>
                <w:tcPr>
                  <w:tcW w:w="946" w:type="pct"/>
                  <w:vMerge w:val="restart"/>
                  <w:tcBorders>
                    <w:tl2br w:val="nil"/>
                    <w:tr2bl w:val="nil"/>
                  </w:tcBorders>
                  <w:vAlign w:val="center"/>
                </w:tcPr>
                <w:p w14:paraId="7C5B3159">
                  <w:pPr>
                    <w:jc w:val="center"/>
                    <w:rPr>
                      <w:rFonts w:cs="Times New Roman"/>
                      <w:bCs/>
                      <w:color w:val="auto"/>
                      <w:szCs w:val="21"/>
                    </w:rPr>
                  </w:pPr>
                  <w:r>
                    <w:rPr>
                      <w:rFonts w:hint="eastAsia" w:cs="Times New Roman"/>
                      <w:bCs/>
                      <w:color w:val="auto"/>
                      <w:szCs w:val="21"/>
                      <w:lang w:val="en-US" w:eastAsia="zh-CN"/>
                    </w:rPr>
                    <w:t>四川省人民政府《关于印发四川省打赢蓝天保卫战等九个实施方案的通知》（川府发〔2019〕4号</w:t>
                  </w:r>
                </w:p>
              </w:tc>
              <w:tc>
                <w:tcPr>
                  <w:tcW w:w="2365" w:type="pct"/>
                  <w:tcBorders>
                    <w:tl2br w:val="nil"/>
                    <w:tr2bl w:val="nil"/>
                  </w:tcBorders>
                  <w:vAlign w:val="center"/>
                </w:tcPr>
                <w:p w14:paraId="5BC5E2C9">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cs="Times New Roman"/>
                      <w:bCs/>
                      <w:color w:val="auto"/>
                      <w:szCs w:val="21"/>
                    </w:rPr>
                  </w:pPr>
                  <w:r>
                    <w:rPr>
                      <w:rFonts w:hint="eastAsia" w:cs="Times New Roman"/>
                      <w:bCs/>
                      <w:color w:val="auto"/>
                      <w:szCs w:val="21"/>
                      <w:lang w:val="en-US" w:eastAsia="zh-CN"/>
                    </w:rPr>
                    <w:t>调整产业结构，深化工业污染治理。强化“三线一单”（生态保护红线、环境质底线、资源利用上线、生态环境准入清单）约束，明确禁止和限制发展的行业、生产工艺和产业目录，优化产业布局和资源配置。积极推行区域、规划环境影响评价，新、改、扩建钢铁、石化、化工、焦化、建材、有色等项目的环境影响评价应满足区域、规划环境影响评价要求。</w:t>
                  </w:r>
                </w:p>
              </w:tc>
              <w:tc>
                <w:tcPr>
                  <w:tcW w:w="1012" w:type="pct"/>
                  <w:tcBorders>
                    <w:tl2br w:val="nil"/>
                    <w:tr2bl w:val="nil"/>
                  </w:tcBorders>
                  <w:vAlign w:val="center"/>
                </w:tcPr>
                <w:p w14:paraId="2E2444CA">
                  <w:pPr>
                    <w:widowControl/>
                    <w:jc w:val="center"/>
                    <w:rPr>
                      <w:rFonts w:cs="Times New Roman"/>
                      <w:bCs/>
                      <w:color w:val="auto"/>
                      <w:szCs w:val="21"/>
                    </w:rPr>
                  </w:pPr>
                  <w:r>
                    <w:rPr>
                      <w:rFonts w:hint="eastAsia" w:cs="Times New Roman"/>
                      <w:bCs/>
                      <w:color w:val="auto"/>
                      <w:szCs w:val="21"/>
                      <w:lang w:val="en-US" w:eastAsia="zh-CN"/>
                    </w:rPr>
                    <w:t>根据前文分析，项目符合</w:t>
                  </w:r>
                  <w:r>
                    <w:rPr>
                      <w:rFonts w:hint="default" w:cs="Times New Roman"/>
                      <w:bCs/>
                      <w:color w:val="auto"/>
                      <w:szCs w:val="21"/>
                      <w:lang w:val="en-US" w:eastAsia="zh-CN"/>
                    </w:rPr>
                    <w:t>“</w:t>
                  </w:r>
                  <w:r>
                    <w:rPr>
                      <w:rFonts w:hint="eastAsia" w:cs="Times New Roman"/>
                      <w:bCs/>
                      <w:color w:val="auto"/>
                      <w:szCs w:val="21"/>
                      <w:lang w:val="en-US" w:eastAsia="zh-CN"/>
                    </w:rPr>
                    <w:t>三线一单</w:t>
                  </w:r>
                  <w:r>
                    <w:rPr>
                      <w:rFonts w:hint="default" w:cs="Times New Roman"/>
                      <w:bCs/>
                      <w:color w:val="auto"/>
                      <w:szCs w:val="21"/>
                      <w:lang w:val="en-US" w:eastAsia="zh-CN"/>
                    </w:rPr>
                    <w:t>”</w:t>
                  </w:r>
                  <w:r>
                    <w:rPr>
                      <w:rFonts w:hint="eastAsia" w:cs="Times New Roman"/>
                      <w:bCs/>
                      <w:color w:val="auto"/>
                      <w:szCs w:val="21"/>
                      <w:lang w:val="en-US" w:eastAsia="zh-CN"/>
                    </w:rPr>
                    <w:t>要求，本项目不属于禁止和限制发展的行业、生产工艺和产业目录，符合国家现行产业政策。</w:t>
                  </w:r>
                </w:p>
              </w:tc>
              <w:tc>
                <w:tcPr>
                  <w:tcW w:w="370" w:type="pct"/>
                  <w:tcBorders>
                    <w:tl2br w:val="nil"/>
                    <w:tr2bl w:val="nil"/>
                  </w:tcBorders>
                  <w:vAlign w:val="center"/>
                </w:tcPr>
                <w:p w14:paraId="317F7CA1">
                  <w:pPr>
                    <w:jc w:val="center"/>
                    <w:rPr>
                      <w:rFonts w:cs="Times New Roman"/>
                      <w:bCs/>
                      <w:color w:val="auto"/>
                      <w:szCs w:val="21"/>
                    </w:rPr>
                  </w:pPr>
                </w:p>
              </w:tc>
            </w:tr>
            <w:tr w14:paraId="31A7192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305" w:type="pct"/>
                  <w:tcBorders>
                    <w:tl2br w:val="nil"/>
                    <w:tr2bl w:val="nil"/>
                  </w:tcBorders>
                  <w:vAlign w:val="center"/>
                </w:tcPr>
                <w:p w14:paraId="6F8AEB58">
                  <w:pPr>
                    <w:jc w:val="center"/>
                    <w:rPr>
                      <w:rFonts w:hint="eastAsia" w:eastAsia="宋体" w:cs="Times New Roman"/>
                      <w:bCs/>
                      <w:color w:val="auto"/>
                      <w:szCs w:val="21"/>
                      <w:lang w:val="en-US" w:eastAsia="zh-CN"/>
                    </w:rPr>
                  </w:pPr>
                  <w:r>
                    <w:rPr>
                      <w:rFonts w:hint="eastAsia" w:cs="Times New Roman"/>
                      <w:bCs/>
                      <w:color w:val="auto"/>
                      <w:szCs w:val="21"/>
                      <w:lang w:val="en-US" w:eastAsia="zh-CN"/>
                    </w:rPr>
                    <w:t>3</w:t>
                  </w:r>
                </w:p>
              </w:tc>
              <w:tc>
                <w:tcPr>
                  <w:tcW w:w="946" w:type="pct"/>
                  <w:vMerge w:val="continue"/>
                  <w:tcBorders>
                    <w:tl2br w:val="nil"/>
                    <w:tr2bl w:val="nil"/>
                  </w:tcBorders>
                  <w:vAlign w:val="center"/>
                </w:tcPr>
                <w:p w14:paraId="6AB1E661">
                  <w:pPr>
                    <w:jc w:val="center"/>
                    <w:rPr>
                      <w:rFonts w:cs="Times New Roman"/>
                      <w:bCs/>
                      <w:color w:val="auto"/>
                      <w:szCs w:val="21"/>
                    </w:rPr>
                  </w:pPr>
                </w:p>
              </w:tc>
              <w:tc>
                <w:tcPr>
                  <w:tcW w:w="2365" w:type="pct"/>
                  <w:tcBorders>
                    <w:tl2br w:val="nil"/>
                    <w:tr2bl w:val="nil"/>
                  </w:tcBorders>
                  <w:vAlign w:val="center"/>
                </w:tcPr>
                <w:p w14:paraId="4F53010E">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cs="Times New Roman"/>
                      <w:bCs/>
                      <w:color w:val="auto"/>
                      <w:szCs w:val="21"/>
                    </w:rPr>
                  </w:pPr>
                  <w:r>
                    <w:rPr>
                      <w:rFonts w:hint="eastAsia" w:cs="Times New Roman"/>
                      <w:bCs/>
                      <w:color w:val="auto"/>
                      <w:szCs w:val="21"/>
                      <w:lang w:val="en-US" w:eastAsia="zh-CN"/>
                    </w:rPr>
                    <w:t>开展燃煤锅炉综合整治。加大燃煤小锅炉淘汰力度。到 2020 年,县级及以上城市建成区全面淘汰每小时 10 蒸吨及以下燃煤锅炉，原则上不再新建每小时35 蒸吨以下的燃煤锅炉；其他地区原则上不再新建每小时 10 蒸吨以下的燃煤锅炉。环境空气质量未达标城市应进一步加大淘汰力度。</w:t>
                  </w:r>
                </w:p>
              </w:tc>
              <w:tc>
                <w:tcPr>
                  <w:tcW w:w="1012" w:type="pct"/>
                  <w:tcBorders>
                    <w:tl2br w:val="nil"/>
                    <w:tr2bl w:val="nil"/>
                  </w:tcBorders>
                  <w:vAlign w:val="center"/>
                </w:tcPr>
                <w:p w14:paraId="6D69EDA2">
                  <w:pPr>
                    <w:widowControl/>
                    <w:jc w:val="center"/>
                    <w:rPr>
                      <w:rFonts w:cs="Times New Roman"/>
                      <w:bCs/>
                      <w:color w:val="auto"/>
                      <w:szCs w:val="21"/>
                    </w:rPr>
                  </w:pPr>
                  <w:r>
                    <w:rPr>
                      <w:rFonts w:hint="eastAsia" w:cs="Times New Roman"/>
                      <w:bCs/>
                      <w:color w:val="auto"/>
                      <w:szCs w:val="21"/>
                      <w:lang w:val="en-US" w:eastAsia="zh-CN"/>
                    </w:rPr>
                    <w:t>本项目不涉及建设锅炉等蒸汽供应设备。</w:t>
                  </w:r>
                </w:p>
              </w:tc>
              <w:tc>
                <w:tcPr>
                  <w:tcW w:w="370" w:type="pct"/>
                  <w:tcBorders>
                    <w:tl2br w:val="nil"/>
                    <w:tr2bl w:val="nil"/>
                  </w:tcBorders>
                  <w:vAlign w:val="center"/>
                </w:tcPr>
                <w:p w14:paraId="78266BCB">
                  <w:pPr>
                    <w:jc w:val="center"/>
                    <w:rPr>
                      <w:rFonts w:hint="eastAsia" w:eastAsia="宋体" w:cs="Times New Roman"/>
                      <w:bCs/>
                      <w:color w:val="auto"/>
                      <w:szCs w:val="21"/>
                      <w:lang w:eastAsia="zh-CN"/>
                    </w:rPr>
                  </w:pPr>
                  <w:r>
                    <w:rPr>
                      <w:rFonts w:hint="eastAsia" w:cs="Times New Roman"/>
                      <w:bCs/>
                      <w:color w:val="auto"/>
                      <w:szCs w:val="21"/>
                      <w:lang w:eastAsia="zh-CN"/>
                    </w:rPr>
                    <w:t>符合</w:t>
                  </w:r>
                </w:p>
              </w:tc>
            </w:tr>
            <w:tr w14:paraId="564D423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305" w:type="pct"/>
                  <w:tcBorders>
                    <w:tl2br w:val="nil"/>
                    <w:tr2bl w:val="nil"/>
                  </w:tcBorders>
                  <w:vAlign w:val="center"/>
                </w:tcPr>
                <w:p w14:paraId="4430B4DE">
                  <w:pPr>
                    <w:jc w:val="center"/>
                    <w:rPr>
                      <w:rFonts w:hint="eastAsia" w:eastAsia="宋体" w:cs="Times New Roman"/>
                      <w:bCs/>
                      <w:color w:val="auto"/>
                      <w:szCs w:val="21"/>
                      <w:lang w:val="en-US" w:eastAsia="zh-CN"/>
                    </w:rPr>
                  </w:pPr>
                  <w:r>
                    <w:rPr>
                      <w:rFonts w:hint="eastAsia" w:cs="Times New Roman"/>
                      <w:bCs/>
                      <w:color w:val="auto"/>
                      <w:szCs w:val="21"/>
                      <w:lang w:val="en-US" w:eastAsia="zh-CN"/>
                    </w:rPr>
                    <w:t>4</w:t>
                  </w:r>
                </w:p>
              </w:tc>
              <w:tc>
                <w:tcPr>
                  <w:tcW w:w="946" w:type="pct"/>
                  <w:tcBorders>
                    <w:tl2br w:val="nil"/>
                    <w:tr2bl w:val="nil"/>
                  </w:tcBorders>
                  <w:vAlign w:val="center"/>
                </w:tcPr>
                <w:p w14:paraId="0DEBFD1C">
                  <w:pPr>
                    <w:jc w:val="center"/>
                    <w:rPr>
                      <w:rFonts w:cs="Times New Roman"/>
                      <w:bCs/>
                      <w:color w:val="auto"/>
                      <w:szCs w:val="21"/>
                    </w:rPr>
                  </w:pPr>
                  <w:r>
                    <w:rPr>
                      <w:rFonts w:hint="eastAsia" w:cs="Times New Roman"/>
                      <w:bCs/>
                      <w:color w:val="auto"/>
                      <w:szCs w:val="21"/>
                      <w:lang w:val="en-US" w:eastAsia="zh-CN"/>
                    </w:rPr>
                    <w:t>《“十四五”噪声污染防治行动计划》（环大气[2023]1号）</w:t>
                  </w:r>
                </w:p>
              </w:tc>
              <w:tc>
                <w:tcPr>
                  <w:tcW w:w="2365" w:type="pct"/>
                  <w:tcBorders>
                    <w:tl2br w:val="nil"/>
                    <w:tr2bl w:val="nil"/>
                  </w:tcBorders>
                  <w:vAlign w:val="center"/>
                </w:tcPr>
                <w:p w14:paraId="1DCFB124">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cs="Times New Roman"/>
                      <w:bCs/>
                      <w:color w:val="auto"/>
                      <w:szCs w:val="21"/>
                    </w:rPr>
                  </w:pPr>
                  <w:r>
                    <w:rPr>
                      <w:rFonts w:hint="eastAsia" w:cs="Times New Roman"/>
                      <w:bCs/>
                      <w:color w:val="auto"/>
                      <w:szCs w:val="21"/>
                      <w:lang w:val="en-US" w:eastAsia="zh-CN"/>
                    </w:rPr>
                    <w:t>（八）严格工业噪声管理11.树立工业噪声污染治理标杆。排放噪声的工业企业应切实采取减振降噪措施，加强厂区内固定设备、运输工具、货物装卸等噪声源管理，同时避免突发噪声扰民。</w:t>
                  </w:r>
                </w:p>
              </w:tc>
              <w:tc>
                <w:tcPr>
                  <w:tcW w:w="1012" w:type="pct"/>
                  <w:tcBorders>
                    <w:tl2br w:val="nil"/>
                    <w:tr2bl w:val="nil"/>
                  </w:tcBorders>
                  <w:vAlign w:val="center"/>
                </w:tcPr>
                <w:p w14:paraId="27FC36EA">
                  <w:pPr>
                    <w:widowControl/>
                    <w:jc w:val="center"/>
                    <w:rPr>
                      <w:rFonts w:cs="Times New Roman"/>
                      <w:bCs/>
                      <w:color w:val="auto"/>
                      <w:szCs w:val="21"/>
                    </w:rPr>
                  </w:pPr>
                  <w:r>
                    <w:rPr>
                      <w:rFonts w:hint="eastAsia" w:cs="Times New Roman"/>
                      <w:bCs/>
                      <w:color w:val="auto"/>
                      <w:szCs w:val="21"/>
                      <w:lang w:val="en-US" w:eastAsia="zh-CN"/>
                    </w:rPr>
                    <w:t>项目采取优选设备、建筑隔声、基础减振、优化布局等措施后，厂界值能满足《工业企业厂界环境噪声排放标准》(</w:t>
                  </w:r>
                  <w:r>
                    <w:rPr>
                      <w:rFonts w:hint="default" w:cs="Times New Roman"/>
                      <w:bCs/>
                      <w:color w:val="auto"/>
                      <w:szCs w:val="21"/>
                      <w:lang w:val="en-US" w:eastAsia="zh-CN"/>
                    </w:rPr>
                    <w:t>GB12348-2008</w:t>
                  </w:r>
                  <w:r>
                    <w:rPr>
                      <w:rFonts w:hint="eastAsia" w:cs="Times New Roman"/>
                      <w:bCs/>
                      <w:color w:val="auto"/>
                      <w:szCs w:val="21"/>
                      <w:lang w:val="en-US" w:eastAsia="zh-CN"/>
                    </w:rPr>
                    <w:t>）3类标准限值。</w:t>
                  </w:r>
                </w:p>
              </w:tc>
              <w:tc>
                <w:tcPr>
                  <w:tcW w:w="370" w:type="pct"/>
                  <w:tcBorders>
                    <w:tl2br w:val="nil"/>
                    <w:tr2bl w:val="nil"/>
                  </w:tcBorders>
                  <w:vAlign w:val="center"/>
                </w:tcPr>
                <w:p w14:paraId="5A6A11C1">
                  <w:pPr>
                    <w:jc w:val="center"/>
                    <w:rPr>
                      <w:rFonts w:hint="eastAsia" w:eastAsia="宋体" w:cs="Times New Roman"/>
                      <w:bCs/>
                      <w:color w:val="auto"/>
                      <w:szCs w:val="21"/>
                      <w:lang w:eastAsia="zh-CN"/>
                    </w:rPr>
                  </w:pPr>
                  <w:r>
                    <w:rPr>
                      <w:rFonts w:hint="eastAsia" w:cs="Times New Roman"/>
                      <w:bCs/>
                      <w:color w:val="auto"/>
                      <w:szCs w:val="21"/>
                      <w:lang w:eastAsia="zh-CN"/>
                    </w:rPr>
                    <w:t>符合</w:t>
                  </w:r>
                </w:p>
              </w:tc>
            </w:tr>
            <w:tr w14:paraId="7D996DC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305" w:type="pct"/>
                  <w:tcBorders>
                    <w:tl2br w:val="nil"/>
                    <w:tr2bl w:val="nil"/>
                  </w:tcBorders>
                  <w:vAlign w:val="center"/>
                </w:tcPr>
                <w:p w14:paraId="15F11DCF">
                  <w:pPr>
                    <w:jc w:val="center"/>
                    <w:rPr>
                      <w:rFonts w:hint="eastAsia" w:eastAsia="宋体" w:cs="Times New Roman"/>
                      <w:bCs/>
                      <w:color w:val="auto"/>
                      <w:szCs w:val="21"/>
                      <w:lang w:val="en-US" w:eastAsia="zh-CN"/>
                    </w:rPr>
                  </w:pPr>
                  <w:r>
                    <w:rPr>
                      <w:rFonts w:hint="eastAsia" w:cs="Times New Roman"/>
                      <w:bCs/>
                      <w:color w:val="auto"/>
                      <w:szCs w:val="21"/>
                      <w:lang w:val="en-US" w:eastAsia="zh-CN"/>
                    </w:rPr>
                    <w:t>5</w:t>
                  </w:r>
                </w:p>
              </w:tc>
              <w:tc>
                <w:tcPr>
                  <w:tcW w:w="946" w:type="pct"/>
                  <w:tcBorders>
                    <w:tl2br w:val="nil"/>
                    <w:tr2bl w:val="nil"/>
                  </w:tcBorders>
                  <w:vAlign w:val="center"/>
                </w:tcPr>
                <w:p w14:paraId="006E2571">
                  <w:pPr>
                    <w:jc w:val="center"/>
                    <w:rPr>
                      <w:rFonts w:cs="Times New Roman"/>
                      <w:bCs/>
                      <w:color w:val="auto"/>
                      <w:szCs w:val="21"/>
                    </w:rPr>
                  </w:pPr>
                  <w:r>
                    <w:rPr>
                      <w:rFonts w:cs="Times New Roman"/>
                      <w:bCs/>
                      <w:color w:val="auto"/>
                      <w:szCs w:val="21"/>
                    </w:rPr>
                    <w:t>《达州市重污染天气应急预案2022（试行）》的通知</w:t>
                  </w:r>
                </w:p>
                <w:p w14:paraId="5E02ECD7">
                  <w:pPr>
                    <w:jc w:val="center"/>
                    <w:rPr>
                      <w:rFonts w:cs="Times New Roman"/>
                      <w:bCs/>
                      <w:color w:val="auto"/>
                      <w:szCs w:val="21"/>
                    </w:rPr>
                  </w:pPr>
                </w:p>
              </w:tc>
              <w:tc>
                <w:tcPr>
                  <w:tcW w:w="2365" w:type="pct"/>
                  <w:tcBorders>
                    <w:tl2br w:val="nil"/>
                    <w:tr2bl w:val="nil"/>
                  </w:tcBorders>
                  <w:vAlign w:val="center"/>
                </w:tcPr>
                <w:p w14:paraId="3262EDC5">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cs="Times New Roman"/>
                      <w:bCs/>
                      <w:color w:val="auto"/>
                      <w:szCs w:val="21"/>
                    </w:rPr>
                  </w:pPr>
                  <w:r>
                    <w:rPr>
                      <w:rFonts w:cs="Times New Roman"/>
                      <w:bCs/>
                      <w:color w:val="auto"/>
                      <w:szCs w:val="21"/>
                    </w:rPr>
                    <w:t>项目建设运营过程中，应根据预警等级要求，严格执行强制性污染减排措施。重污染天气预警级别由低到高分为黄色、橙色和红色预警三级。与之对应的应急响应级别分别为Ⅲ级、Ⅱ级、Ⅰ级应急响应。不同等级应急响应级别配套应急响应措施。应急响应措施包括健康防护措施、倡议性污染减排措施、强制性污染减排措施等。</w:t>
                  </w:r>
                </w:p>
              </w:tc>
              <w:tc>
                <w:tcPr>
                  <w:tcW w:w="1012" w:type="pct"/>
                  <w:tcBorders>
                    <w:tl2br w:val="nil"/>
                    <w:tr2bl w:val="nil"/>
                  </w:tcBorders>
                  <w:vAlign w:val="center"/>
                </w:tcPr>
                <w:p w14:paraId="472BF186">
                  <w:pPr>
                    <w:jc w:val="center"/>
                    <w:rPr>
                      <w:rFonts w:cs="Times New Roman"/>
                      <w:bCs/>
                      <w:color w:val="auto"/>
                      <w:szCs w:val="21"/>
                    </w:rPr>
                  </w:pPr>
                  <w:r>
                    <w:rPr>
                      <w:rFonts w:cs="Times New Roman"/>
                      <w:bCs/>
                      <w:color w:val="auto"/>
                      <w:szCs w:val="21"/>
                    </w:rPr>
                    <w:t>本项目根据预警等级要求，严格执行强制性污染减排措施</w:t>
                  </w:r>
                </w:p>
              </w:tc>
              <w:tc>
                <w:tcPr>
                  <w:tcW w:w="370" w:type="pct"/>
                  <w:tcBorders>
                    <w:tl2br w:val="nil"/>
                    <w:tr2bl w:val="nil"/>
                  </w:tcBorders>
                  <w:vAlign w:val="center"/>
                </w:tcPr>
                <w:p w14:paraId="7EA58480">
                  <w:pPr>
                    <w:jc w:val="center"/>
                    <w:rPr>
                      <w:rFonts w:cs="Times New Roman"/>
                      <w:bCs/>
                      <w:color w:val="auto"/>
                      <w:szCs w:val="21"/>
                    </w:rPr>
                  </w:pPr>
                  <w:r>
                    <w:rPr>
                      <w:rFonts w:cs="Times New Roman"/>
                      <w:bCs/>
                      <w:color w:val="auto"/>
                      <w:szCs w:val="21"/>
                    </w:rPr>
                    <w:t>符合</w:t>
                  </w:r>
                </w:p>
              </w:tc>
            </w:tr>
            <w:tr w14:paraId="4C7FBDD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305" w:type="pct"/>
                  <w:tcBorders>
                    <w:tl2br w:val="nil"/>
                    <w:tr2bl w:val="nil"/>
                  </w:tcBorders>
                  <w:vAlign w:val="center"/>
                </w:tcPr>
                <w:p w14:paraId="4D0DD392">
                  <w:pPr>
                    <w:jc w:val="center"/>
                    <w:rPr>
                      <w:rFonts w:hint="eastAsia" w:eastAsia="宋体" w:cs="Times New Roman"/>
                      <w:bCs/>
                      <w:color w:val="auto"/>
                      <w:szCs w:val="21"/>
                      <w:lang w:val="en-US" w:eastAsia="zh-CN"/>
                    </w:rPr>
                  </w:pPr>
                  <w:r>
                    <w:rPr>
                      <w:rFonts w:hint="eastAsia" w:cs="Times New Roman"/>
                      <w:bCs/>
                      <w:color w:val="auto"/>
                      <w:szCs w:val="21"/>
                      <w:lang w:val="en-US" w:eastAsia="zh-CN"/>
                    </w:rPr>
                    <w:t>6</w:t>
                  </w:r>
                </w:p>
              </w:tc>
              <w:tc>
                <w:tcPr>
                  <w:tcW w:w="946" w:type="pct"/>
                  <w:tcBorders>
                    <w:tl2br w:val="nil"/>
                    <w:tr2bl w:val="nil"/>
                  </w:tcBorders>
                  <w:vAlign w:val="center"/>
                </w:tcPr>
                <w:p w14:paraId="42D99099">
                  <w:pPr>
                    <w:jc w:val="center"/>
                    <w:rPr>
                      <w:rFonts w:cs="Times New Roman"/>
                      <w:bCs/>
                      <w:color w:val="auto"/>
                      <w:szCs w:val="21"/>
                    </w:rPr>
                  </w:pPr>
                  <w:r>
                    <w:rPr>
                      <w:rFonts w:cs="Times New Roman"/>
                      <w:bCs/>
                      <w:color w:val="auto"/>
                      <w:szCs w:val="21"/>
                    </w:rPr>
                    <w:t>《达州市大气环境质量限期达标规划（2018-2030年）》</w:t>
                  </w:r>
                </w:p>
              </w:tc>
              <w:tc>
                <w:tcPr>
                  <w:tcW w:w="2365" w:type="pct"/>
                  <w:tcBorders>
                    <w:tl2br w:val="nil"/>
                    <w:tr2bl w:val="nil"/>
                  </w:tcBorders>
                  <w:vAlign w:val="center"/>
                </w:tcPr>
                <w:p w14:paraId="129F86AE">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cs="Times New Roman"/>
                      <w:bCs/>
                      <w:color w:val="auto"/>
                      <w:szCs w:val="21"/>
                    </w:rPr>
                  </w:pPr>
                  <w:r>
                    <w:rPr>
                      <w:rFonts w:cs="Times New Roman"/>
                      <w:bCs/>
                      <w:color w:val="auto"/>
                      <w:szCs w:val="21"/>
                    </w:rPr>
                    <w:t>以大气环境质量达标为核心，以PM</w:t>
                  </w:r>
                  <w:r>
                    <w:rPr>
                      <w:rFonts w:cs="Times New Roman"/>
                      <w:bCs/>
                      <w:color w:val="auto"/>
                      <w:szCs w:val="21"/>
                      <w:vertAlign w:val="subscript"/>
                    </w:rPr>
                    <w:t>2.5</w:t>
                  </w:r>
                  <w:r>
                    <w:rPr>
                      <w:rFonts w:cs="Times New Roman"/>
                      <w:bCs/>
                      <w:color w:val="auto"/>
                      <w:szCs w:val="21"/>
                    </w:rPr>
                    <w:t>作为重点控制对象，实施空气质量达标战略，包括：优化产业结构和布局，推进能源结构调整，深化火电超低排放、工业锅炉、建材行业、冶金行业治理整顿，有效控制扬尘、移动源、秸秆焚烧的污染排放，加快推进VOC</w:t>
                  </w:r>
                  <w:r>
                    <w:rPr>
                      <w:rFonts w:cs="Times New Roman"/>
                      <w:bCs/>
                      <w:color w:val="auto"/>
                      <w:szCs w:val="21"/>
                      <w:vertAlign w:val="subscript"/>
                    </w:rPr>
                    <w:t>S</w:t>
                  </w:r>
                  <w:r>
                    <w:rPr>
                      <w:rFonts w:cs="Times New Roman"/>
                      <w:bCs/>
                      <w:color w:val="auto"/>
                      <w:szCs w:val="21"/>
                    </w:rPr>
                    <w:t>综合整治，促进多污染物协同控制及区域联防联控，提升大气污染精细化防控能力。</w:t>
                  </w:r>
                </w:p>
              </w:tc>
              <w:tc>
                <w:tcPr>
                  <w:tcW w:w="1012" w:type="pct"/>
                  <w:tcBorders>
                    <w:tl2br w:val="nil"/>
                    <w:tr2bl w:val="nil"/>
                  </w:tcBorders>
                  <w:vAlign w:val="center"/>
                </w:tcPr>
                <w:p w14:paraId="5EF73231">
                  <w:pPr>
                    <w:jc w:val="center"/>
                    <w:rPr>
                      <w:rFonts w:hint="default" w:eastAsia="宋体" w:cs="Times New Roman"/>
                      <w:bCs/>
                      <w:color w:val="auto"/>
                      <w:szCs w:val="21"/>
                      <w:lang w:val="en-US" w:eastAsia="zh-CN"/>
                    </w:rPr>
                  </w:pPr>
                  <w:r>
                    <w:rPr>
                      <w:rFonts w:cs="Times New Roman"/>
                      <w:bCs/>
                      <w:color w:val="auto"/>
                      <w:szCs w:val="21"/>
                    </w:rPr>
                    <w:t>本项目位于</w:t>
                  </w:r>
                  <w:r>
                    <w:rPr>
                      <w:rFonts w:hint="eastAsia" w:cs="Times New Roman"/>
                      <w:bCs/>
                      <w:color w:val="auto"/>
                      <w:szCs w:val="21"/>
                      <w:lang w:eastAsia="zh-CN"/>
                    </w:rPr>
                    <w:t>达州通川区</w:t>
                  </w:r>
                  <w:r>
                    <w:rPr>
                      <w:rFonts w:cs="Times New Roman"/>
                      <w:bCs/>
                      <w:color w:val="auto"/>
                      <w:szCs w:val="21"/>
                    </w:rPr>
                    <w:t>，根据《达州市202</w:t>
                  </w:r>
                  <w:r>
                    <w:rPr>
                      <w:rFonts w:hint="eastAsia" w:cs="Times New Roman"/>
                      <w:bCs/>
                      <w:color w:val="auto"/>
                      <w:szCs w:val="21"/>
                      <w:lang w:val="en-US" w:eastAsia="zh-CN"/>
                    </w:rPr>
                    <w:t>3</w:t>
                  </w:r>
                  <w:r>
                    <w:rPr>
                      <w:rFonts w:cs="Times New Roman"/>
                      <w:bCs/>
                      <w:color w:val="auto"/>
                      <w:szCs w:val="21"/>
                    </w:rPr>
                    <w:t>年环境空气质量状况》中相关数据和结论，本项目位于达标区。</w:t>
                  </w:r>
                  <w:r>
                    <w:rPr>
                      <w:rFonts w:hint="eastAsia" w:cs="Times New Roman"/>
                      <w:bCs/>
                      <w:color w:val="auto"/>
                      <w:szCs w:val="21"/>
                      <w:lang w:val="en-US" w:eastAsia="zh-CN"/>
                    </w:rPr>
                    <w:t xml:space="preserve">  </w:t>
                  </w:r>
                </w:p>
              </w:tc>
              <w:tc>
                <w:tcPr>
                  <w:tcW w:w="370" w:type="pct"/>
                  <w:tcBorders>
                    <w:tl2br w:val="nil"/>
                    <w:tr2bl w:val="nil"/>
                  </w:tcBorders>
                  <w:vAlign w:val="center"/>
                </w:tcPr>
                <w:p w14:paraId="723DEBE3">
                  <w:pPr>
                    <w:jc w:val="center"/>
                    <w:rPr>
                      <w:rFonts w:cs="Times New Roman"/>
                      <w:bCs/>
                      <w:color w:val="auto"/>
                      <w:szCs w:val="21"/>
                    </w:rPr>
                  </w:pPr>
                  <w:r>
                    <w:rPr>
                      <w:rFonts w:cs="Times New Roman"/>
                      <w:bCs/>
                      <w:color w:val="auto"/>
                      <w:szCs w:val="21"/>
                    </w:rPr>
                    <w:t>符合</w:t>
                  </w:r>
                </w:p>
              </w:tc>
            </w:tr>
          </w:tbl>
          <w:p w14:paraId="7E18BF70">
            <w:pPr>
              <w:spacing w:line="360" w:lineRule="auto"/>
              <w:ind w:firstLine="480" w:firstLineChars="200"/>
              <w:rPr>
                <w:rFonts w:hint="eastAsia" w:cs="Times New Roman"/>
                <w:b w:val="0"/>
                <w:bCs w:val="0"/>
                <w:color w:val="auto"/>
                <w:sz w:val="24"/>
                <w:szCs w:val="24"/>
                <w:highlight w:val="none"/>
                <w:lang w:eastAsia="zh-CN"/>
              </w:rPr>
            </w:pPr>
            <w:r>
              <w:rPr>
                <w:rFonts w:hint="eastAsia" w:cs="Times New Roman"/>
                <w:b w:val="0"/>
                <w:bCs w:val="0"/>
                <w:color w:val="auto"/>
                <w:sz w:val="24"/>
                <w:szCs w:val="24"/>
                <w:highlight w:val="none"/>
                <w:lang w:eastAsia="zh-CN"/>
              </w:rPr>
              <w:t>根据上表可知，项目与上述条文是相符的。</w:t>
            </w:r>
          </w:p>
          <w:p w14:paraId="0F1F5740">
            <w:pPr>
              <w:spacing w:line="360" w:lineRule="auto"/>
              <w:ind w:firstLine="482" w:firstLineChars="200"/>
              <w:rPr>
                <w:rFonts w:cs="Times New Roman"/>
                <w:b/>
                <w:bCs/>
                <w:color w:val="auto"/>
                <w:sz w:val="24"/>
                <w:szCs w:val="24"/>
              </w:rPr>
            </w:pPr>
            <w:r>
              <w:rPr>
                <w:rFonts w:hint="eastAsia" w:cs="Times New Roman"/>
                <w:b/>
                <w:bCs/>
                <w:color w:val="auto"/>
                <w:sz w:val="24"/>
                <w:szCs w:val="24"/>
                <w:lang w:val="en-US" w:eastAsia="zh-CN"/>
              </w:rPr>
              <w:t>8、</w:t>
            </w:r>
            <w:r>
              <w:rPr>
                <w:rFonts w:cs="Times New Roman"/>
                <w:b/>
                <w:bCs/>
                <w:color w:val="auto"/>
                <w:sz w:val="24"/>
                <w:szCs w:val="24"/>
              </w:rPr>
              <w:t>与国土空间规划的符合性</w:t>
            </w:r>
          </w:p>
          <w:p w14:paraId="151A9A02">
            <w:pPr>
              <w:spacing w:line="360" w:lineRule="auto"/>
              <w:ind w:firstLine="480" w:firstLineChars="200"/>
              <w:rPr>
                <w:rFonts w:cs="Times New Roman"/>
                <w:color w:val="auto"/>
                <w:sz w:val="24"/>
                <w:szCs w:val="24"/>
              </w:rPr>
            </w:pPr>
            <w:r>
              <w:rPr>
                <w:rFonts w:cs="Times New Roman"/>
                <w:color w:val="auto"/>
                <w:sz w:val="24"/>
                <w:szCs w:val="24"/>
              </w:rPr>
              <w:t>2024年</w:t>
            </w:r>
            <w:r>
              <w:rPr>
                <w:rFonts w:hint="eastAsia" w:cs="Times New Roman"/>
                <w:color w:val="auto"/>
                <w:sz w:val="24"/>
                <w:szCs w:val="24"/>
                <w:lang w:val="en-US" w:eastAsia="zh-CN"/>
              </w:rPr>
              <w:t>4</w:t>
            </w:r>
            <w:r>
              <w:rPr>
                <w:rFonts w:cs="Times New Roman"/>
                <w:color w:val="auto"/>
                <w:sz w:val="24"/>
                <w:szCs w:val="24"/>
              </w:rPr>
              <w:t>月</w:t>
            </w:r>
            <w:r>
              <w:rPr>
                <w:rFonts w:hint="eastAsia" w:cs="Times New Roman"/>
                <w:color w:val="auto"/>
                <w:sz w:val="24"/>
                <w:szCs w:val="24"/>
                <w:lang w:val="en-US" w:eastAsia="zh-CN"/>
              </w:rPr>
              <w:t>7</w:t>
            </w:r>
            <w:r>
              <w:rPr>
                <w:rFonts w:cs="Times New Roman"/>
                <w:color w:val="auto"/>
                <w:sz w:val="24"/>
                <w:szCs w:val="24"/>
              </w:rPr>
              <w:t>日，四川省人民政府发布了《关于印发〈四川省国土空间规划（2021—2035 年）〉的通知》（川府发〔2024〕8 号），明确了四川省的战略定位、规划目标、空间总体格局等，是未来十多年四川的发展蓝图。</w:t>
            </w:r>
          </w:p>
          <w:p w14:paraId="631B6D6F">
            <w:pPr>
              <w:spacing w:line="360" w:lineRule="auto"/>
              <w:ind w:firstLine="480" w:firstLineChars="200"/>
              <w:rPr>
                <w:rFonts w:cs="Times New Roman"/>
                <w:color w:val="auto"/>
                <w:sz w:val="24"/>
                <w:szCs w:val="24"/>
              </w:rPr>
            </w:pPr>
            <w:r>
              <w:rPr>
                <w:rFonts w:cs="Times New Roman"/>
                <w:color w:val="auto"/>
                <w:sz w:val="24"/>
                <w:szCs w:val="24"/>
              </w:rPr>
              <w:t>《达州市国土空间总体规划（2021—2035 年）》是为推动高质量发展、 促进共同富裕，聚焦共建万达开川渝统筹发展示范区，着力建设巴文化传承创新和旅游发展高地、万达开天然气锂钾综合利用集聚区和东出北上国际陆港枢纽，组团培育川东北省域经济副中心而制定的文件。2024年</w:t>
            </w:r>
            <w:r>
              <w:rPr>
                <w:rFonts w:hint="eastAsia" w:cs="Times New Roman"/>
                <w:color w:val="auto"/>
                <w:sz w:val="24"/>
                <w:szCs w:val="24"/>
                <w:lang w:val="en-US" w:eastAsia="zh-CN"/>
              </w:rPr>
              <w:t>2</w:t>
            </w:r>
            <w:r>
              <w:rPr>
                <w:rFonts w:cs="Times New Roman"/>
                <w:color w:val="auto"/>
                <w:sz w:val="24"/>
                <w:szCs w:val="24"/>
              </w:rPr>
              <w:t>月27日，《达州市国土空间总体规划（2021—2035 年）》由四川省人民政府发布。</w:t>
            </w:r>
          </w:p>
          <w:p w14:paraId="1C94586B">
            <w:pPr>
              <w:spacing w:line="360" w:lineRule="auto"/>
              <w:ind w:firstLine="480" w:firstLineChars="200"/>
              <w:rPr>
                <w:rFonts w:cs="Times New Roman"/>
                <w:color w:val="auto"/>
                <w:sz w:val="24"/>
                <w:szCs w:val="24"/>
              </w:rPr>
            </w:pPr>
            <w:r>
              <w:rPr>
                <w:rFonts w:cs="Times New Roman"/>
                <w:color w:val="auto"/>
                <w:sz w:val="24"/>
                <w:szCs w:val="24"/>
              </w:rPr>
              <w:t>本项目与上述规划的符合性分析如下：</w:t>
            </w:r>
          </w:p>
          <w:p w14:paraId="4B62F23B">
            <w:pPr>
              <w:spacing w:line="360" w:lineRule="auto"/>
              <w:jc w:val="center"/>
              <w:rPr>
                <w:rFonts w:cs="Times New Roman"/>
                <w:b/>
                <w:bCs/>
                <w:color w:val="auto"/>
                <w:sz w:val="24"/>
                <w:szCs w:val="24"/>
              </w:rPr>
            </w:pPr>
            <w:r>
              <w:rPr>
                <w:rFonts w:cs="Times New Roman"/>
                <w:b/>
                <w:bCs/>
                <w:color w:val="auto"/>
                <w:sz w:val="24"/>
                <w:szCs w:val="24"/>
              </w:rPr>
              <w:t>表1-</w:t>
            </w:r>
            <w:r>
              <w:rPr>
                <w:rFonts w:hint="eastAsia" w:cs="Times New Roman"/>
                <w:b/>
                <w:bCs/>
                <w:color w:val="auto"/>
                <w:sz w:val="24"/>
                <w:szCs w:val="24"/>
                <w:lang w:val="en-US" w:eastAsia="zh-CN"/>
              </w:rPr>
              <w:t>9</w:t>
            </w:r>
            <w:r>
              <w:rPr>
                <w:rFonts w:cs="Times New Roman"/>
                <w:b/>
                <w:bCs/>
                <w:color w:val="auto"/>
                <w:sz w:val="24"/>
                <w:szCs w:val="24"/>
              </w:rPr>
              <w:t xml:space="preserve">  项目与国土空间规划的符合性分析</w:t>
            </w:r>
          </w:p>
          <w:tbl>
            <w:tblPr>
              <w:tblStyle w:val="24"/>
              <w:tblW w:w="496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
            <w:tblGrid>
              <w:gridCol w:w="1074"/>
              <w:gridCol w:w="4718"/>
              <w:gridCol w:w="1557"/>
              <w:gridCol w:w="598"/>
            </w:tblGrid>
            <w:tr w14:paraId="2EFAE74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675" w:type="pct"/>
                  <w:tcBorders>
                    <w:tl2br w:val="nil"/>
                    <w:tr2bl w:val="nil"/>
                  </w:tcBorders>
                  <w:vAlign w:val="center"/>
                </w:tcPr>
                <w:p w14:paraId="34E5AD51">
                  <w:pPr>
                    <w:jc w:val="center"/>
                    <w:rPr>
                      <w:rFonts w:cs="Times New Roman"/>
                      <w:b/>
                      <w:color w:val="auto"/>
                      <w:szCs w:val="21"/>
                    </w:rPr>
                  </w:pPr>
                  <w:r>
                    <w:rPr>
                      <w:rFonts w:cs="Times New Roman"/>
                      <w:b/>
                      <w:color w:val="auto"/>
                      <w:szCs w:val="21"/>
                    </w:rPr>
                    <w:t>文件名称</w:t>
                  </w:r>
                </w:p>
              </w:tc>
              <w:tc>
                <w:tcPr>
                  <w:tcW w:w="2968" w:type="pct"/>
                  <w:tcBorders>
                    <w:tl2br w:val="nil"/>
                    <w:tr2bl w:val="nil"/>
                  </w:tcBorders>
                  <w:vAlign w:val="center"/>
                </w:tcPr>
                <w:p w14:paraId="2FCBB4AD">
                  <w:pPr>
                    <w:jc w:val="center"/>
                    <w:rPr>
                      <w:rFonts w:cs="Times New Roman"/>
                      <w:b/>
                      <w:color w:val="auto"/>
                      <w:szCs w:val="21"/>
                    </w:rPr>
                  </w:pPr>
                  <w:r>
                    <w:rPr>
                      <w:rFonts w:cs="Times New Roman"/>
                      <w:b/>
                      <w:color w:val="auto"/>
                      <w:szCs w:val="21"/>
                    </w:rPr>
                    <w:t>规划要求</w:t>
                  </w:r>
                </w:p>
              </w:tc>
              <w:tc>
                <w:tcPr>
                  <w:tcW w:w="979" w:type="pct"/>
                  <w:tcBorders>
                    <w:tl2br w:val="nil"/>
                    <w:tr2bl w:val="nil"/>
                  </w:tcBorders>
                  <w:vAlign w:val="center"/>
                </w:tcPr>
                <w:p w14:paraId="4A8E3A25">
                  <w:pPr>
                    <w:jc w:val="center"/>
                    <w:rPr>
                      <w:rFonts w:cs="Times New Roman"/>
                      <w:b/>
                      <w:color w:val="auto"/>
                      <w:szCs w:val="21"/>
                    </w:rPr>
                  </w:pPr>
                  <w:r>
                    <w:rPr>
                      <w:rFonts w:cs="Times New Roman"/>
                      <w:b/>
                      <w:color w:val="auto"/>
                      <w:szCs w:val="21"/>
                    </w:rPr>
                    <w:t>项目相关情况</w:t>
                  </w:r>
                </w:p>
              </w:tc>
              <w:tc>
                <w:tcPr>
                  <w:tcW w:w="376" w:type="pct"/>
                  <w:tcBorders>
                    <w:tl2br w:val="nil"/>
                    <w:tr2bl w:val="nil"/>
                  </w:tcBorders>
                  <w:vAlign w:val="center"/>
                </w:tcPr>
                <w:p w14:paraId="0710272A">
                  <w:pPr>
                    <w:jc w:val="center"/>
                    <w:rPr>
                      <w:rFonts w:cs="Times New Roman"/>
                      <w:b/>
                      <w:color w:val="auto"/>
                      <w:szCs w:val="21"/>
                    </w:rPr>
                  </w:pPr>
                  <w:r>
                    <w:rPr>
                      <w:rFonts w:cs="Times New Roman"/>
                      <w:b/>
                      <w:color w:val="auto"/>
                      <w:szCs w:val="21"/>
                    </w:rPr>
                    <w:t>符合性</w:t>
                  </w:r>
                </w:p>
              </w:tc>
            </w:tr>
            <w:tr w14:paraId="0937AF9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675" w:type="pct"/>
                  <w:tcBorders>
                    <w:tl2br w:val="nil"/>
                    <w:tr2bl w:val="nil"/>
                  </w:tcBorders>
                  <w:shd w:val="clear" w:color="auto" w:fill="auto"/>
                  <w:vAlign w:val="top"/>
                </w:tcPr>
                <w:p w14:paraId="45C2A655">
                  <w:pPr>
                    <w:jc w:val="center"/>
                    <w:rPr>
                      <w:rFonts w:cs="Times New Roman"/>
                      <w:bCs/>
                      <w:color w:val="auto"/>
                      <w:szCs w:val="21"/>
                    </w:rPr>
                  </w:pPr>
                </w:p>
                <w:p w14:paraId="23FD534C">
                  <w:pPr>
                    <w:jc w:val="center"/>
                    <w:rPr>
                      <w:rFonts w:cs="Times New Roman"/>
                      <w:bCs/>
                      <w:color w:val="auto"/>
                      <w:szCs w:val="21"/>
                    </w:rPr>
                  </w:pPr>
                </w:p>
                <w:p w14:paraId="68565BD4">
                  <w:pPr>
                    <w:jc w:val="center"/>
                    <w:rPr>
                      <w:rFonts w:cs="Times New Roman"/>
                      <w:bCs/>
                      <w:color w:val="auto"/>
                      <w:szCs w:val="21"/>
                    </w:rPr>
                  </w:pPr>
                </w:p>
                <w:p w14:paraId="74EFBD12">
                  <w:pPr>
                    <w:jc w:val="center"/>
                    <w:rPr>
                      <w:rFonts w:cs="Times New Roman"/>
                      <w:bCs/>
                      <w:color w:val="auto"/>
                      <w:szCs w:val="21"/>
                    </w:rPr>
                  </w:pPr>
                </w:p>
                <w:p w14:paraId="134BF08D">
                  <w:pPr>
                    <w:jc w:val="center"/>
                    <w:rPr>
                      <w:rFonts w:cs="Times New Roman"/>
                      <w:bCs/>
                      <w:color w:val="auto"/>
                      <w:szCs w:val="21"/>
                    </w:rPr>
                  </w:pPr>
                  <w:r>
                    <w:rPr>
                      <w:rFonts w:cs="Times New Roman"/>
                      <w:bCs/>
                      <w:color w:val="auto"/>
                      <w:szCs w:val="21"/>
                    </w:rPr>
                    <w:t>《四川省</w:t>
                  </w:r>
                </w:p>
                <w:p w14:paraId="7F6EB857">
                  <w:pPr>
                    <w:jc w:val="center"/>
                    <w:rPr>
                      <w:rFonts w:cs="Times New Roman"/>
                      <w:bCs/>
                      <w:color w:val="auto"/>
                      <w:szCs w:val="21"/>
                    </w:rPr>
                  </w:pPr>
                  <w:r>
                    <w:rPr>
                      <w:rFonts w:cs="Times New Roman"/>
                      <w:bCs/>
                      <w:color w:val="auto"/>
                      <w:szCs w:val="21"/>
                    </w:rPr>
                    <w:t>国土空间</w:t>
                  </w:r>
                </w:p>
                <w:p w14:paraId="10B1D83B">
                  <w:pPr>
                    <w:jc w:val="center"/>
                    <w:rPr>
                      <w:rFonts w:cs="Times New Roman"/>
                      <w:bCs/>
                      <w:color w:val="auto"/>
                      <w:szCs w:val="21"/>
                    </w:rPr>
                  </w:pPr>
                  <w:r>
                    <w:rPr>
                      <w:rFonts w:cs="Times New Roman"/>
                      <w:bCs/>
                      <w:color w:val="auto"/>
                      <w:szCs w:val="21"/>
                    </w:rPr>
                    <w:t>规划</w:t>
                  </w:r>
                </w:p>
                <w:p w14:paraId="6F155B64">
                  <w:pPr>
                    <w:jc w:val="center"/>
                    <w:rPr>
                      <w:rFonts w:cs="Times New Roman"/>
                      <w:bCs/>
                      <w:color w:val="auto"/>
                      <w:szCs w:val="21"/>
                    </w:rPr>
                  </w:pPr>
                  <w:r>
                    <w:rPr>
                      <w:rFonts w:hint="eastAsia" w:cs="Times New Roman"/>
                      <w:bCs/>
                      <w:color w:val="auto"/>
                      <w:szCs w:val="21"/>
                      <w:lang w:eastAsia="zh-CN"/>
                    </w:rPr>
                    <w:t>（</w:t>
                  </w:r>
                  <w:r>
                    <w:rPr>
                      <w:rFonts w:cs="Times New Roman"/>
                      <w:bCs/>
                      <w:color w:val="auto"/>
                      <w:szCs w:val="21"/>
                    </w:rPr>
                    <w:t>2021—</w:t>
                  </w:r>
                </w:p>
                <w:p w14:paraId="24C0E55F">
                  <w:pPr>
                    <w:jc w:val="center"/>
                    <w:rPr>
                      <w:rFonts w:cs="Times New Roman"/>
                      <w:bCs/>
                      <w:color w:val="auto"/>
                      <w:szCs w:val="21"/>
                    </w:rPr>
                  </w:pPr>
                  <w:r>
                    <w:rPr>
                      <w:rFonts w:cs="Times New Roman"/>
                      <w:bCs/>
                      <w:color w:val="auto"/>
                      <w:szCs w:val="21"/>
                    </w:rPr>
                    <w:t>2035年）》</w:t>
                  </w:r>
                </w:p>
                <w:p w14:paraId="31698EBB">
                  <w:pPr>
                    <w:jc w:val="center"/>
                    <w:rPr>
                      <w:rFonts w:cs="Times New Roman"/>
                      <w:bCs/>
                      <w:color w:val="auto"/>
                      <w:szCs w:val="21"/>
                    </w:rPr>
                  </w:pPr>
                  <w:r>
                    <w:rPr>
                      <w:rFonts w:cs="Times New Roman"/>
                      <w:bCs/>
                      <w:color w:val="auto"/>
                      <w:szCs w:val="21"/>
                    </w:rPr>
                    <w:t>（川府发</w:t>
                  </w:r>
                </w:p>
                <w:p w14:paraId="6C597EB8">
                  <w:pPr>
                    <w:jc w:val="center"/>
                    <w:rPr>
                      <w:rFonts w:cs="Times New Roman"/>
                      <w:bCs/>
                      <w:color w:val="auto"/>
                      <w:szCs w:val="21"/>
                      <w:lang w:val="en-US" w:eastAsia="en-US"/>
                    </w:rPr>
                  </w:pPr>
                  <w:r>
                    <w:rPr>
                      <w:rFonts w:cs="Times New Roman"/>
                      <w:bCs/>
                      <w:color w:val="auto"/>
                      <w:szCs w:val="21"/>
                    </w:rPr>
                    <w:t>〔2024〕8号）</w:t>
                  </w:r>
                </w:p>
              </w:tc>
              <w:tc>
                <w:tcPr>
                  <w:tcW w:w="2968" w:type="pct"/>
                  <w:tcBorders>
                    <w:tl2br w:val="nil"/>
                    <w:tr2bl w:val="nil"/>
                  </w:tcBorders>
                  <w:shd w:val="clear" w:color="auto" w:fill="auto"/>
                  <w:vAlign w:val="top"/>
                </w:tcPr>
                <w:p w14:paraId="5E6712DB">
                  <w:pPr>
                    <w:jc w:val="left"/>
                    <w:rPr>
                      <w:rFonts w:cs="Times New Roman"/>
                      <w:bCs/>
                      <w:color w:val="auto"/>
                      <w:szCs w:val="21"/>
                      <w:lang w:val="en-US" w:eastAsia="en-US"/>
                    </w:rPr>
                  </w:pPr>
                  <w:r>
                    <w:rPr>
                      <w:rFonts w:cs="Times New Roman"/>
                      <w:bCs/>
                      <w:color w:val="auto"/>
                      <w:szCs w:val="21"/>
                    </w:rPr>
                    <w:t>第五节推动五大片区突出特色、协同共兴川东北经济区。严格保护现状优质耕地，积极开发耕地后备资源</w:t>
                  </w:r>
                  <w:r>
                    <w:rPr>
                      <w:rFonts w:hint="eastAsia" w:cs="Times New Roman"/>
                      <w:bCs/>
                      <w:color w:val="auto"/>
                      <w:szCs w:val="21"/>
                      <w:lang w:eastAsia="zh-CN"/>
                    </w:rPr>
                    <w:t>，</w:t>
                  </w:r>
                  <w:r>
                    <w:rPr>
                      <w:rFonts w:cs="Times New Roman"/>
                      <w:bCs/>
                      <w:color w:val="auto"/>
                      <w:szCs w:val="21"/>
                    </w:rPr>
                    <w:t>加大水资源配置工程建设力度</w:t>
                  </w:r>
                  <w:r>
                    <w:rPr>
                      <w:rFonts w:hint="eastAsia" w:cs="Times New Roman"/>
                      <w:bCs/>
                      <w:color w:val="auto"/>
                      <w:szCs w:val="21"/>
                      <w:lang w:eastAsia="zh-CN"/>
                    </w:rPr>
                    <w:t>，</w:t>
                  </w:r>
                  <w:r>
                    <w:rPr>
                      <w:rFonts w:cs="Times New Roman"/>
                      <w:bCs/>
                      <w:color w:val="auto"/>
                      <w:szCs w:val="21"/>
                    </w:rPr>
                    <w:t>全面提高片区耕地产出效率。强化对大巴山、米仓山等盆周生态功能区的严格保护。突出分层组织、相互协调</w:t>
                  </w:r>
                  <w:r>
                    <w:rPr>
                      <w:rFonts w:hint="eastAsia" w:cs="Times New Roman"/>
                      <w:bCs/>
                      <w:color w:val="auto"/>
                      <w:szCs w:val="21"/>
                      <w:lang w:eastAsia="zh-CN"/>
                    </w:rPr>
                    <w:t>，</w:t>
                  </w:r>
                  <w:r>
                    <w:rPr>
                      <w:rFonts w:cs="Times New Roman"/>
                      <w:bCs/>
                      <w:color w:val="auto"/>
                      <w:szCs w:val="21"/>
                    </w:rPr>
                    <w:t>按照</w:t>
                  </w:r>
                  <w:r>
                    <w:rPr>
                      <w:rFonts w:hint="eastAsia" w:cs="Times New Roman"/>
                      <w:bCs/>
                      <w:color w:val="auto"/>
                      <w:szCs w:val="21"/>
                      <w:lang w:eastAsia="zh-CN"/>
                    </w:rPr>
                    <w:t>“</w:t>
                  </w:r>
                  <w:r>
                    <w:rPr>
                      <w:rFonts w:cs="Times New Roman"/>
                      <w:bCs/>
                      <w:color w:val="auto"/>
                      <w:szCs w:val="21"/>
                    </w:rPr>
                    <w:t>南北差异、重点集聚、轴带提升、整体振兴</w:t>
                  </w:r>
                  <w:r>
                    <w:rPr>
                      <w:rFonts w:hint="eastAsia" w:cs="Times New Roman"/>
                      <w:bCs/>
                      <w:color w:val="auto"/>
                      <w:szCs w:val="21"/>
                      <w:lang w:eastAsia="zh-CN"/>
                    </w:rPr>
                    <w:t>”</w:t>
                  </w:r>
                  <w:r>
                    <w:rPr>
                      <w:rFonts w:cs="Times New Roman"/>
                      <w:bCs/>
                      <w:color w:val="auto"/>
                      <w:szCs w:val="21"/>
                    </w:rPr>
                    <w:t>的思路优化城镇空间。强化川东北与渝东北一体化发展。共同打造万达开川渝统筹发展示范区，着力构建省际高质量发展引领区。打造成南达万沿线经济走廊，加快建设东出北上综合交通运输大通道</w:t>
                  </w:r>
                  <w:r>
                    <w:rPr>
                      <w:rFonts w:hint="eastAsia" w:cs="Times New Roman"/>
                      <w:bCs/>
                      <w:color w:val="auto"/>
                      <w:szCs w:val="21"/>
                      <w:lang w:eastAsia="zh-CN"/>
                    </w:rPr>
                    <w:t>，</w:t>
                  </w:r>
                  <w:r>
                    <w:rPr>
                      <w:rFonts w:cs="Times New Roman"/>
                      <w:bCs/>
                      <w:color w:val="auto"/>
                      <w:szCs w:val="21"/>
                    </w:rPr>
                    <w:t>推动南充-达州组团全面建设省域经济副中心，塑造嘉陵江-渠江绿色生态经济带。建设四川省东向和北向的出川综合交通枢纽、川渝陕甘结合部的区域经济中心，推动川东北地区振兴发展。</w:t>
                  </w:r>
                </w:p>
              </w:tc>
              <w:tc>
                <w:tcPr>
                  <w:tcW w:w="979" w:type="pct"/>
                  <w:tcBorders>
                    <w:tl2br w:val="nil"/>
                    <w:tr2bl w:val="nil"/>
                  </w:tcBorders>
                  <w:shd w:val="clear" w:color="auto" w:fill="auto"/>
                  <w:vAlign w:val="top"/>
                </w:tcPr>
                <w:p w14:paraId="019F145F">
                  <w:pPr>
                    <w:jc w:val="center"/>
                    <w:rPr>
                      <w:rFonts w:cs="Times New Roman"/>
                      <w:bCs/>
                      <w:color w:val="auto"/>
                      <w:szCs w:val="21"/>
                    </w:rPr>
                  </w:pPr>
                </w:p>
                <w:p w14:paraId="40C57046">
                  <w:pPr>
                    <w:jc w:val="center"/>
                    <w:rPr>
                      <w:rFonts w:cs="Times New Roman"/>
                      <w:bCs/>
                      <w:color w:val="auto"/>
                      <w:szCs w:val="21"/>
                    </w:rPr>
                  </w:pPr>
                </w:p>
                <w:p w14:paraId="17E0FD1B">
                  <w:pPr>
                    <w:jc w:val="center"/>
                    <w:rPr>
                      <w:rFonts w:cs="Times New Roman"/>
                      <w:bCs/>
                      <w:color w:val="auto"/>
                      <w:szCs w:val="21"/>
                      <w:lang w:val="en-US" w:eastAsia="en-US"/>
                    </w:rPr>
                  </w:pPr>
                  <w:r>
                    <w:rPr>
                      <w:rFonts w:cs="Times New Roman"/>
                      <w:bCs/>
                      <w:color w:val="auto"/>
                      <w:szCs w:val="21"/>
                    </w:rPr>
                    <w:t>本项目位于通川区东岳新型工业集聚区，属于规划的工业园区范围，也属于城镇开发空间内规划的工</w:t>
                  </w:r>
                  <w:r>
                    <w:rPr>
                      <w:rFonts w:hint="eastAsia" w:cs="Times New Roman"/>
                      <w:bCs/>
                      <w:color w:val="auto"/>
                      <w:szCs w:val="21"/>
                      <w:lang w:eastAsia="zh-CN"/>
                    </w:rPr>
                    <w:t>业</w:t>
                  </w:r>
                  <w:r>
                    <w:rPr>
                      <w:rFonts w:cs="Times New Roman"/>
                      <w:bCs/>
                      <w:color w:val="auto"/>
                      <w:szCs w:val="21"/>
                    </w:rPr>
                    <w:t>区，符合国土空间规划要求。</w:t>
                  </w:r>
                </w:p>
              </w:tc>
              <w:tc>
                <w:tcPr>
                  <w:tcW w:w="376" w:type="pct"/>
                  <w:tcBorders>
                    <w:tl2br w:val="nil"/>
                    <w:tr2bl w:val="nil"/>
                  </w:tcBorders>
                  <w:shd w:val="clear" w:color="auto" w:fill="auto"/>
                  <w:vAlign w:val="top"/>
                </w:tcPr>
                <w:p w14:paraId="062503D3">
                  <w:pPr>
                    <w:spacing w:line="241" w:lineRule="auto"/>
                    <w:rPr>
                      <w:rFonts w:ascii="Arial"/>
                      <w:color w:val="auto"/>
                      <w:sz w:val="21"/>
                    </w:rPr>
                  </w:pPr>
                </w:p>
                <w:p w14:paraId="7A02D41B">
                  <w:pPr>
                    <w:spacing w:line="241" w:lineRule="auto"/>
                    <w:rPr>
                      <w:rFonts w:ascii="Arial"/>
                      <w:color w:val="auto"/>
                      <w:sz w:val="21"/>
                    </w:rPr>
                  </w:pPr>
                </w:p>
                <w:p w14:paraId="3801436D">
                  <w:pPr>
                    <w:spacing w:line="241" w:lineRule="auto"/>
                    <w:rPr>
                      <w:rFonts w:ascii="Arial"/>
                      <w:color w:val="auto"/>
                      <w:sz w:val="21"/>
                    </w:rPr>
                  </w:pPr>
                </w:p>
                <w:p w14:paraId="40D19622">
                  <w:pPr>
                    <w:spacing w:line="241" w:lineRule="auto"/>
                    <w:rPr>
                      <w:rFonts w:ascii="Arial"/>
                      <w:color w:val="auto"/>
                      <w:sz w:val="21"/>
                    </w:rPr>
                  </w:pPr>
                </w:p>
                <w:p w14:paraId="6A505D24">
                  <w:pPr>
                    <w:spacing w:line="242" w:lineRule="auto"/>
                    <w:rPr>
                      <w:rFonts w:ascii="Arial"/>
                      <w:color w:val="auto"/>
                      <w:sz w:val="21"/>
                    </w:rPr>
                  </w:pPr>
                </w:p>
                <w:p w14:paraId="42708ED8">
                  <w:pPr>
                    <w:spacing w:line="242" w:lineRule="auto"/>
                    <w:rPr>
                      <w:rFonts w:ascii="Arial"/>
                      <w:color w:val="auto"/>
                      <w:sz w:val="21"/>
                    </w:rPr>
                  </w:pPr>
                </w:p>
                <w:p w14:paraId="743DD901">
                  <w:pPr>
                    <w:spacing w:line="242" w:lineRule="auto"/>
                    <w:rPr>
                      <w:rFonts w:ascii="Arial"/>
                      <w:color w:val="auto"/>
                      <w:sz w:val="21"/>
                    </w:rPr>
                  </w:pPr>
                </w:p>
                <w:p w14:paraId="35AD48A9">
                  <w:pPr>
                    <w:spacing w:line="242" w:lineRule="auto"/>
                    <w:rPr>
                      <w:rFonts w:ascii="Arial"/>
                      <w:color w:val="auto"/>
                      <w:sz w:val="21"/>
                    </w:rPr>
                  </w:pPr>
                </w:p>
                <w:p w14:paraId="563E4DF6">
                  <w:pPr>
                    <w:jc w:val="center"/>
                    <w:rPr>
                      <w:rFonts w:ascii="宋体" w:hAnsi="宋体" w:eastAsia="宋体" w:cs="宋体"/>
                      <w:color w:val="auto"/>
                      <w:kern w:val="2"/>
                      <w:sz w:val="18"/>
                      <w:szCs w:val="18"/>
                      <w:lang w:val="en-US" w:eastAsia="en-US" w:bidi="ar-SA"/>
                    </w:rPr>
                  </w:pPr>
                  <w:r>
                    <w:rPr>
                      <w:rFonts w:cs="Times New Roman"/>
                      <w:bCs/>
                      <w:color w:val="auto"/>
                      <w:szCs w:val="21"/>
                    </w:rPr>
                    <w:t>符合</w:t>
                  </w:r>
                </w:p>
              </w:tc>
            </w:tr>
            <w:tr w14:paraId="4254EA6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675" w:type="pct"/>
                  <w:vMerge w:val="restart"/>
                  <w:tcBorders>
                    <w:tl2br w:val="nil"/>
                    <w:tr2bl w:val="nil"/>
                  </w:tcBorders>
                  <w:shd w:val="clear" w:color="auto" w:fill="auto"/>
                  <w:vAlign w:val="top"/>
                </w:tcPr>
                <w:p w14:paraId="4F659998">
                  <w:pPr>
                    <w:jc w:val="center"/>
                    <w:rPr>
                      <w:rFonts w:cs="Times New Roman"/>
                      <w:bCs/>
                      <w:color w:val="auto"/>
                      <w:szCs w:val="21"/>
                    </w:rPr>
                  </w:pPr>
                </w:p>
                <w:p w14:paraId="3597BFB2">
                  <w:pPr>
                    <w:jc w:val="center"/>
                    <w:rPr>
                      <w:rFonts w:cs="Times New Roman"/>
                      <w:bCs/>
                      <w:color w:val="auto"/>
                      <w:szCs w:val="21"/>
                    </w:rPr>
                  </w:pPr>
                </w:p>
                <w:p w14:paraId="1FCCE652">
                  <w:pPr>
                    <w:jc w:val="center"/>
                    <w:rPr>
                      <w:rFonts w:cs="Times New Roman"/>
                      <w:bCs/>
                      <w:color w:val="auto"/>
                      <w:szCs w:val="21"/>
                    </w:rPr>
                  </w:pPr>
                </w:p>
                <w:p w14:paraId="16961776">
                  <w:pPr>
                    <w:jc w:val="center"/>
                    <w:rPr>
                      <w:rFonts w:cs="Times New Roman"/>
                      <w:bCs/>
                      <w:color w:val="auto"/>
                      <w:szCs w:val="21"/>
                    </w:rPr>
                  </w:pPr>
                  <w:r>
                    <w:rPr>
                      <w:rFonts w:cs="Times New Roman"/>
                      <w:bCs/>
                      <w:color w:val="auto"/>
                      <w:szCs w:val="21"/>
                    </w:rPr>
                    <w:t>《达州市国土空间总体规划（2021—2035年）》川府函</w:t>
                  </w:r>
                </w:p>
                <w:p w14:paraId="355F181D">
                  <w:pPr>
                    <w:jc w:val="center"/>
                    <w:rPr>
                      <w:rFonts w:cs="Times New Roman"/>
                      <w:bCs/>
                      <w:color w:val="auto"/>
                      <w:szCs w:val="21"/>
                      <w:lang w:val="en-US" w:eastAsia="en-US"/>
                    </w:rPr>
                  </w:pPr>
                  <w:r>
                    <w:rPr>
                      <w:rFonts w:cs="Times New Roman"/>
                      <w:bCs/>
                      <w:color w:val="auto"/>
                      <w:szCs w:val="21"/>
                    </w:rPr>
                    <w:t>〔2024〕</w:t>
                  </w:r>
                </w:p>
              </w:tc>
              <w:tc>
                <w:tcPr>
                  <w:tcW w:w="2968" w:type="pct"/>
                  <w:tcBorders>
                    <w:tl2br w:val="nil"/>
                    <w:tr2bl w:val="nil"/>
                  </w:tcBorders>
                  <w:shd w:val="clear" w:color="auto" w:fill="auto"/>
                  <w:vAlign w:val="top"/>
                </w:tcPr>
                <w:p w14:paraId="039EC3D0">
                  <w:pPr>
                    <w:jc w:val="left"/>
                    <w:rPr>
                      <w:rFonts w:cs="Times New Roman"/>
                      <w:bCs/>
                      <w:color w:val="auto"/>
                      <w:szCs w:val="21"/>
                      <w:lang w:val="en-US" w:eastAsia="en-US"/>
                    </w:rPr>
                  </w:pPr>
                  <w:r>
                    <w:rPr>
                      <w:rFonts w:cs="Times New Roman"/>
                      <w:bCs/>
                      <w:color w:val="auto"/>
                      <w:szCs w:val="21"/>
                    </w:rPr>
                    <w:t>二、筑牢安全发展的空间基础。到2035年，达州市耕地保有量不低于632.38万亩，其中，永久基本农田保护面积不低于514.75万亩；生态保护红线面积不低于1202.98平方千米；城镇开发边界面积控制在312.03平方千米以内。落实蓝线、绿线、黄线、紫线、历史文化保护线以及防灾减灾等各类控制线，全面锚固高质量发展的空间底线。</w:t>
                  </w:r>
                </w:p>
              </w:tc>
              <w:tc>
                <w:tcPr>
                  <w:tcW w:w="979" w:type="pct"/>
                  <w:tcBorders>
                    <w:tl2br w:val="nil"/>
                    <w:tr2bl w:val="nil"/>
                  </w:tcBorders>
                  <w:shd w:val="clear" w:color="auto" w:fill="auto"/>
                  <w:vAlign w:val="top"/>
                </w:tcPr>
                <w:p w14:paraId="6B946B77">
                  <w:pPr>
                    <w:jc w:val="center"/>
                    <w:rPr>
                      <w:rFonts w:cs="Times New Roman"/>
                      <w:bCs/>
                      <w:color w:val="auto"/>
                      <w:szCs w:val="21"/>
                      <w:lang w:val="en-US" w:eastAsia="en-US"/>
                    </w:rPr>
                  </w:pPr>
                  <w:r>
                    <w:rPr>
                      <w:rFonts w:cs="Times New Roman"/>
                      <w:bCs/>
                      <w:color w:val="auto"/>
                      <w:szCs w:val="21"/>
                    </w:rPr>
                    <w:t>本项目位于东岳镇虹桥社区达州市天宇车业有限公司厂区范围内，属于东岳新型工业集聚区范围，位于城镇开发边界内。</w:t>
                  </w:r>
                </w:p>
              </w:tc>
              <w:tc>
                <w:tcPr>
                  <w:tcW w:w="376" w:type="pct"/>
                  <w:tcBorders>
                    <w:tl2br w:val="nil"/>
                    <w:tr2bl w:val="nil"/>
                  </w:tcBorders>
                  <w:vAlign w:val="center"/>
                </w:tcPr>
                <w:p w14:paraId="0A591B6A">
                  <w:pPr>
                    <w:jc w:val="center"/>
                    <w:rPr>
                      <w:rFonts w:cs="Times New Roman"/>
                      <w:bCs/>
                      <w:color w:val="auto"/>
                      <w:szCs w:val="21"/>
                    </w:rPr>
                  </w:pPr>
                  <w:r>
                    <w:rPr>
                      <w:rFonts w:cs="Times New Roman"/>
                      <w:bCs/>
                      <w:color w:val="auto"/>
                      <w:szCs w:val="21"/>
                    </w:rPr>
                    <w:t>符合</w:t>
                  </w:r>
                </w:p>
              </w:tc>
            </w:tr>
            <w:tr w14:paraId="5241549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675" w:type="pct"/>
                  <w:vMerge w:val="continue"/>
                  <w:tcBorders>
                    <w:tl2br w:val="nil"/>
                    <w:tr2bl w:val="nil"/>
                  </w:tcBorders>
                  <w:vAlign w:val="center"/>
                </w:tcPr>
                <w:p w14:paraId="0E1BFC99">
                  <w:pPr>
                    <w:jc w:val="center"/>
                    <w:rPr>
                      <w:rFonts w:cs="Times New Roman"/>
                      <w:bCs/>
                      <w:color w:val="auto"/>
                      <w:szCs w:val="21"/>
                    </w:rPr>
                  </w:pPr>
                </w:p>
              </w:tc>
              <w:tc>
                <w:tcPr>
                  <w:tcW w:w="2968" w:type="pct"/>
                  <w:tcBorders>
                    <w:tl2br w:val="nil"/>
                    <w:tr2bl w:val="nil"/>
                  </w:tcBorders>
                  <w:shd w:val="clear" w:color="auto" w:fill="auto"/>
                  <w:vAlign w:val="top"/>
                </w:tcPr>
                <w:p w14:paraId="4D4B884F">
                  <w:pPr>
                    <w:jc w:val="left"/>
                    <w:rPr>
                      <w:rFonts w:cs="Times New Roman"/>
                      <w:bCs/>
                      <w:color w:val="auto"/>
                      <w:szCs w:val="21"/>
                      <w:lang w:val="en-US" w:eastAsia="en-US"/>
                    </w:rPr>
                  </w:pPr>
                  <w:r>
                    <w:rPr>
                      <w:rFonts w:cs="Times New Roman"/>
                      <w:bCs/>
                      <w:color w:val="auto"/>
                      <w:szCs w:val="21"/>
                    </w:rPr>
                    <w:t>三、优化国土空间开发保护格局。落实主体功能区战略，构建</w:t>
                  </w:r>
                  <w:r>
                    <w:rPr>
                      <w:rFonts w:hint="eastAsia" w:cs="Times New Roman"/>
                      <w:bCs/>
                      <w:color w:val="auto"/>
                      <w:szCs w:val="21"/>
                      <w:lang w:eastAsia="zh-CN"/>
                    </w:rPr>
                    <w:t>“</w:t>
                  </w:r>
                  <w:r>
                    <w:rPr>
                      <w:rFonts w:cs="Times New Roman"/>
                      <w:bCs/>
                      <w:color w:val="auto"/>
                      <w:szCs w:val="21"/>
                    </w:rPr>
                    <w:t>一屏两廊三区、一核两翼三轴</w:t>
                  </w:r>
                  <w:r>
                    <w:rPr>
                      <w:rFonts w:hint="eastAsia" w:cs="Times New Roman"/>
                      <w:bCs/>
                      <w:color w:val="auto"/>
                      <w:szCs w:val="21"/>
                      <w:lang w:eastAsia="zh-CN"/>
                    </w:rPr>
                    <w:t>”</w:t>
                  </w:r>
                  <w:r>
                    <w:rPr>
                      <w:rFonts w:cs="Times New Roman"/>
                      <w:bCs/>
                      <w:color w:val="auto"/>
                      <w:szCs w:val="21"/>
                    </w:rPr>
                    <w:t>的国土空间开发保护总体格局。筑牢大巴山生态安全屏障，加强渠江、州河生态保护，强化农业空间保护利用，夯实粮食安全基础。推动中心城区和周边县城协同联动，深度融入成渝地区双城经济圈建设，优化城镇体系结构。促进土地节约集约利用，加大城乡存量用地挖潜力度，全面提升国土空间开发保护利用水平。</w:t>
                  </w:r>
                </w:p>
              </w:tc>
              <w:tc>
                <w:tcPr>
                  <w:tcW w:w="979" w:type="pct"/>
                  <w:tcBorders>
                    <w:tl2br w:val="nil"/>
                    <w:tr2bl w:val="nil"/>
                  </w:tcBorders>
                  <w:shd w:val="clear" w:color="auto" w:fill="auto"/>
                  <w:vAlign w:val="top"/>
                </w:tcPr>
                <w:p w14:paraId="29C93B74">
                  <w:pPr>
                    <w:jc w:val="center"/>
                    <w:rPr>
                      <w:rFonts w:hint="default" w:cs="Times New Roman"/>
                      <w:bCs/>
                      <w:color w:val="auto"/>
                      <w:szCs w:val="21"/>
                      <w:lang w:val="en-US" w:eastAsia="zh-CN"/>
                    </w:rPr>
                  </w:pPr>
                  <w:r>
                    <w:rPr>
                      <w:rFonts w:cs="Times New Roman"/>
                      <w:bCs/>
                      <w:color w:val="auto"/>
                      <w:szCs w:val="21"/>
                    </w:rPr>
                    <w:t>本项目位于东岳新型工业集聚区范围，不占用农业空间。项目为租用闲置厂房建设，不涉及新占用土地</w:t>
                  </w:r>
                </w:p>
              </w:tc>
              <w:tc>
                <w:tcPr>
                  <w:tcW w:w="376" w:type="pct"/>
                  <w:tcBorders>
                    <w:tl2br w:val="nil"/>
                    <w:tr2bl w:val="nil"/>
                  </w:tcBorders>
                  <w:vAlign w:val="center"/>
                </w:tcPr>
                <w:p w14:paraId="2C96118D">
                  <w:pPr>
                    <w:jc w:val="center"/>
                    <w:rPr>
                      <w:rFonts w:cs="Times New Roman"/>
                      <w:bCs/>
                      <w:color w:val="auto"/>
                      <w:szCs w:val="21"/>
                    </w:rPr>
                  </w:pPr>
                  <w:r>
                    <w:rPr>
                      <w:rFonts w:cs="Times New Roman"/>
                      <w:bCs/>
                      <w:color w:val="auto"/>
                      <w:szCs w:val="21"/>
                    </w:rPr>
                    <w:t>符合</w:t>
                  </w:r>
                </w:p>
              </w:tc>
            </w:tr>
            <w:tr w14:paraId="3625710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675" w:type="pct"/>
                  <w:vMerge w:val="continue"/>
                  <w:tcBorders>
                    <w:tl2br w:val="nil"/>
                    <w:tr2bl w:val="nil"/>
                  </w:tcBorders>
                  <w:vAlign w:val="center"/>
                </w:tcPr>
                <w:p w14:paraId="484E29D8">
                  <w:pPr>
                    <w:jc w:val="center"/>
                    <w:rPr>
                      <w:rFonts w:cs="Times New Roman"/>
                      <w:bCs/>
                      <w:color w:val="auto"/>
                      <w:szCs w:val="21"/>
                    </w:rPr>
                  </w:pPr>
                </w:p>
              </w:tc>
              <w:tc>
                <w:tcPr>
                  <w:tcW w:w="2968" w:type="pct"/>
                  <w:tcBorders>
                    <w:tl2br w:val="nil"/>
                    <w:tr2bl w:val="nil"/>
                  </w:tcBorders>
                  <w:shd w:val="clear" w:color="auto" w:fill="auto"/>
                  <w:vAlign w:val="top"/>
                </w:tcPr>
                <w:p w14:paraId="46D91994">
                  <w:pPr>
                    <w:jc w:val="left"/>
                    <w:rPr>
                      <w:rFonts w:cs="Times New Roman"/>
                      <w:bCs/>
                      <w:color w:val="auto"/>
                      <w:szCs w:val="21"/>
                    </w:rPr>
                  </w:pPr>
                  <w:r>
                    <w:rPr>
                      <w:rFonts w:cs="Times New Roman"/>
                      <w:bCs/>
                      <w:color w:val="auto"/>
                      <w:szCs w:val="21"/>
                    </w:rPr>
                    <w:t>五、加强历史文化和风貌特色保护。统筹协调好历史文化保护与城市发展，构建合理的历史文化保护体系，严格落实历史文化保护线管控要求，重点保护好罗家坝、城坝等大遗址，石桥、清河历史文化名镇，各级文物保护单位及其周围环境。顺应自然山水格局，塑造富有地域特色和人文魅力的城乡风貌，彰显巴山渠水城市特色。</w:t>
                  </w:r>
                </w:p>
              </w:tc>
              <w:tc>
                <w:tcPr>
                  <w:tcW w:w="979" w:type="pct"/>
                  <w:tcBorders>
                    <w:tl2br w:val="nil"/>
                    <w:tr2bl w:val="nil"/>
                  </w:tcBorders>
                  <w:shd w:val="clear" w:color="auto" w:fill="auto"/>
                  <w:vAlign w:val="top"/>
                </w:tcPr>
                <w:p w14:paraId="5E2AB35B">
                  <w:pPr>
                    <w:jc w:val="center"/>
                    <w:rPr>
                      <w:rFonts w:cs="Times New Roman"/>
                      <w:bCs/>
                      <w:color w:val="auto"/>
                      <w:szCs w:val="21"/>
                    </w:rPr>
                  </w:pPr>
                  <w:r>
                    <w:rPr>
                      <w:rFonts w:cs="Times New Roman"/>
                      <w:bCs/>
                      <w:color w:val="auto"/>
                      <w:szCs w:val="21"/>
                    </w:rPr>
                    <w:t>本项目位于东岳镇虹桥社区，属于东岳新型工业集聚区范围，项目周边评价区域不涉及罗家坝、城坝等历史文化和风貌等特殊保护的区域。</w:t>
                  </w:r>
                </w:p>
              </w:tc>
              <w:tc>
                <w:tcPr>
                  <w:tcW w:w="376" w:type="pct"/>
                  <w:tcBorders>
                    <w:tl2br w:val="nil"/>
                    <w:tr2bl w:val="nil"/>
                  </w:tcBorders>
                  <w:vAlign w:val="center"/>
                </w:tcPr>
                <w:p w14:paraId="0EA74323">
                  <w:pPr>
                    <w:jc w:val="center"/>
                    <w:rPr>
                      <w:rFonts w:cs="Times New Roman"/>
                      <w:bCs/>
                      <w:color w:val="auto"/>
                      <w:szCs w:val="21"/>
                    </w:rPr>
                  </w:pPr>
                  <w:r>
                    <w:rPr>
                      <w:rFonts w:cs="Times New Roman"/>
                      <w:bCs/>
                      <w:color w:val="auto"/>
                      <w:szCs w:val="21"/>
                    </w:rPr>
                    <w:t>符合</w:t>
                  </w:r>
                </w:p>
              </w:tc>
            </w:tr>
          </w:tbl>
          <w:p w14:paraId="39E5506B">
            <w:pPr>
              <w:spacing w:line="360" w:lineRule="auto"/>
              <w:ind w:firstLine="480" w:firstLineChars="200"/>
              <w:rPr>
                <w:rFonts w:hint="eastAsia" w:cs="Times New Roman"/>
                <w:b/>
                <w:bCs/>
                <w:color w:val="auto"/>
                <w:sz w:val="24"/>
                <w:szCs w:val="24"/>
                <w:lang w:val="en-US" w:eastAsia="zh-CN"/>
              </w:rPr>
            </w:pPr>
            <w:r>
              <w:rPr>
                <w:rFonts w:hint="eastAsia" w:cs="Times New Roman"/>
                <w:b w:val="0"/>
                <w:bCs w:val="0"/>
                <w:color w:val="auto"/>
                <w:sz w:val="24"/>
                <w:szCs w:val="24"/>
                <w:lang w:eastAsia="zh-CN"/>
              </w:rPr>
              <w:t>根据上表可知，项目与</w:t>
            </w:r>
            <w:r>
              <w:rPr>
                <w:rFonts w:cs="Times New Roman"/>
                <w:color w:val="auto"/>
                <w:sz w:val="24"/>
                <w:szCs w:val="24"/>
              </w:rPr>
              <w:t>《达州市国土空间总体规划（2021—2035 年）》</w:t>
            </w:r>
            <w:r>
              <w:rPr>
                <w:rFonts w:hint="eastAsia" w:cs="Times New Roman"/>
                <w:b w:val="0"/>
                <w:bCs w:val="0"/>
                <w:color w:val="auto"/>
                <w:sz w:val="24"/>
                <w:szCs w:val="24"/>
                <w:lang w:eastAsia="zh-CN"/>
              </w:rPr>
              <w:t>上述条文是相符的。</w:t>
            </w:r>
          </w:p>
          <w:p w14:paraId="4D4D2C4E">
            <w:pPr>
              <w:spacing w:line="360" w:lineRule="auto"/>
              <w:ind w:firstLine="482" w:firstLineChars="200"/>
              <w:rPr>
                <w:rFonts w:hint="eastAsia" w:cs="Times New Roman"/>
                <w:b/>
                <w:bCs/>
                <w:color w:val="auto"/>
                <w:sz w:val="24"/>
                <w:szCs w:val="24"/>
                <w:lang w:val="en-US" w:eastAsia="zh-CN"/>
              </w:rPr>
            </w:pPr>
            <w:r>
              <w:rPr>
                <w:rFonts w:hint="eastAsia" w:cs="Times New Roman"/>
                <w:b/>
                <w:bCs/>
                <w:color w:val="auto"/>
                <w:sz w:val="24"/>
                <w:szCs w:val="24"/>
                <w:lang w:val="en-US" w:eastAsia="zh-CN"/>
              </w:rPr>
              <w:t>9、与《四川省空气质量持续改善行动计划实施方案》（川府发〔2024〕15 号）的符合性</w:t>
            </w:r>
          </w:p>
          <w:p w14:paraId="488AE382">
            <w:pPr>
              <w:spacing w:line="360" w:lineRule="auto"/>
              <w:jc w:val="center"/>
              <w:rPr>
                <w:rFonts w:cs="Times New Roman"/>
                <w:b/>
                <w:bCs/>
                <w:color w:val="auto"/>
                <w:sz w:val="24"/>
                <w:szCs w:val="24"/>
                <w:lang w:val="en-US" w:eastAsia="zh-CN"/>
              </w:rPr>
            </w:pPr>
            <w:r>
              <w:rPr>
                <w:rFonts w:cs="Times New Roman"/>
                <w:b/>
                <w:bCs/>
                <w:color w:val="auto"/>
                <w:sz w:val="24"/>
                <w:szCs w:val="24"/>
              </w:rPr>
              <w:t>表1-</w:t>
            </w:r>
            <w:r>
              <w:rPr>
                <w:rFonts w:hint="eastAsia" w:cs="Times New Roman"/>
                <w:b/>
                <w:bCs/>
                <w:color w:val="auto"/>
                <w:sz w:val="24"/>
                <w:szCs w:val="24"/>
                <w:lang w:val="en-US" w:eastAsia="zh-CN"/>
              </w:rPr>
              <w:t>10</w:t>
            </w:r>
            <w:r>
              <w:rPr>
                <w:rFonts w:cs="Times New Roman"/>
                <w:b/>
                <w:bCs/>
                <w:color w:val="auto"/>
                <w:sz w:val="24"/>
                <w:szCs w:val="24"/>
              </w:rPr>
              <w:t xml:space="preserve">  </w:t>
            </w:r>
            <w:r>
              <w:rPr>
                <w:rFonts w:cs="Times New Roman"/>
                <w:b/>
                <w:bCs/>
                <w:color w:val="auto"/>
                <w:sz w:val="24"/>
                <w:szCs w:val="24"/>
                <w:lang w:val="en-US" w:eastAsia="zh-CN"/>
              </w:rPr>
              <w:t>与四川省空气质量持续改善行动计划实施方案的符合性分析</w:t>
            </w:r>
          </w:p>
          <w:tbl>
            <w:tblPr>
              <w:tblStyle w:val="24"/>
              <w:tblW w:w="8162"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
            <w:tblGrid>
              <w:gridCol w:w="857"/>
              <w:gridCol w:w="4750"/>
              <w:gridCol w:w="1957"/>
              <w:gridCol w:w="598"/>
            </w:tblGrid>
            <w:tr w14:paraId="33D7CD9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524" w:type="pct"/>
                  <w:tcBorders>
                    <w:tl2br w:val="nil"/>
                    <w:tr2bl w:val="nil"/>
                  </w:tcBorders>
                  <w:vAlign w:val="center"/>
                </w:tcPr>
                <w:p w14:paraId="0CD47950">
                  <w:pPr>
                    <w:jc w:val="center"/>
                    <w:rPr>
                      <w:rFonts w:hint="eastAsia" w:eastAsia="宋体" w:cs="Times New Roman"/>
                      <w:b/>
                      <w:color w:val="auto"/>
                      <w:szCs w:val="21"/>
                      <w:lang w:eastAsia="zh-CN"/>
                    </w:rPr>
                  </w:pPr>
                  <w:r>
                    <w:rPr>
                      <w:rFonts w:hint="eastAsia" w:cs="Times New Roman"/>
                      <w:b/>
                      <w:color w:val="auto"/>
                      <w:szCs w:val="21"/>
                      <w:lang w:eastAsia="zh-CN"/>
                    </w:rPr>
                    <w:t>序号</w:t>
                  </w:r>
                </w:p>
              </w:tc>
              <w:tc>
                <w:tcPr>
                  <w:tcW w:w="2909" w:type="pct"/>
                  <w:tcBorders>
                    <w:tl2br w:val="nil"/>
                    <w:tr2bl w:val="nil"/>
                  </w:tcBorders>
                  <w:vAlign w:val="center"/>
                </w:tcPr>
                <w:p w14:paraId="2F618156">
                  <w:pPr>
                    <w:jc w:val="center"/>
                    <w:rPr>
                      <w:rFonts w:cs="Times New Roman"/>
                      <w:b/>
                      <w:color w:val="auto"/>
                      <w:szCs w:val="21"/>
                    </w:rPr>
                  </w:pPr>
                  <w:r>
                    <w:rPr>
                      <w:rFonts w:cs="Times New Roman"/>
                      <w:b/>
                      <w:color w:val="auto"/>
                      <w:szCs w:val="21"/>
                    </w:rPr>
                    <w:t>规划要求</w:t>
                  </w:r>
                </w:p>
              </w:tc>
              <w:tc>
                <w:tcPr>
                  <w:tcW w:w="1198" w:type="pct"/>
                  <w:tcBorders>
                    <w:tl2br w:val="nil"/>
                    <w:tr2bl w:val="nil"/>
                  </w:tcBorders>
                  <w:vAlign w:val="center"/>
                </w:tcPr>
                <w:p w14:paraId="56A76B2D">
                  <w:pPr>
                    <w:jc w:val="center"/>
                    <w:rPr>
                      <w:rFonts w:cs="Times New Roman"/>
                      <w:b/>
                      <w:color w:val="auto"/>
                      <w:szCs w:val="21"/>
                    </w:rPr>
                  </w:pPr>
                  <w:r>
                    <w:rPr>
                      <w:rFonts w:cs="Times New Roman"/>
                      <w:b/>
                      <w:color w:val="auto"/>
                      <w:szCs w:val="21"/>
                    </w:rPr>
                    <w:t>项目相关情况</w:t>
                  </w:r>
                </w:p>
              </w:tc>
              <w:tc>
                <w:tcPr>
                  <w:tcW w:w="366" w:type="pct"/>
                  <w:tcBorders>
                    <w:tl2br w:val="nil"/>
                    <w:tr2bl w:val="nil"/>
                  </w:tcBorders>
                  <w:vAlign w:val="center"/>
                </w:tcPr>
                <w:p w14:paraId="579E11F0">
                  <w:pPr>
                    <w:jc w:val="center"/>
                    <w:rPr>
                      <w:rFonts w:cs="Times New Roman"/>
                      <w:b/>
                      <w:color w:val="auto"/>
                      <w:szCs w:val="21"/>
                    </w:rPr>
                  </w:pPr>
                  <w:r>
                    <w:rPr>
                      <w:rFonts w:cs="Times New Roman"/>
                      <w:b/>
                      <w:color w:val="auto"/>
                      <w:szCs w:val="21"/>
                    </w:rPr>
                    <w:t>符合性</w:t>
                  </w:r>
                </w:p>
              </w:tc>
            </w:tr>
            <w:tr w14:paraId="1432AB4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524" w:type="pct"/>
                  <w:tcBorders>
                    <w:tl2br w:val="nil"/>
                    <w:tr2bl w:val="nil"/>
                  </w:tcBorders>
                  <w:shd w:val="clear" w:color="auto" w:fill="auto"/>
                  <w:vAlign w:val="center"/>
                </w:tcPr>
                <w:p w14:paraId="41F1E46A">
                  <w:pPr>
                    <w:jc w:val="center"/>
                    <w:rPr>
                      <w:rFonts w:hint="eastAsia" w:eastAsia="宋体" w:cs="Times New Roman"/>
                      <w:bCs/>
                      <w:color w:val="auto"/>
                      <w:szCs w:val="21"/>
                      <w:lang w:val="en-US" w:eastAsia="zh-CN"/>
                    </w:rPr>
                  </w:pPr>
                  <w:r>
                    <w:rPr>
                      <w:rFonts w:hint="eastAsia" w:cs="Times New Roman"/>
                      <w:bCs/>
                      <w:color w:val="auto"/>
                      <w:szCs w:val="21"/>
                      <w:lang w:val="en-US" w:eastAsia="zh-CN"/>
                    </w:rPr>
                    <w:t>1</w:t>
                  </w:r>
                </w:p>
              </w:tc>
              <w:tc>
                <w:tcPr>
                  <w:tcW w:w="2909" w:type="pct"/>
                  <w:tcBorders>
                    <w:tl2br w:val="nil"/>
                    <w:tr2bl w:val="nil"/>
                  </w:tcBorders>
                  <w:shd w:val="clear" w:color="auto" w:fill="auto"/>
                  <w:vAlign w:val="center"/>
                </w:tcPr>
                <w:p w14:paraId="4C61661B">
                  <w:pPr>
                    <w:jc w:val="left"/>
                    <w:rPr>
                      <w:rFonts w:ascii="Times New Roman" w:hAnsi="Times New Roman" w:eastAsia="宋体" w:cs="Times New Roman"/>
                      <w:bCs/>
                      <w:color w:val="auto"/>
                      <w:kern w:val="2"/>
                      <w:sz w:val="21"/>
                      <w:szCs w:val="21"/>
                      <w:lang w:val="en-US" w:eastAsia="en-US" w:bidi="ar-SA"/>
                    </w:rPr>
                  </w:pPr>
                  <w:r>
                    <w:rPr>
                      <w:rFonts w:hint="eastAsia" w:cs="Times New Roman"/>
                      <w:bCs/>
                      <w:color w:val="auto"/>
                      <w:szCs w:val="21"/>
                      <w:lang w:val="en-US" w:eastAsia="zh-CN"/>
                    </w:rPr>
                    <w:t>（一）严格产业准入。坚决遏制高耗能、高排放、低水平项目盲目上马。新改扩建项目严格落实国家和四川省产业规划、产业政策、生态环境分区管控方案、规划环评、项目环评、节能审查、产能置换、重点污染物总量控制、污染物排放区域削减、碳排放达峰目标等相关要求，原则上采用清洁运输方式。从严控制高耗能项目节能审查，对年综合能耗</w:t>
                  </w:r>
                  <w:r>
                    <w:rPr>
                      <w:rFonts w:hint="default" w:cs="Times New Roman"/>
                      <w:bCs/>
                      <w:color w:val="auto"/>
                      <w:szCs w:val="21"/>
                      <w:lang w:val="en-US" w:eastAsia="zh-CN"/>
                    </w:rPr>
                    <w:t>5</w:t>
                  </w:r>
                  <w:r>
                    <w:rPr>
                      <w:rFonts w:hint="eastAsia" w:cs="Times New Roman"/>
                      <w:bCs/>
                      <w:color w:val="auto"/>
                      <w:szCs w:val="21"/>
                      <w:lang w:val="en-US" w:eastAsia="zh-CN"/>
                    </w:rPr>
                    <w:t>万吨标准煤以上的项目按要求开展能耗替代。涉及产能置换的项目，被置换产能及其配套设施关停后，新建项目方可投产严禁违规新增钢铁产能。严格落实产能产量双控制度，推行钢铁、焦化、烧结一体化布局，减少独立焦化、烧结、球团和热轧企业及工序。达州钢铁集团有限责任公司、四川省煤焦化集团有限公司按时序完成退城搬迁。</w:t>
                  </w:r>
                </w:p>
              </w:tc>
              <w:tc>
                <w:tcPr>
                  <w:tcW w:w="1198" w:type="pct"/>
                  <w:tcBorders>
                    <w:tl2br w:val="nil"/>
                    <w:tr2bl w:val="nil"/>
                  </w:tcBorders>
                  <w:shd w:val="clear" w:color="auto" w:fill="auto"/>
                  <w:vAlign w:val="center"/>
                </w:tcPr>
                <w:p w14:paraId="6A92827F">
                  <w:pPr>
                    <w:jc w:val="center"/>
                    <w:rPr>
                      <w:rFonts w:cs="Times New Roman"/>
                      <w:bCs/>
                      <w:color w:val="auto"/>
                      <w:szCs w:val="21"/>
                      <w:lang w:val="en-US" w:eastAsia="en-US"/>
                    </w:rPr>
                  </w:pPr>
                  <w:r>
                    <w:rPr>
                      <w:rFonts w:hint="eastAsia" w:cs="Times New Roman"/>
                      <w:bCs/>
                      <w:color w:val="auto"/>
                      <w:szCs w:val="21"/>
                      <w:lang w:val="en-US" w:eastAsia="en-US"/>
                    </w:rPr>
                    <w:t>本项目为</w:t>
                  </w:r>
                  <w:r>
                    <w:rPr>
                      <w:rFonts w:hint="eastAsia" w:cs="Times New Roman"/>
                      <w:bCs/>
                      <w:color w:val="auto"/>
                      <w:szCs w:val="21"/>
                      <w:lang w:val="en-US" w:eastAsia="zh-CN"/>
                    </w:rPr>
                    <w:t>建筑用石加工</w:t>
                  </w:r>
                  <w:r>
                    <w:rPr>
                      <w:rFonts w:hint="eastAsia" w:cs="Times New Roman"/>
                      <w:bCs/>
                      <w:color w:val="auto"/>
                      <w:szCs w:val="21"/>
                      <w:lang w:val="en-US" w:eastAsia="en-US"/>
                    </w:rPr>
                    <w:t>项目，不属于高耗能、高排放、低水平项目；项目符合国家产业政策、符合所属园区</w:t>
                  </w:r>
                  <w:r>
                    <w:rPr>
                      <w:rFonts w:hint="eastAsia" w:cs="Times New Roman"/>
                      <w:bCs/>
                      <w:color w:val="auto"/>
                      <w:szCs w:val="21"/>
                      <w:lang w:val="en-US" w:eastAsia="zh-CN"/>
                    </w:rPr>
                    <w:t>生产</w:t>
                  </w:r>
                  <w:r>
                    <w:rPr>
                      <w:rFonts w:hint="eastAsia" w:cs="Times New Roman"/>
                      <w:bCs/>
                      <w:color w:val="auto"/>
                      <w:szCs w:val="21"/>
                      <w:lang w:val="en-US" w:eastAsia="en-US"/>
                    </w:rPr>
                    <w:t>规划和准入条件。</w:t>
                  </w:r>
                </w:p>
              </w:tc>
              <w:tc>
                <w:tcPr>
                  <w:tcW w:w="366" w:type="pct"/>
                  <w:tcBorders>
                    <w:tl2br w:val="nil"/>
                    <w:tr2bl w:val="nil"/>
                  </w:tcBorders>
                  <w:shd w:val="clear" w:color="auto" w:fill="auto"/>
                  <w:vAlign w:val="center"/>
                </w:tcPr>
                <w:p w14:paraId="2D42D622">
                  <w:pPr>
                    <w:jc w:val="center"/>
                    <w:rPr>
                      <w:rFonts w:ascii="宋体" w:hAnsi="宋体" w:eastAsia="宋体" w:cs="宋体"/>
                      <w:color w:val="auto"/>
                      <w:kern w:val="2"/>
                      <w:sz w:val="18"/>
                      <w:szCs w:val="18"/>
                      <w:lang w:val="en-US" w:eastAsia="en-US" w:bidi="ar-SA"/>
                    </w:rPr>
                  </w:pPr>
                  <w:r>
                    <w:rPr>
                      <w:rFonts w:cs="Times New Roman"/>
                      <w:bCs/>
                      <w:color w:val="auto"/>
                      <w:szCs w:val="21"/>
                    </w:rPr>
                    <w:t>符合</w:t>
                  </w:r>
                </w:p>
              </w:tc>
            </w:tr>
            <w:tr w14:paraId="3A082E2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524" w:type="pct"/>
                  <w:tcBorders>
                    <w:tl2br w:val="nil"/>
                    <w:tr2bl w:val="nil"/>
                  </w:tcBorders>
                  <w:shd w:val="clear" w:color="auto" w:fill="auto"/>
                  <w:vAlign w:val="center"/>
                </w:tcPr>
                <w:p w14:paraId="18A7FF92">
                  <w:pPr>
                    <w:jc w:val="center"/>
                    <w:rPr>
                      <w:rFonts w:hint="eastAsia" w:eastAsia="宋体" w:cs="Times New Roman"/>
                      <w:bCs/>
                      <w:color w:val="auto"/>
                      <w:szCs w:val="21"/>
                      <w:lang w:val="en-US" w:eastAsia="zh-CN"/>
                    </w:rPr>
                  </w:pPr>
                  <w:r>
                    <w:rPr>
                      <w:rFonts w:hint="eastAsia" w:cs="Times New Roman"/>
                      <w:bCs/>
                      <w:color w:val="auto"/>
                      <w:szCs w:val="21"/>
                      <w:lang w:val="en-US" w:eastAsia="zh-CN"/>
                    </w:rPr>
                    <w:t>2</w:t>
                  </w:r>
                </w:p>
              </w:tc>
              <w:tc>
                <w:tcPr>
                  <w:tcW w:w="2909" w:type="pct"/>
                  <w:tcBorders>
                    <w:tl2br w:val="nil"/>
                    <w:tr2bl w:val="nil"/>
                  </w:tcBorders>
                  <w:shd w:val="clear" w:color="auto" w:fill="auto"/>
                  <w:vAlign w:val="center"/>
                </w:tcPr>
                <w:p w14:paraId="7ABC3A00">
                  <w:pPr>
                    <w:jc w:val="left"/>
                    <w:rPr>
                      <w:rFonts w:ascii="Times New Roman" w:hAnsi="Times New Roman" w:eastAsia="宋体" w:cs="Times New Roman"/>
                      <w:bCs/>
                      <w:color w:val="auto"/>
                      <w:kern w:val="2"/>
                      <w:sz w:val="21"/>
                      <w:szCs w:val="21"/>
                      <w:lang w:val="en-US" w:eastAsia="en-US" w:bidi="ar-SA"/>
                    </w:rPr>
                  </w:pPr>
                  <w:r>
                    <w:rPr>
                      <w:rFonts w:hint="eastAsia" w:cs="Times New Roman"/>
                      <w:bCs/>
                      <w:color w:val="auto"/>
                      <w:szCs w:val="21"/>
                      <w:lang w:val="en-US" w:eastAsia="zh-CN"/>
                    </w:rPr>
                    <w:t>（二）加快调整优化重点行业产能。严格执行《产业结构调整指导目录（</w:t>
                  </w:r>
                  <w:r>
                    <w:rPr>
                      <w:rFonts w:hint="default" w:cs="Times New Roman"/>
                      <w:bCs/>
                      <w:color w:val="auto"/>
                      <w:szCs w:val="21"/>
                      <w:lang w:val="en-US" w:eastAsia="zh-CN"/>
                    </w:rPr>
                    <w:t>2024</w:t>
                  </w:r>
                  <w:r>
                    <w:rPr>
                      <w:rFonts w:hint="eastAsia" w:cs="Times New Roman"/>
                      <w:bCs/>
                      <w:color w:val="auto"/>
                      <w:szCs w:val="21"/>
                      <w:lang w:val="en-US" w:eastAsia="zh-CN"/>
                    </w:rPr>
                    <w:t>年本）》，制定实施年度推动落后产能退出工作方案。重点城市提高能耗、环保、质量、安全、技术等要求，支持限制类涉气行业工艺装备通过等量或减量置换退出。到</w:t>
                  </w:r>
                  <w:r>
                    <w:rPr>
                      <w:rFonts w:hint="default" w:cs="Times New Roman"/>
                      <w:bCs/>
                      <w:color w:val="auto"/>
                      <w:szCs w:val="21"/>
                      <w:lang w:val="en-US" w:eastAsia="zh-CN"/>
                    </w:rPr>
                    <w:t>2025</w:t>
                  </w:r>
                  <w:r>
                    <w:rPr>
                      <w:rFonts w:hint="eastAsia" w:cs="Times New Roman"/>
                      <w:bCs/>
                      <w:color w:val="auto"/>
                      <w:szCs w:val="21"/>
                      <w:lang w:val="en-US" w:eastAsia="zh-CN"/>
                    </w:rPr>
                    <w:t>年，推动批烧结、高炉、转炉、焦炉等限制类装备退出或产品升级。逐步淘汰步进式烧结机和球团竖炉以及半封闭式硅锰合金、镍铁、高碳铬铁、高碳锰铁电炉。推动砖瓦行业兼并重组减量置换，到</w:t>
                  </w:r>
                  <w:r>
                    <w:rPr>
                      <w:rFonts w:hint="default" w:cs="Times New Roman"/>
                      <w:bCs/>
                      <w:color w:val="auto"/>
                      <w:szCs w:val="21"/>
                      <w:lang w:val="en-US" w:eastAsia="zh-CN"/>
                    </w:rPr>
                    <w:t>2025</w:t>
                  </w:r>
                  <w:r>
                    <w:rPr>
                      <w:rFonts w:hint="eastAsia" w:cs="Times New Roman"/>
                      <w:bCs/>
                      <w:color w:val="auto"/>
                      <w:szCs w:val="21"/>
                      <w:lang w:val="en-US" w:eastAsia="zh-CN"/>
                    </w:rPr>
                    <w:t>年，重点城市力争烧结砖瓦生产线数量压减</w:t>
                  </w:r>
                  <w:r>
                    <w:rPr>
                      <w:rFonts w:hint="default" w:cs="Times New Roman"/>
                      <w:bCs/>
                      <w:color w:val="auto"/>
                      <w:szCs w:val="21"/>
                      <w:lang w:val="en-US" w:eastAsia="zh-CN"/>
                    </w:rPr>
                    <w:t>40%</w:t>
                  </w:r>
                  <w:r>
                    <w:rPr>
                      <w:rFonts w:hint="eastAsia" w:cs="Times New Roman"/>
                      <w:bCs/>
                      <w:color w:val="auto"/>
                      <w:szCs w:val="21"/>
                      <w:lang w:val="en-US" w:eastAsia="zh-CN"/>
                    </w:rPr>
                    <w:t>以上，广元市、巴中市力争压减</w:t>
                  </w:r>
                  <w:r>
                    <w:rPr>
                      <w:rFonts w:hint="default" w:cs="Times New Roman"/>
                      <w:bCs/>
                      <w:color w:val="auto"/>
                      <w:szCs w:val="21"/>
                      <w:lang w:val="en-US" w:eastAsia="zh-CN"/>
                    </w:rPr>
                    <w:t>20%</w:t>
                  </w:r>
                  <w:r>
                    <w:rPr>
                      <w:rFonts w:hint="eastAsia" w:cs="Times New Roman"/>
                      <w:bCs/>
                      <w:color w:val="auto"/>
                      <w:szCs w:val="21"/>
                      <w:lang w:val="en-US" w:eastAsia="zh-CN"/>
                    </w:rPr>
                    <w:t>以上。推进城市建成区的烧结砖瓦企业关停退出。持续推动水泥行业压减过剩产能和产能置换改造升级。</w:t>
                  </w:r>
                </w:p>
              </w:tc>
              <w:tc>
                <w:tcPr>
                  <w:tcW w:w="1198" w:type="pct"/>
                  <w:tcBorders>
                    <w:tl2br w:val="nil"/>
                    <w:tr2bl w:val="nil"/>
                  </w:tcBorders>
                  <w:shd w:val="clear" w:color="auto" w:fill="auto"/>
                  <w:vAlign w:val="center"/>
                </w:tcPr>
                <w:p w14:paraId="58BB72CF">
                  <w:pPr>
                    <w:jc w:val="center"/>
                    <w:rPr>
                      <w:rFonts w:cs="Times New Roman"/>
                      <w:bCs/>
                      <w:color w:val="auto"/>
                      <w:szCs w:val="21"/>
                      <w:lang w:val="en-US" w:eastAsia="en-US"/>
                    </w:rPr>
                  </w:pPr>
                  <w:r>
                    <w:rPr>
                      <w:rFonts w:hint="eastAsia" w:cs="Times New Roman"/>
                      <w:bCs/>
                      <w:color w:val="auto"/>
                      <w:szCs w:val="21"/>
                      <w:lang w:val="en-US" w:eastAsia="en-US"/>
                    </w:rPr>
                    <w:t>本项目为</w:t>
                  </w:r>
                  <w:r>
                    <w:rPr>
                      <w:rFonts w:hint="eastAsia" w:cs="Times New Roman"/>
                      <w:bCs/>
                      <w:color w:val="auto"/>
                      <w:szCs w:val="21"/>
                      <w:lang w:val="en-US" w:eastAsia="zh-CN"/>
                    </w:rPr>
                    <w:t>建筑用石加工</w:t>
                  </w:r>
                  <w:r>
                    <w:rPr>
                      <w:rFonts w:hint="eastAsia" w:cs="Times New Roman"/>
                      <w:bCs/>
                      <w:color w:val="auto"/>
                      <w:szCs w:val="21"/>
                      <w:lang w:val="en-US" w:eastAsia="en-US"/>
                    </w:rPr>
                    <w:t>项目，符合国家产业政策、符合所属园区</w:t>
                  </w:r>
                  <w:r>
                    <w:rPr>
                      <w:rFonts w:hint="eastAsia" w:cs="Times New Roman"/>
                      <w:bCs/>
                      <w:color w:val="auto"/>
                      <w:szCs w:val="21"/>
                      <w:lang w:val="en-US" w:eastAsia="zh-CN"/>
                    </w:rPr>
                    <w:t>生产</w:t>
                  </w:r>
                  <w:r>
                    <w:rPr>
                      <w:rFonts w:hint="eastAsia" w:cs="Times New Roman"/>
                      <w:bCs/>
                      <w:color w:val="auto"/>
                      <w:szCs w:val="21"/>
                      <w:lang w:val="en-US" w:eastAsia="en-US"/>
                    </w:rPr>
                    <w:t>规划和准入条件，不属于重点行业。</w:t>
                  </w:r>
                </w:p>
              </w:tc>
              <w:tc>
                <w:tcPr>
                  <w:tcW w:w="366" w:type="pct"/>
                  <w:tcBorders>
                    <w:tl2br w:val="nil"/>
                    <w:tr2bl w:val="nil"/>
                  </w:tcBorders>
                  <w:shd w:val="clear" w:color="auto" w:fill="auto"/>
                  <w:vAlign w:val="center"/>
                </w:tcPr>
                <w:p w14:paraId="11AC447B">
                  <w:pPr>
                    <w:jc w:val="center"/>
                    <w:rPr>
                      <w:rFonts w:ascii="宋体" w:hAnsi="宋体" w:eastAsia="宋体" w:cs="宋体"/>
                      <w:color w:val="auto"/>
                      <w:kern w:val="2"/>
                      <w:sz w:val="18"/>
                      <w:szCs w:val="18"/>
                      <w:lang w:val="en-US" w:eastAsia="en-US" w:bidi="ar-SA"/>
                    </w:rPr>
                  </w:pPr>
                  <w:r>
                    <w:rPr>
                      <w:rFonts w:cs="Times New Roman"/>
                      <w:bCs/>
                      <w:color w:val="auto"/>
                      <w:szCs w:val="21"/>
                    </w:rPr>
                    <w:t>符合</w:t>
                  </w:r>
                </w:p>
              </w:tc>
            </w:tr>
            <w:tr w14:paraId="2C19CAC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524" w:type="pct"/>
                  <w:tcBorders>
                    <w:tl2br w:val="nil"/>
                    <w:tr2bl w:val="nil"/>
                  </w:tcBorders>
                  <w:shd w:val="clear" w:color="auto" w:fill="auto"/>
                  <w:vAlign w:val="center"/>
                </w:tcPr>
                <w:p w14:paraId="480E4044">
                  <w:pPr>
                    <w:jc w:val="center"/>
                    <w:rPr>
                      <w:rFonts w:hint="eastAsia" w:eastAsia="宋体" w:cs="Times New Roman"/>
                      <w:bCs/>
                      <w:color w:val="auto"/>
                      <w:szCs w:val="21"/>
                      <w:lang w:val="en-US" w:eastAsia="zh-CN"/>
                    </w:rPr>
                  </w:pPr>
                  <w:r>
                    <w:rPr>
                      <w:rFonts w:hint="eastAsia" w:cs="Times New Roman"/>
                      <w:bCs/>
                      <w:color w:val="auto"/>
                      <w:szCs w:val="21"/>
                      <w:lang w:val="en-US" w:eastAsia="zh-CN"/>
                    </w:rPr>
                    <w:t>3</w:t>
                  </w:r>
                </w:p>
              </w:tc>
              <w:tc>
                <w:tcPr>
                  <w:tcW w:w="2909" w:type="pct"/>
                  <w:tcBorders>
                    <w:tl2br w:val="nil"/>
                    <w:tr2bl w:val="nil"/>
                  </w:tcBorders>
                  <w:shd w:val="clear" w:color="auto" w:fill="auto"/>
                  <w:vAlign w:val="center"/>
                </w:tcPr>
                <w:p w14:paraId="476920ED">
                  <w:pPr>
                    <w:jc w:val="left"/>
                    <w:rPr>
                      <w:rFonts w:ascii="Times New Roman" w:hAnsi="Times New Roman" w:eastAsia="宋体" w:cs="Times New Roman"/>
                      <w:bCs/>
                      <w:color w:val="auto"/>
                      <w:kern w:val="2"/>
                      <w:sz w:val="21"/>
                      <w:szCs w:val="21"/>
                      <w:lang w:val="en-US" w:eastAsia="en-US" w:bidi="ar-SA"/>
                    </w:rPr>
                  </w:pPr>
                  <w:r>
                    <w:rPr>
                      <w:rFonts w:hint="eastAsia" w:cs="Times New Roman"/>
                      <w:bCs/>
                      <w:color w:val="auto"/>
                      <w:szCs w:val="21"/>
                      <w:lang w:val="en-US" w:eastAsia="zh-CN"/>
                    </w:rPr>
                    <w:t>（十四）深化扬尘污染综合治理。城市建成区范围内建设用地面积</w:t>
                  </w:r>
                  <w:r>
                    <w:rPr>
                      <w:rFonts w:hint="default" w:cs="Times New Roman"/>
                      <w:bCs/>
                      <w:color w:val="auto"/>
                      <w:szCs w:val="21"/>
                      <w:lang w:val="en-US" w:eastAsia="zh-CN"/>
                    </w:rPr>
                    <w:t>5000</w:t>
                  </w:r>
                  <w:r>
                    <w:rPr>
                      <w:rFonts w:hint="eastAsia" w:cs="Times New Roman"/>
                      <w:bCs/>
                      <w:color w:val="auto"/>
                      <w:szCs w:val="21"/>
                      <w:lang w:val="en-US" w:eastAsia="zh-CN"/>
                    </w:rPr>
                    <w:t>平方米及以上且施工周期</w:t>
                  </w:r>
                  <w:r>
                    <w:rPr>
                      <w:rFonts w:hint="default" w:cs="Times New Roman"/>
                      <w:bCs/>
                      <w:color w:val="auto"/>
                      <w:szCs w:val="21"/>
                      <w:lang w:val="en-US" w:eastAsia="zh-CN"/>
                    </w:rPr>
                    <w:t>6</w:t>
                  </w:r>
                  <w:r>
                    <w:rPr>
                      <w:rFonts w:hint="eastAsia" w:cs="Times New Roman"/>
                      <w:bCs/>
                      <w:color w:val="auto"/>
                      <w:szCs w:val="21"/>
                      <w:lang w:val="en-US" w:eastAsia="zh-CN"/>
                    </w:rPr>
                    <w:t>个月及以上的建筑工地安装视频监控并接入监管平台。重点区域道路、水务等长距离线性工程实行分段施工。将扬尘污染防治费用纳入工程造价。重点城市建立扬尘“以克论净”监测监管考核体系。到</w:t>
                  </w:r>
                  <w:r>
                    <w:rPr>
                      <w:rFonts w:hint="default" w:cs="Times New Roman"/>
                      <w:bCs/>
                      <w:color w:val="auto"/>
                      <w:szCs w:val="21"/>
                      <w:lang w:val="en-US" w:eastAsia="zh-CN"/>
                    </w:rPr>
                    <w:t>2025</w:t>
                  </w:r>
                  <w:r>
                    <w:rPr>
                      <w:rFonts w:hint="eastAsia" w:cs="Times New Roman"/>
                      <w:bCs/>
                      <w:color w:val="auto"/>
                      <w:szCs w:val="21"/>
                      <w:lang w:val="en-US" w:eastAsia="zh-CN"/>
                    </w:rPr>
                    <w:t>年，装配式建筑占新建建筑面积比例达</w:t>
                  </w:r>
                  <w:r>
                    <w:rPr>
                      <w:rFonts w:hint="default" w:cs="Times New Roman"/>
                      <w:bCs/>
                      <w:color w:val="auto"/>
                      <w:szCs w:val="21"/>
                      <w:lang w:val="en-US" w:eastAsia="zh-CN"/>
                    </w:rPr>
                    <w:t>40%</w:t>
                  </w:r>
                  <w:r>
                    <w:rPr>
                      <w:rFonts w:hint="eastAsia" w:cs="Times New Roman"/>
                      <w:bCs/>
                      <w:color w:val="auto"/>
                      <w:szCs w:val="21"/>
                      <w:lang w:val="en-US" w:eastAsia="zh-CN"/>
                    </w:rPr>
                    <w:t>：地级及以上城市建成区道路机械化清扫率达</w:t>
                  </w:r>
                  <w:r>
                    <w:rPr>
                      <w:rFonts w:hint="default" w:cs="Times New Roman"/>
                      <w:bCs/>
                      <w:color w:val="auto"/>
                      <w:szCs w:val="21"/>
                      <w:lang w:val="en-US" w:eastAsia="zh-CN"/>
                    </w:rPr>
                    <w:t>80%</w:t>
                  </w:r>
                  <w:r>
                    <w:rPr>
                      <w:rFonts w:hint="eastAsia" w:cs="Times New Roman"/>
                      <w:bCs/>
                      <w:color w:val="auto"/>
                      <w:szCs w:val="21"/>
                      <w:lang w:val="en-US" w:eastAsia="zh-CN"/>
                    </w:rPr>
                    <w:t>左右，县城达</w:t>
                  </w:r>
                  <w:r>
                    <w:rPr>
                      <w:rFonts w:hint="default" w:cs="Times New Roman"/>
                      <w:bCs/>
                      <w:color w:val="auto"/>
                      <w:szCs w:val="21"/>
                      <w:lang w:val="en-US" w:eastAsia="zh-CN"/>
                    </w:rPr>
                    <w:t>70%</w:t>
                  </w:r>
                  <w:r>
                    <w:rPr>
                      <w:rFonts w:hint="eastAsia" w:cs="Times New Roman"/>
                      <w:bCs/>
                      <w:color w:val="auto"/>
                      <w:szCs w:val="21"/>
                      <w:lang w:val="en-US" w:eastAsia="zh-CN"/>
                    </w:rPr>
                    <w:t>左右。各地对城市公共裸地进行排查建档并采取防尘措施。城市大型煤炭、矿石等干散货码头物料堆场基本完成抑尘设施建设和物料输送系统封闭改造。</w:t>
                  </w:r>
                </w:p>
              </w:tc>
              <w:tc>
                <w:tcPr>
                  <w:tcW w:w="1198" w:type="pct"/>
                  <w:tcBorders>
                    <w:tl2br w:val="nil"/>
                    <w:tr2bl w:val="nil"/>
                  </w:tcBorders>
                  <w:shd w:val="clear" w:color="auto" w:fill="auto"/>
                  <w:vAlign w:val="center"/>
                </w:tcPr>
                <w:p w14:paraId="080D49EF">
                  <w:pPr>
                    <w:jc w:val="center"/>
                    <w:rPr>
                      <w:rFonts w:cs="Times New Roman"/>
                      <w:bCs/>
                      <w:color w:val="auto"/>
                      <w:szCs w:val="21"/>
                      <w:lang w:val="en-US" w:eastAsia="en-US"/>
                    </w:rPr>
                  </w:pPr>
                  <w:r>
                    <w:rPr>
                      <w:rFonts w:hint="eastAsia" w:cs="Times New Roman"/>
                      <w:bCs/>
                      <w:color w:val="auto"/>
                      <w:szCs w:val="21"/>
                      <w:lang w:val="en-US" w:eastAsia="en-US"/>
                    </w:rPr>
                    <w:t>项目</w:t>
                  </w:r>
                  <w:r>
                    <w:rPr>
                      <w:rFonts w:hint="eastAsia" w:cs="Times New Roman"/>
                      <w:bCs/>
                      <w:color w:val="auto"/>
                      <w:szCs w:val="21"/>
                      <w:lang w:val="en-US" w:eastAsia="zh-CN"/>
                    </w:rPr>
                    <w:t>在</w:t>
                  </w:r>
                  <w:r>
                    <w:rPr>
                      <w:rFonts w:hint="eastAsia" w:cs="Times New Roman"/>
                      <w:bCs/>
                      <w:color w:val="auto"/>
                      <w:szCs w:val="21"/>
                      <w:lang w:val="en-US" w:eastAsia="en-US"/>
                    </w:rPr>
                    <w:t>租用的闲置厂房</w:t>
                  </w:r>
                  <w:r>
                    <w:rPr>
                      <w:rFonts w:hint="eastAsia" w:cs="Times New Roman"/>
                      <w:bCs/>
                      <w:color w:val="auto"/>
                      <w:szCs w:val="21"/>
                      <w:lang w:val="en-US" w:eastAsia="zh-CN"/>
                    </w:rPr>
                    <w:t>内进行改造</w:t>
                  </w:r>
                  <w:r>
                    <w:rPr>
                      <w:rFonts w:hint="eastAsia" w:cs="Times New Roman"/>
                      <w:bCs/>
                      <w:color w:val="auto"/>
                      <w:szCs w:val="21"/>
                      <w:lang w:val="en-US" w:eastAsia="en-US"/>
                    </w:rPr>
                    <w:t>，施工期</w:t>
                  </w:r>
                  <w:r>
                    <w:rPr>
                      <w:rFonts w:hint="eastAsia" w:cs="Times New Roman"/>
                      <w:bCs/>
                      <w:color w:val="auto"/>
                      <w:szCs w:val="21"/>
                      <w:lang w:val="en-US" w:eastAsia="zh-CN"/>
                    </w:rPr>
                    <w:t>小于6个月，项目原料及成品为块状成型石材，产尘相对较小，项目切割、抛磨、雕刻均采取湿法作业</w:t>
                  </w:r>
                  <w:r>
                    <w:rPr>
                      <w:rFonts w:hint="eastAsia" w:cs="Times New Roman"/>
                      <w:bCs/>
                      <w:color w:val="auto"/>
                      <w:szCs w:val="21"/>
                      <w:lang w:val="en-US" w:eastAsia="en-US"/>
                    </w:rPr>
                    <w:t>控尘措施，对周围环境影</w:t>
                  </w:r>
                  <w:r>
                    <w:rPr>
                      <w:rFonts w:hint="eastAsia" w:cs="Times New Roman"/>
                      <w:bCs/>
                      <w:color w:val="auto"/>
                      <w:szCs w:val="21"/>
                      <w:lang w:val="en-US" w:eastAsia="zh-CN"/>
                    </w:rPr>
                    <w:t>响较小。</w:t>
                  </w:r>
                </w:p>
              </w:tc>
              <w:tc>
                <w:tcPr>
                  <w:tcW w:w="366" w:type="pct"/>
                  <w:tcBorders>
                    <w:tl2br w:val="nil"/>
                    <w:tr2bl w:val="nil"/>
                  </w:tcBorders>
                  <w:shd w:val="clear" w:color="auto" w:fill="auto"/>
                  <w:vAlign w:val="center"/>
                </w:tcPr>
                <w:p w14:paraId="0D222D1D">
                  <w:pPr>
                    <w:jc w:val="center"/>
                    <w:rPr>
                      <w:rFonts w:ascii="宋体" w:hAnsi="宋体" w:eastAsia="宋体" w:cs="宋体"/>
                      <w:color w:val="auto"/>
                      <w:kern w:val="2"/>
                      <w:sz w:val="18"/>
                      <w:szCs w:val="18"/>
                      <w:lang w:val="en-US" w:eastAsia="en-US" w:bidi="ar-SA"/>
                    </w:rPr>
                  </w:pPr>
                  <w:r>
                    <w:rPr>
                      <w:rFonts w:cs="Times New Roman"/>
                      <w:bCs/>
                      <w:color w:val="auto"/>
                      <w:szCs w:val="21"/>
                    </w:rPr>
                    <w:t>符合</w:t>
                  </w:r>
                </w:p>
              </w:tc>
            </w:tr>
          </w:tbl>
          <w:p w14:paraId="2EE89D7A">
            <w:pPr>
              <w:spacing w:line="360" w:lineRule="auto"/>
              <w:ind w:firstLine="480" w:firstLineChars="200"/>
              <w:rPr>
                <w:rFonts w:hint="eastAsia" w:cs="Times New Roman"/>
                <w:b/>
                <w:bCs/>
                <w:color w:val="auto"/>
                <w:sz w:val="24"/>
                <w:szCs w:val="24"/>
                <w:lang w:val="en-US" w:eastAsia="zh-CN"/>
              </w:rPr>
            </w:pPr>
            <w:r>
              <w:rPr>
                <w:rFonts w:hint="eastAsia" w:cs="Times New Roman"/>
                <w:b w:val="0"/>
                <w:bCs w:val="0"/>
                <w:color w:val="auto"/>
                <w:sz w:val="24"/>
                <w:szCs w:val="24"/>
                <w:lang w:eastAsia="zh-CN"/>
              </w:rPr>
              <w:t>根据上表可知，项目与</w:t>
            </w:r>
            <w:r>
              <w:rPr>
                <w:rFonts w:cs="Times New Roman"/>
                <w:color w:val="auto"/>
                <w:sz w:val="24"/>
                <w:szCs w:val="24"/>
              </w:rPr>
              <w:t>《</w:t>
            </w:r>
            <w:r>
              <w:rPr>
                <w:rFonts w:hint="eastAsia" w:cs="Times New Roman"/>
                <w:color w:val="auto"/>
                <w:sz w:val="24"/>
                <w:szCs w:val="24"/>
                <w:lang w:val="en-US" w:eastAsia="zh-CN"/>
              </w:rPr>
              <w:t>四川省空气质量持续改善行动计划实施方案</w:t>
            </w:r>
            <w:r>
              <w:rPr>
                <w:rFonts w:cs="Times New Roman"/>
                <w:color w:val="auto"/>
                <w:sz w:val="24"/>
                <w:szCs w:val="24"/>
              </w:rPr>
              <w:t>》</w:t>
            </w:r>
            <w:r>
              <w:rPr>
                <w:rFonts w:hint="eastAsia" w:cs="Times New Roman"/>
                <w:b w:val="0"/>
                <w:bCs w:val="0"/>
                <w:color w:val="auto"/>
                <w:sz w:val="24"/>
                <w:szCs w:val="24"/>
                <w:lang w:eastAsia="zh-CN"/>
              </w:rPr>
              <w:t>上述条文是相符的。</w:t>
            </w:r>
          </w:p>
          <w:p w14:paraId="6FCB8190">
            <w:pPr>
              <w:spacing w:line="360" w:lineRule="auto"/>
              <w:ind w:firstLine="482" w:firstLineChars="200"/>
              <w:rPr>
                <w:rFonts w:cs="Times New Roman"/>
                <w:b/>
                <w:bCs/>
                <w:color w:val="auto"/>
                <w:sz w:val="24"/>
                <w:szCs w:val="24"/>
              </w:rPr>
            </w:pPr>
            <w:r>
              <w:rPr>
                <w:rFonts w:cs="Times New Roman"/>
                <w:b/>
                <w:bCs/>
                <w:color w:val="auto"/>
                <w:sz w:val="24"/>
                <w:szCs w:val="24"/>
              </w:rPr>
              <w:t>1</w:t>
            </w:r>
            <w:r>
              <w:rPr>
                <w:rFonts w:hint="eastAsia" w:cs="Times New Roman"/>
                <w:b/>
                <w:bCs/>
                <w:color w:val="auto"/>
                <w:sz w:val="24"/>
                <w:szCs w:val="24"/>
                <w:lang w:val="en-US" w:eastAsia="zh-CN"/>
              </w:rPr>
              <w:t>0</w:t>
            </w:r>
            <w:r>
              <w:rPr>
                <w:rFonts w:cs="Times New Roman"/>
                <w:b/>
                <w:bCs/>
                <w:color w:val="auto"/>
                <w:sz w:val="24"/>
                <w:szCs w:val="24"/>
              </w:rPr>
              <w:t>、外环境关系</w:t>
            </w:r>
          </w:p>
          <w:p w14:paraId="4550D56C">
            <w:pPr>
              <w:spacing w:line="360" w:lineRule="auto"/>
              <w:ind w:firstLine="480" w:firstLineChars="200"/>
              <w:rPr>
                <w:rFonts w:cs="Times New Roman"/>
                <w:color w:val="auto"/>
                <w:sz w:val="24"/>
                <w:szCs w:val="24"/>
              </w:rPr>
            </w:pPr>
            <w:r>
              <w:rPr>
                <w:rFonts w:cs="Times New Roman"/>
                <w:color w:val="auto"/>
                <w:sz w:val="24"/>
                <w:szCs w:val="24"/>
              </w:rPr>
              <w:t>本项目位于通川区东岳镇虹桥社区</w:t>
            </w:r>
            <w:r>
              <w:rPr>
                <w:rFonts w:hint="eastAsia" w:cs="Times New Roman"/>
                <w:color w:val="auto"/>
                <w:sz w:val="24"/>
                <w:szCs w:val="24"/>
                <w:lang w:eastAsia="zh-CN"/>
              </w:rPr>
              <w:t>二组</w:t>
            </w:r>
            <w:r>
              <w:rPr>
                <w:rFonts w:cs="Times New Roman"/>
                <w:color w:val="auto"/>
                <w:sz w:val="24"/>
                <w:szCs w:val="24"/>
              </w:rPr>
              <w:t>，属于通川区东岳新型工业集聚区，其外环境关系介绍如下：</w:t>
            </w:r>
          </w:p>
          <w:p w14:paraId="65F91217">
            <w:pPr>
              <w:spacing w:line="360" w:lineRule="auto"/>
              <w:ind w:firstLine="480" w:firstLineChars="200"/>
              <w:rPr>
                <w:rFonts w:cs="Times New Roman"/>
                <w:color w:val="auto"/>
                <w:sz w:val="24"/>
                <w:szCs w:val="24"/>
              </w:rPr>
            </w:pPr>
            <w:r>
              <w:rPr>
                <w:rFonts w:cs="Times New Roman"/>
                <w:color w:val="auto"/>
                <w:sz w:val="24"/>
                <w:szCs w:val="24"/>
              </w:rPr>
              <w:t>项目位于达州市天宇车业有限公司</w:t>
            </w:r>
            <w:r>
              <w:rPr>
                <w:rFonts w:hint="eastAsia" w:cs="Times New Roman"/>
                <w:color w:val="auto"/>
                <w:sz w:val="24"/>
                <w:szCs w:val="24"/>
                <w:lang w:eastAsia="zh-CN"/>
              </w:rPr>
              <w:t>“</w:t>
            </w:r>
            <w:r>
              <w:rPr>
                <w:rFonts w:cs="Times New Roman"/>
                <w:color w:val="auto"/>
                <w:sz w:val="24"/>
                <w:szCs w:val="24"/>
              </w:rPr>
              <w:t>商用半挂车生产及配套建设项目</w:t>
            </w:r>
            <w:r>
              <w:rPr>
                <w:rFonts w:hint="eastAsia" w:cs="Times New Roman"/>
                <w:color w:val="auto"/>
                <w:sz w:val="24"/>
                <w:szCs w:val="24"/>
                <w:lang w:eastAsia="zh-CN"/>
              </w:rPr>
              <w:t>”</w:t>
            </w:r>
            <w:r>
              <w:rPr>
                <w:rFonts w:cs="Times New Roman"/>
                <w:color w:val="auto"/>
                <w:sz w:val="24"/>
                <w:szCs w:val="24"/>
              </w:rPr>
              <w:t>的厂区内，租用其</w:t>
            </w:r>
            <w:r>
              <w:rPr>
                <w:rFonts w:hint="eastAsia" w:cs="Times New Roman"/>
                <w:color w:val="auto"/>
                <w:sz w:val="24"/>
                <w:szCs w:val="24"/>
                <w:lang w:val="en-US" w:eastAsia="zh-CN"/>
              </w:rPr>
              <w:t>1号车间及厂房北侧空地</w:t>
            </w:r>
            <w:r>
              <w:rPr>
                <w:rFonts w:cs="Times New Roman"/>
                <w:color w:val="auto"/>
                <w:sz w:val="24"/>
                <w:szCs w:val="24"/>
              </w:rPr>
              <w:t>。</w:t>
            </w:r>
          </w:p>
          <w:p w14:paraId="40590C3A">
            <w:pPr>
              <w:spacing w:line="360" w:lineRule="auto"/>
              <w:ind w:firstLine="480" w:firstLineChars="200"/>
              <w:rPr>
                <w:rFonts w:hint="eastAsia" w:cs="Times New Roman"/>
                <w:color w:val="auto"/>
                <w:sz w:val="24"/>
                <w:szCs w:val="24"/>
                <w:highlight w:val="none"/>
                <w:lang w:val="en-US" w:eastAsia="zh-CN"/>
              </w:rPr>
            </w:pPr>
            <w:r>
              <w:rPr>
                <w:rFonts w:hint="eastAsia" w:cs="Times New Roman"/>
                <w:color w:val="auto"/>
                <w:sz w:val="24"/>
                <w:szCs w:val="24"/>
                <w:highlight w:val="none"/>
                <w:lang w:val="en-US" w:eastAsia="zh-CN"/>
              </w:rPr>
              <w:t>东侧：距离半挂车项目厂区边界约2</w:t>
            </w:r>
            <w:r>
              <w:rPr>
                <w:rFonts w:hint="default" w:cs="Times New Roman"/>
                <w:color w:val="auto"/>
                <w:sz w:val="24"/>
                <w:szCs w:val="24"/>
                <w:highlight w:val="none"/>
                <w:lang w:val="en-US" w:eastAsia="zh-CN"/>
              </w:rPr>
              <w:t>0m</w:t>
            </w:r>
            <w:r>
              <w:rPr>
                <w:rFonts w:hint="eastAsia" w:cs="Times New Roman"/>
                <w:color w:val="auto"/>
                <w:sz w:val="24"/>
                <w:szCs w:val="24"/>
                <w:highlight w:val="none"/>
                <w:lang w:val="en-US" w:eastAsia="zh-CN"/>
              </w:rPr>
              <w:t>，距达州绕城公路约7</w:t>
            </w:r>
            <w:r>
              <w:rPr>
                <w:rFonts w:hint="default" w:cs="Times New Roman"/>
                <w:color w:val="auto"/>
                <w:sz w:val="24"/>
                <w:szCs w:val="24"/>
                <w:highlight w:val="none"/>
                <w:lang w:val="en-US" w:eastAsia="zh-CN"/>
              </w:rPr>
              <w:t>0m</w:t>
            </w:r>
            <w:r>
              <w:rPr>
                <w:rFonts w:hint="eastAsia" w:cs="Times New Roman"/>
                <w:color w:val="auto"/>
                <w:sz w:val="24"/>
                <w:szCs w:val="24"/>
                <w:highlight w:val="none"/>
                <w:lang w:val="en-US" w:eastAsia="zh-CN"/>
              </w:rPr>
              <w:t>，13</w:t>
            </w:r>
            <w:r>
              <w:rPr>
                <w:rFonts w:hint="default" w:cs="Times New Roman"/>
                <w:color w:val="auto"/>
                <w:sz w:val="24"/>
                <w:szCs w:val="24"/>
                <w:highlight w:val="none"/>
                <w:lang w:val="en-US" w:eastAsia="zh-CN"/>
              </w:rPr>
              <w:t>0</w:t>
            </w:r>
            <w:r>
              <w:rPr>
                <w:rFonts w:hint="eastAsia" w:cs="Times New Roman"/>
                <w:color w:val="auto"/>
                <w:sz w:val="24"/>
                <w:szCs w:val="24"/>
                <w:highlight w:val="none"/>
                <w:lang w:val="en-US" w:eastAsia="zh-CN"/>
              </w:rPr>
              <w:t>～</w:t>
            </w:r>
            <w:r>
              <w:rPr>
                <w:rFonts w:hint="default" w:cs="Times New Roman"/>
                <w:color w:val="auto"/>
                <w:sz w:val="24"/>
                <w:szCs w:val="24"/>
                <w:highlight w:val="none"/>
                <w:lang w:val="en-US" w:eastAsia="zh-CN"/>
              </w:rPr>
              <w:t>2</w:t>
            </w:r>
            <w:r>
              <w:rPr>
                <w:rFonts w:hint="eastAsia" w:cs="Times New Roman"/>
                <w:color w:val="auto"/>
                <w:sz w:val="24"/>
                <w:szCs w:val="24"/>
                <w:highlight w:val="none"/>
                <w:lang w:val="en-US" w:eastAsia="zh-CN"/>
              </w:rPr>
              <w:t>6</w:t>
            </w:r>
            <w:r>
              <w:rPr>
                <w:rFonts w:hint="default" w:cs="Times New Roman"/>
                <w:color w:val="auto"/>
                <w:sz w:val="24"/>
                <w:szCs w:val="24"/>
                <w:highlight w:val="none"/>
                <w:lang w:val="en-US" w:eastAsia="zh-CN"/>
              </w:rPr>
              <w:t>0m</w:t>
            </w:r>
            <w:r>
              <w:rPr>
                <w:rFonts w:hint="eastAsia" w:cs="Times New Roman"/>
                <w:color w:val="auto"/>
                <w:sz w:val="24"/>
                <w:szCs w:val="24"/>
                <w:highlight w:val="none"/>
                <w:lang w:val="en-US" w:eastAsia="zh-CN"/>
              </w:rPr>
              <w:t>绕城公路东侧有</w:t>
            </w:r>
            <w:r>
              <w:rPr>
                <w:rFonts w:hint="default" w:cs="Times New Roman"/>
                <w:color w:val="auto"/>
                <w:sz w:val="24"/>
                <w:szCs w:val="24"/>
                <w:highlight w:val="none"/>
                <w:lang w:val="en-US" w:eastAsia="zh-CN"/>
              </w:rPr>
              <w:t>15</w:t>
            </w:r>
            <w:r>
              <w:rPr>
                <w:rFonts w:hint="eastAsia" w:cs="Times New Roman"/>
                <w:color w:val="auto"/>
                <w:sz w:val="24"/>
                <w:szCs w:val="24"/>
                <w:highlight w:val="none"/>
                <w:lang w:val="en-US" w:eastAsia="zh-CN"/>
              </w:rPr>
              <w:t>户住户。</w:t>
            </w:r>
          </w:p>
          <w:p w14:paraId="3E630E2A">
            <w:pPr>
              <w:spacing w:line="360" w:lineRule="auto"/>
              <w:ind w:firstLine="480" w:firstLineChars="200"/>
              <w:rPr>
                <w:rFonts w:hint="eastAsia" w:cs="Times New Roman"/>
                <w:color w:val="auto"/>
                <w:sz w:val="24"/>
                <w:szCs w:val="24"/>
                <w:highlight w:val="none"/>
                <w:lang w:val="en-US" w:eastAsia="zh-CN"/>
              </w:rPr>
            </w:pPr>
            <w:r>
              <w:rPr>
                <w:rFonts w:hint="eastAsia" w:cs="Times New Roman"/>
                <w:color w:val="auto"/>
                <w:sz w:val="24"/>
                <w:szCs w:val="24"/>
                <w:highlight w:val="none"/>
                <w:lang w:val="en-US" w:eastAsia="zh-CN"/>
              </w:rPr>
              <w:t>南侧：距离半挂车项目厂区边界约160</w:t>
            </w:r>
            <w:r>
              <w:rPr>
                <w:rFonts w:hint="default" w:cs="Times New Roman"/>
                <w:color w:val="auto"/>
                <w:sz w:val="24"/>
                <w:szCs w:val="24"/>
                <w:highlight w:val="none"/>
                <w:lang w:val="en-US" w:eastAsia="zh-CN"/>
              </w:rPr>
              <w:t>m</w:t>
            </w:r>
            <w:r>
              <w:rPr>
                <w:rFonts w:hint="eastAsia" w:cs="Times New Roman"/>
                <w:color w:val="auto"/>
                <w:sz w:val="24"/>
                <w:szCs w:val="24"/>
                <w:highlight w:val="none"/>
                <w:lang w:val="en-US" w:eastAsia="zh-CN"/>
              </w:rPr>
              <w:t>，约25m为4号车间，约125m为2号车间，厂区外紧邻四川会欧建材机械有限公司厂区范围，距离项目</w:t>
            </w:r>
            <w:r>
              <w:rPr>
                <w:rFonts w:hint="default" w:cs="Times New Roman"/>
                <w:color w:val="auto"/>
                <w:sz w:val="24"/>
                <w:szCs w:val="24"/>
                <w:highlight w:val="none"/>
                <w:lang w:val="en-US" w:eastAsia="zh-CN"/>
              </w:rPr>
              <w:t>500m</w:t>
            </w:r>
            <w:r>
              <w:rPr>
                <w:rFonts w:hint="eastAsia" w:cs="Times New Roman"/>
                <w:color w:val="auto"/>
                <w:sz w:val="24"/>
                <w:szCs w:val="24"/>
                <w:highlight w:val="none"/>
                <w:lang w:val="en-US" w:eastAsia="zh-CN"/>
              </w:rPr>
              <w:t>范围无住户。</w:t>
            </w:r>
          </w:p>
          <w:p w14:paraId="028B4A24">
            <w:pPr>
              <w:spacing w:line="360" w:lineRule="auto"/>
              <w:ind w:firstLine="480" w:firstLineChars="200"/>
              <w:rPr>
                <w:rFonts w:hint="default"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西侧：紧邻半挂车项目的规划的办公楼待建空地，距离半挂车项目厂区边界相距约120</w:t>
            </w:r>
            <w:r>
              <w:rPr>
                <w:rFonts w:hint="default" w:cs="Times New Roman"/>
                <w:color w:val="auto"/>
                <w:sz w:val="24"/>
                <w:szCs w:val="24"/>
                <w:highlight w:val="none"/>
                <w:lang w:val="en-US" w:eastAsia="zh-CN"/>
              </w:rPr>
              <w:t>m</w:t>
            </w:r>
            <w:r>
              <w:rPr>
                <w:rFonts w:hint="eastAsia" w:cs="Times New Roman"/>
                <w:color w:val="auto"/>
                <w:sz w:val="24"/>
                <w:szCs w:val="24"/>
                <w:highlight w:val="none"/>
                <w:lang w:val="en-US" w:eastAsia="zh-CN"/>
              </w:rPr>
              <w:t>，145～25</w:t>
            </w:r>
            <w:r>
              <w:rPr>
                <w:rFonts w:hint="default" w:cs="Times New Roman"/>
                <w:color w:val="auto"/>
                <w:sz w:val="24"/>
                <w:szCs w:val="24"/>
                <w:highlight w:val="none"/>
                <w:lang w:val="en-US" w:eastAsia="zh-CN"/>
              </w:rPr>
              <w:t>0m</w:t>
            </w:r>
            <w:r>
              <w:rPr>
                <w:rFonts w:hint="eastAsia" w:cs="Times New Roman"/>
                <w:color w:val="auto"/>
                <w:sz w:val="24"/>
                <w:szCs w:val="24"/>
                <w:highlight w:val="none"/>
                <w:lang w:val="en-US" w:eastAsia="zh-CN"/>
              </w:rPr>
              <w:t>魏复路两侧有25户住户，主要分布在魏复路道路两侧；约140</w:t>
            </w:r>
            <w:r>
              <w:rPr>
                <w:rFonts w:hint="default" w:cs="Times New Roman"/>
                <w:color w:val="auto"/>
                <w:sz w:val="24"/>
                <w:szCs w:val="24"/>
                <w:highlight w:val="none"/>
                <w:lang w:val="en-US" w:eastAsia="zh-CN"/>
              </w:rPr>
              <w:t>m</w:t>
            </w:r>
            <w:r>
              <w:rPr>
                <w:rFonts w:hint="eastAsia" w:cs="Times New Roman"/>
                <w:color w:val="auto"/>
                <w:sz w:val="24"/>
                <w:szCs w:val="24"/>
                <w:highlight w:val="none"/>
                <w:lang w:val="en-US" w:eastAsia="zh-CN"/>
              </w:rPr>
              <w:t>处有一所民办幼儿园。魏复路距离项目区约170</w:t>
            </w:r>
            <w:r>
              <w:rPr>
                <w:rFonts w:hint="default" w:cs="Times New Roman"/>
                <w:color w:val="auto"/>
                <w:sz w:val="24"/>
                <w:szCs w:val="24"/>
                <w:highlight w:val="none"/>
                <w:lang w:val="en-US" w:eastAsia="zh-CN"/>
              </w:rPr>
              <w:t>m</w:t>
            </w:r>
            <w:r>
              <w:rPr>
                <w:rFonts w:hint="eastAsia" w:cs="Times New Roman"/>
                <w:color w:val="auto"/>
                <w:sz w:val="24"/>
                <w:szCs w:val="24"/>
                <w:highlight w:val="none"/>
                <w:lang w:val="en-US" w:eastAsia="zh-CN"/>
              </w:rPr>
              <w:t>。</w:t>
            </w:r>
          </w:p>
          <w:p w14:paraId="08024690">
            <w:pPr>
              <w:spacing w:line="360" w:lineRule="auto"/>
              <w:ind w:firstLine="480" w:firstLineChars="200"/>
              <w:rPr>
                <w:rFonts w:cs="Times New Roman"/>
                <w:color w:val="auto"/>
                <w:sz w:val="24"/>
                <w:szCs w:val="24"/>
                <w:highlight w:val="none"/>
              </w:rPr>
            </w:pPr>
            <w:r>
              <w:rPr>
                <w:rFonts w:hint="eastAsia" w:cs="Times New Roman"/>
                <w:color w:val="auto"/>
                <w:sz w:val="24"/>
                <w:szCs w:val="24"/>
                <w:highlight w:val="none"/>
                <w:lang w:val="en-US" w:eastAsia="zh-CN"/>
              </w:rPr>
              <w:t>北侧：距离半挂车项目厂区边界约10</w:t>
            </w:r>
            <w:r>
              <w:rPr>
                <w:rFonts w:hint="default" w:cs="Times New Roman"/>
                <w:color w:val="auto"/>
                <w:sz w:val="24"/>
                <w:szCs w:val="24"/>
                <w:highlight w:val="none"/>
                <w:lang w:val="en-US" w:eastAsia="zh-CN"/>
              </w:rPr>
              <w:t>m</w:t>
            </w:r>
            <w:r>
              <w:rPr>
                <w:rFonts w:hint="eastAsia" w:cs="Times New Roman"/>
                <w:color w:val="auto"/>
                <w:sz w:val="24"/>
                <w:szCs w:val="24"/>
                <w:highlight w:val="none"/>
                <w:lang w:val="en-US" w:eastAsia="zh-CN"/>
              </w:rPr>
              <w:t>；约160～185m处有3户住户；东岳场镇建成区位于项目北侧约46</w:t>
            </w:r>
            <w:r>
              <w:rPr>
                <w:rFonts w:hint="default" w:cs="Times New Roman"/>
                <w:color w:val="auto"/>
                <w:sz w:val="24"/>
                <w:szCs w:val="24"/>
                <w:highlight w:val="none"/>
                <w:lang w:val="en-US" w:eastAsia="zh-CN"/>
              </w:rPr>
              <w:t>0m</w:t>
            </w:r>
            <w:r>
              <w:rPr>
                <w:rFonts w:hint="eastAsia" w:cs="Times New Roman"/>
                <w:color w:val="auto"/>
                <w:sz w:val="24"/>
                <w:szCs w:val="24"/>
                <w:highlight w:val="none"/>
                <w:lang w:val="en-US" w:eastAsia="zh-CN"/>
              </w:rPr>
              <w:t>处，其中460～500m有32户场镇居民，均处于项目区常年主导风向的上方向。</w:t>
            </w:r>
          </w:p>
          <w:p w14:paraId="470D02B7">
            <w:pPr>
              <w:spacing w:line="360" w:lineRule="auto"/>
              <w:ind w:firstLine="480" w:firstLineChars="200"/>
              <w:rPr>
                <w:rFonts w:hint="eastAsia" w:cs="Times New Roman"/>
                <w:color w:val="auto"/>
                <w:sz w:val="24"/>
                <w:szCs w:val="24"/>
                <w:lang w:val="en-US" w:eastAsia="zh-CN"/>
              </w:rPr>
            </w:pPr>
            <w:r>
              <w:rPr>
                <w:rFonts w:hint="eastAsia" w:cs="Times New Roman"/>
                <w:color w:val="auto"/>
                <w:sz w:val="24"/>
                <w:szCs w:val="24"/>
                <w:highlight w:val="none"/>
                <w:lang w:val="en-US" w:eastAsia="zh-CN"/>
              </w:rPr>
              <w:t>西南侧：约75m为3号车间，23</w:t>
            </w:r>
            <w:r>
              <w:rPr>
                <w:rFonts w:hint="default" w:cs="Times New Roman"/>
                <w:color w:val="auto"/>
                <w:sz w:val="24"/>
                <w:szCs w:val="24"/>
                <w:highlight w:val="none"/>
                <w:lang w:val="en-US" w:eastAsia="zh-CN"/>
              </w:rPr>
              <w:t>0</w:t>
            </w:r>
            <w:r>
              <w:rPr>
                <w:rFonts w:hint="eastAsia" w:cs="Times New Roman"/>
                <w:color w:val="auto"/>
                <w:sz w:val="24"/>
                <w:szCs w:val="24"/>
                <w:highlight w:val="none"/>
                <w:lang w:val="en-US" w:eastAsia="zh-CN"/>
              </w:rPr>
              <w:t>～38</w:t>
            </w:r>
            <w:r>
              <w:rPr>
                <w:rFonts w:hint="default" w:cs="Times New Roman"/>
                <w:color w:val="auto"/>
                <w:sz w:val="24"/>
                <w:szCs w:val="24"/>
                <w:highlight w:val="none"/>
                <w:lang w:val="en-US" w:eastAsia="zh-CN"/>
              </w:rPr>
              <w:t>0m</w:t>
            </w:r>
            <w:r>
              <w:rPr>
                <w:rFonts w:hint="eastAsia" w:cs="Times New Roman"/>
                <w:color w:val="auto"/>
                <w:sz w:val="24"/>
                <w:szCs w:val="24"/>
                <w:highlight w:val="none"/>
                <w:lang w:val="en-US" w:eastAsia="zh-CN"/>
              </w:rPr>
              <w:t>魏复路两侧有</w:t>
            </w:r>
            <w:r>
              <w:rPr>
                <w:rFonts w:hint="default" w:cs="Times New Roman"/>
                <w:color w:val="auto"/>
                <w:sz w:val="24"/>
                <w:szCs w:val="24"/>
                <w:highlight w:val="none"/>
                <w:lang w:val="en-US" w:eastAsia="zh-CN"/>
              </w:rPr>
              <w:t>1</w:t>
            </w:r>
            <w:r>
              <w:rPr>
                <w:rFonts w:hint="eastAsia" w:cs="Times New Roman"/>
                <w:color w:val="auto"/>
                <w:sz w:val="24"/>
                <w:szCs w:val="24"/>
                <w:highlight w:val="none"/>
                <w:lang w:val="en-US" w:eastAsia="zh-CN"/>
              </w:rPr>
              <w:t>0户住户。</w:t>
            </w:r>
          </w:p>
          <w:p w14:paraId="7E265717">
            <w:pPr>
              <w:spacing w:line="360" w:lineRule="auto"/>
              <w:ind w:firstLine="480" w:firstLineChars="200"/>
              <w:rPr>
                <w:rFonts w:hint="eastAsia" w:eastAsia="宋体" w:cs="Times New Roman"/>
                <w:color w:val="auto"/>
                <w:sz w:val="24"/>
                <w:szCs w:val="24"/>
                <w:lang w:val="en-US" w:eastAsia="zh-CN"/>
              </w:rPr>
            </w:pPr>
            <w:r>
              <w:rPr>
                <w:rFonts w:hint="eastAsia" w:cs="Times New Roman"/>
                <w:color w:val="auto"/>
                <w:sz w:val="24"/>
                <w:szCs w:val="24"/>
                <w:lang w:val="en-US" w:eastAsia="zh-CN"/>
              </w:rPr>
              <w:t>西北侧：</w:t>
            </w:r>
            <w:r>
              <w:rPr>
                <w:rFonts w:hint="eastAsia" w:cs="Times New Roman"/>
                <w:color w:val="auto"/>
                <w:sz w:val="24"/>
                <w:szCs w:val="24"/>
                <w:highlight w:val="none"/>
                <w:lang w:val="en-US" w:eastAsia="zh-CN"/>
              </w:rPr>
              <w:t>150～</w:t>
            </w:r>
            <w:r>
              <w:rPr>
                <w:rFonts w:hint="default" w:cs="Times New Roman"/>
                <w:color w:val="auto"/>
                <w:sz w:val="24"/>
                <w:szCs w:val="24"/>
                <w:highlight w:val="none"/>
                <w:lang w:val="en-US" w:eastAsia="zh-CN"/>
              </w:rPr>
              <w:t>500m</w:t>
            </w:r>
            <w:r>
              <w:rPr>
                <w:rFonts w:hint="eastAsia" w:cs="Times New Roman"/>
                <w:color w:val="auto"/>
                <w:sz w:val="24"/>
                <w:szCs w:val="24"/>
                <w:highlight w:val="none"/>
                <w:lang w:val="en-US" w:eastAsia="zh-CN"/>
              </w:rPr>
              <w:t>魏复路两侧有住户约21户。</w:t>
            </w:r>
          </w:p>
          <w:p w14:paraId="5DB4DBD7">
            <w:pPr>
              <w:spacing w:line="360" w:lineRule="auto"/>
              <w:ind w:firstLine="480" w:firstLineChars="200"/>
              <w:rPr>
                <w:rFonts w:cs="Times New Roman"/>
                <w:color w:val="auto"/>
                <w:sz w:val="24"/>
                <w:szCs w:val="24"/>
              </w:rPr>
            </w:pPr>
            <w:r>
              <w:rPr>
                <w:rFonts w:cs="Times New Roman"/>
                <w:color w:val="auto"/>
                <w:sz w:val="24"/>
                <w:szCs w:val="24"/>
              </w:rPr>
              <w:t>项目附近地表水体为西</w:t>
            </w:r>
            <w:r>
              <w:rPr>
                <w:rFonts w:hint="eastAsia" w:cs="Times New Roman"/>
                <w:color w:val="auto"/>
                <w:sz w:val="24"/>
                <w:szCs w:val="24"/>
                <w:lang w:eastAsia="zh-CN"/>
              </w:rPr>
              <w:t>侧</w:t>
            </w:r>
            <w:r>
              <w:rPr>
                <w:rFonts w:cs="Times New Roman"/>
                <w:color w:val="auto"/>
                <w:sz w:val="24"/>
                <w:szCs w:val="24"/>
              </w:rPr>
              <w:t>相距约170m的双龙河。</w:t>
            </w:r>
          </w:p>
          <w:p w14:paraId="2CB23404">
            <w:pPr>
              <w:spacing w:line="360" w:lineRule="auto"/>
              <w:ind w:firstLine="482" w:firstLineChars="200"/>
              <w:rPr>
                <w:rFonts w:cs="Times New Roman"/>
                <w:b/>
                <w:bCs/>
                <w:color w:val="auto"/>
                <w:sz w:val="24"/>
                <w:szCs w:val="24"/>
              </w:rPr>
            </w:pPr>
            <w:r>
              <w:rPr>
                <w:rFonts w:cs="Times New Roman"/>
                <w:b/>
                <w:bCs/>
                <w:color w:val="auto"/>
                <w:sz w:val="24"/>
                <w:szCs w:val="24"/>
              </w:rPr>
              <w:t>1</w:t>
            </w:r>
            <w:r>
              <w:rPr>
                <w:rFonts w:hint="eastAsia" w:cs="Times New Roman"/>
                <w:b/>
                <w:bCs/>
                <w:color w:val="auto"/>
                <w:sz w:val="24"/>
                <w:szCs w:val="24"/>
                <w:lang w:val="en-US" w:eastAsia="zh-CN"/>
              </w:rPr>
              <w:t>2</w:t>
            </w:r>
            <w:r>
              <w:rPr>
                <w:rFonts w:cs="Times New Roman"/>
                <w:b/>
                <w:bCs/>
                <w:color w:val="auto"/>
                <w:sz w:val="24"/>
                <w:szCs w:val="24"/>
              </w:rPr>
              <w:t>、选址合理性分析</w:t>
            </w:r>
          </w:p>
          <w:p w14:paraId="1E26170A">
            <w:pPr>
              <w:spacing w:line="360" w:lineRule="auto"/>
              <w:ind w:firstLine="480" w:firstLineChars="200"/>
              <w:rPr>
                <w:rFonts w:cs="Times New Roman"/>
                <w:color w:val="auto"/>
                <w:sz w:val="24"/>
                <w:szCs w:val="24"/>
              </w:rPr>
            </w:pPr>
            <w:r>
              <w:rPr>
                <w:rFonts w:cs="Times New Roman"/>
                <w:color w:val="auto"/>
                <w:sz w:val="24"/>
                <w:szCs w:val="24"/>
              </w:rPr>
              <w:t>本项目位于通川区东岳镇虹桥社区</w:t>
            </w:r>
            <w:r>
              <w:rPr>
                <w:rFonts w:hint="eastAsia" w:cs="Times New Roman"/>
                <w:color w:val="auto"/>
                <w:sz w:val="24"/>
                <w:szCs w:val="24"/>
                <w:lang w:eastAsia="zh-CN"/>
              </w:rPr>
              <w:t>二组</w:t>
            </w:r>
            <w:r>
              <w:rPr>
                <w:rFonts w:cs="Times New Roman"/>
                <w:color w:val="auto"/>
                <w:sz w:val="24"/>
                <w:szCs w:val="24"/>
              </w:rPr>
              <w:t>，其选址合理性分析如下：</w:t>
            </w:r>
          </w:p>
          <w:p w14:paraId="23724BA2">
            <w:pPr>
              <w:spacing w:line="360" w:lineRule="auto"/>
              <w:ind w:firstLine="480" w:firstLineChars="200"/>
              <w:rPr>
                <w:rFonts w:cs="Times New Roman"/>
                <w:color w:val="auto"/>
                <w:sz w:val="24"/>
                <w:szCs w:val="24"/>
              </w:rPr>
            </w:pPr>
            <w:r>
              <w:rPr>
                <w:rFonts w:cs="Times New Roman"/>
                <w:color w:val="auto"/>
                <w:sz w:val="24"/>
                <w:szCs w:val="24"/>
              </w:rPr>
              <w:t>（1）查阅相关资料，项目用地区域及评价范围内不涉及自然保护区、风景名胜区等，也不属于生态保护红线范围，</w:t>
            </w:r>
            <w:r>
              <w:rPr>
                <w:rFonts w:hint="eastAsia" w:cs="Times New Roman"/>
                <w:color w:val="auto"/>
                <w:sz w:val="24"/>
                <w:szCs w:val="24"/>
                <w:lang w:eastAsia="zh-CN"/>
              </w:rPr>
              <w:t>不在</w:t>
            </w:r>
            <w:r>
              <w:rPr>
                <w:rFonts w:cs="Times New Roman"/>
                <w:color w:val="auto"/>
                <w:sz w:val="24"/>
                <w:szCs w:val="24"/>
              </w:rPr>
              <w:t>永久基本农田范围等依法设立的各级各类保护区域。</w:t>
            </w:r>
          </w:p>
          <w:p w14:paraId="7C31AEAA">
            <w:pPr>
              <w:spacing w:line="360" w:lineRule="auto"/>
              <w:ind w:firstLine="480" w:firstLineChars="200"/>
              <w:rPr>
                <w:rFonts w:cs="Times New Roman"/>
                <w:color w:val="auto"/>
                <w:sz w:val="24"/>
                <w:szCs w:val="24"/>
              </w:rPr>
            </w:pPr>
            <w:r>
              <w:rPr>
                <w:rFonts w:cs="Times New Roman"/>
                <w:color w:val="auto"/>
                <w:sz w:val="24"/>
                <w:szCs w:val="24"/>
              </w:rPr>
              <w:t>（2）根据达州市人民政府《关于通川区乡镇集中式饮用水水源地保护区划定调整的批复》（达市府函〔2019〕165号），项目区域地表水体双龙河无饮用水源功能未设置集中式饮用水源取水点。因此，本项目不属于饮用水水源保护区范围。</w:t>
            </w:r>
          </w:p>
          <w:p w14:paraId="3611EC15">
            <w:pPr>
              <w:spacing w:line="360" w:lineRule="auto"/>
              <w:ind w:firstLine="480" w:firstLineChars="200"/>
              <w:rPr>
                <w:rFonts w:cs="Times New Roman"/>
                <w:color w:val="auto"/>
                <w:sz w:val="24"/>
                <w:szCs w:val="24"/>
              </w:rPr>
            </w:pPr>
            <w:r>
              <w:rPr>
                <w:rFonts w:cs="Times New Roman"/>
                <w:color w:val="auto"/>
                <w:sz w:val="24"/>
                <w:szCs w:val="24"/>
              </w:rPr>
              <w:t>（3）项目为</w:t>
            </w:r>
            <w:r>
              <w:rPr>
                <w:rFonts w:hint="eastAsia" w:cs="Times New Roman"/>
                <w:color w:val="auto"/>
                <w:sz w:val="24"/>
                <w:szCs w:val="24"/>
                <w:lang w:eastAsia="zh-CN"/>
              </w:rPr>
              <w:t>建筑用石加工</w:t>
            </w:r>
            <w:r>
              <w:rPr>
                <w:rFonts w:cs="Times New Roman"/>
                <w:color w:val="auto"/>
                <w:sz w:val="24"/>
                <w:szCs w:val="24"/>
              </w:rPr>
              <w:t>项目，不属于禁止及限制入驻企业类型，属于准许进入行业，符合通川区东岳新型工业集聚区的产业定位。项目位于东岳新型工业集聚区的南部新型工业集中区，项目占地区域属于规划的工业用地，项目属于工业项目符合土地利用规划。</w:t>
            </w:r>
          </w:p>
          <w:p w14:paraId="764BA8D1">
            <w:pPr>
              <w:spacing w:line="360" w:lineRule="auto"/>
              <w:ind w:firstLine="480" w:firstLineChars="200"/>
              <w:rPr>
                <w:rFonts w:hint="default" w:cs="Times New Roman"/>
                <w:color w:val="auto"/>
                <w:sz w:val="24"/>
                <w:szCs w:val="24"/>
                <w:lang w:val="en-US" w:eastAsia="zh-CN"/>
              </w:rPr>
            </w:pPr>
            <w:r>
              <w:rPr>
                <w:rFonts w:cs="Times New Roman"/>
                <w:color w:val="auto"/>
                <w:sz w:val="24"/>
                <w:szCs w:val="24"/>
              </w:rPr>
              <w:t>（4）本项目系租用半挂车项目的</w:t>
            </w:r>
            <w:r>
              <w:rPr>
                <w:rFonts w:hint="eastAsia" w:cs="Times New Roman"/>
                <w:color w:val="auto"/>
                <w:sz w:val="24"/>
                <w:szCs w:val="24"/>
                <w:lang w:val="en-US" w:eastAsia="zh-CN"/>
              </w:rPr>
              <w:t>1号车间</w:t>
            </w:r>
            <w:r>
              <w:rPr>
                <w:rFonts w:hint="eastAsia" w:cs="Times New Roman"/>
                <w:color w:val="auto"/>
                <w:sz w:val="24"/>
                <w:szCs w:val="24"/>
                <w:lang w:eastAsia="zh-CN"/>
              </w:rPr>
              <w:t>及车间外空地</w:t>
            </w:r>
            <w:r>
              <w:rPr>
                <w:rFonts w:cs="Times New Roman"/>
                <w:color w:val="auto"/>
                <w:sz w:val="24"/>
                <w:szCs w:val="24"/>
              </w:rPr>
              <w:t>，从</w:t>
            </w:r>
            <w:r>
              <w:rPr>
                <w:rFonts w:hint="eastAsia" w:cs="Times New Roman"/>
                <w:color w:val="auto"/>
                <w:sz w:val="24"/>
                <w:szCs w:val="24"/>
                <w:lang w:eastAsia="zh-CN"/>
              </w:rPr>
              <w:t>现状</w:t>
            </w:r>
            <w:r>
              <w:rPr>
                <w:rFonts w:cs="Times New Roman"/>
                <w:color w:val="auto"/>
                <w:sz w:val="24"/>
                <w:szCs w:val="24"/>
              </w:rPr>
              <w:t>半挂车项目厂区布局看，</w:t>
            </w:r>
            <w:r>
              <w:rPr>
                <w:rFonts w:hint="eastAsia" w:cs="Times New Roman"/>
                <w:color w:val="auto"/>
                <w:sz w:val="24"/>
                <w:szCs w:val="24"/>
                <w:lang w:val="en-US" w:eastAsia="zh-CN"/>
              </w:rPr>
              <w:t>2号车间位于厂区南部，3号车间位于西侧，4号车间位于中部，北侧为1号车间及规划的5号车间，西北侧为待建的办公楼。</w:t>
            </w:r>
          </w:p>
          <w:p w14:paraId="78C1B868">
            <w:pPr>
              <w:spacing w:line="360" w:lineRule="auto"/>
              <w:ind w:firstLine="480" w:firstLineChars="200"/>
              <w:rPr>
                <w:rFonts w:hint="default" w:eastAsia="宋体" w:cs="Times New Roman"/>
                <w:color w:val="auto"/>
                <w:sz w:val="24"/>
                <w:szCs w:val="24"/>
                <w:lang w:val="en-US" w:eastAsia="zh-CN"/>
              </w:rPr>
            </w:pPr>
            <w:r>
              <w:rPr>
                <w:rFonts w:cs="Times New Roman"/>
                <w:color w:val="auto"/>
                <w:sz w:val="24"/>
                <w:szCs w:val="24"/>
              </w:rPr>
              <w:t>根据半挂车项目环评资料，该项目主要生产仓栅式运输半挂车、平板自卸半挂车、汽车货箱以及商用车维修服务与检测等，年检测、维修、保养商用车10000台</w:t>
            </w:r>
            <w:r>
              <w:rPr>
                <w:rFonts w:hint="eastAsia" w:cs="Times New Roman"/>
                <w:color w:val="auto"/>
                <w:sz w:val="24"/>
                <w:szCs w:val="24"/>
                <w:lang w:eastAsia="zh-CN"/>
              </w:rPr>
              <w:t>（</w:t>
            </w:r>
            <w:r>
              <w:rPr>
                <w:rFonts w:cs="Times New Roman"/>
                <w:color w:val="auto"/>
                <w:sz w:val="24"/>
                <w:szCs w:val="24"/>
              </w:rPr>
              <w:t>次</w:t>
            </w:r>
            <w:r>
              <w:rPr>
                <w:rFonts w:hint="eastAsia" w:cs="Times New Roman"/>
                <w:color w:val="auto"/>
                <w:sz w:val="24"/>
                <w:szCs w:val="24"/>
                <w:lang w:eastAsia="zh-CN"/>
              </w:rPr>
              <w:t>）</w:t>
            </w:r>
            <w:r>
              <w:rPr>
                <w:rFonts w:cs="Times New Roman"/>
                <w:color w:val="auto"/>
                <w:sz w:val="24"/>
                <w:szCs w:val="24"/>
              </w:rPr>
              <w:t>，年生产1000台半挂车辆，不涉及整车的生产。1</w:t>
            </w:r>
            <w:r>
              <w:rPr>
                <w:rFonts w:hint="eastAsia" w:cs="Times New Roman"/>
                <w:color w:val="auto"/>
                <w:sz w:val="24"/>
                <w:szCs w:val="24"/>
                <w:lang w:eastAsia="zh-CN"/>
              </w:rPr>
              <w:t>号车间</w:t>
            </w:r>
            <w:r>
              <w:rPr>
                <w:rFonts w:cs="Times New Roman"/>
                <w:color w:val="auto"/>
                <w:sz w:val="24"/>
                <w:szCs w:val="24"/>
              </w:rPr>
              <w:t>原规划为原料的焊接、机加工车间，2</w:t>
            </w:r>
            <w:r>
              <w:rPr>
                <w:rFonts w:hint="eastAsia" w:cs="Times New Roman"/>
                <w:color w:val="auto"/>
                <w:sz w:val="24"/>
                <w:szCs w:val="24"/>
                <w:lang w:eastAsia="zh-CN"/>
              </w:rPr>
              <w:t>号车间</w:t>
            </w:r>
            <w:r>
              <w:rPr>
                <w:rFonts w:cs="Times New Roman"/>
                <w:color w:val="auto"/>
                <w:sz w:val="24"/>
                <w:szCs w:val="24"/>
              </w:rPr>
              <w:t>原规划为打磨、抛丸、喷涂车间，3</w:t>
            </w:r>
            <w:r>
              <w:rPr>
                <w:rFonts w:hint="eastAsia" w:cs="Times New Roman"/>
                <w:color w:val="auto"/>
                <w:sz w:val="24"/>
                <w:szCs w:val="24"/>
                <w:lang w:eastAsia="zh-CN"/>
              </w:rPr>
              <w:t>号车间</w:t>
            </w:r>
            <w:r>
              <w:rPr>
                <w:rFonts w:cs="Times New Roman"/>
                <w:color w:val="auto"/>
                <w:sz w:val="24"/>
                <w:szCs w:val="24"/>
              </w:rPr>
              <w:t>原规划为维修车间，4</w:t>
            </w:r>
            <w:r>
              <w:rPr>
                <w:rFonts w:hint="eastAsia" w:cs="Times New Roman"/>
                <w:color w:val="auto"/>
                <w:sz w:val="24"/>
                <w:szCs w:val="24"/>
                <w:lang w:eastAsia="zh-CN"/>
              </w:rPr>
              <w:t>号车间</w:t>
            </w:r>
            <w:r>
              <w:rPr>
                <w:rFonts w:cs="Times New Roman"/>
                <w:color w:val="auto"/>
                <w:sz w:val="24"/>
                <w:szCs w:val="24"/>
              </w:rPr>
              <w:t>原规划为车辆检测库</w:t>
            </w:r>
            <w:r>
              <w:rPr>
                <w:rFonts w:hint="eastAsia" w:cs="Times New Roman"/>
                <w:color w:val="auto"/>
                <w:sz w:val="24"/>
                <w:szCs w:val="24"/>
                <w:lang w:eastAsia="zh-CN"/>
              </w:rPr>
              <w:t>，</w:t>
            </w:r>
            <w:r>
              <w:rPr>
                <w:rFonts w:hint="eastAsia" w:cs="Times New Roman"/>
                <w:color w:val="auto"/>
                <w:sz w:val="24"/>
                <w:szCs w:val="24"/>
                <w:lang w:val="en-US" w:eastAsia="zh-CN"/>
              </w:rPr>
              <w:t>5</w:t>
            </w:r>
            <w:r>
              <w:rPr>
                <w:rFonts w:hint="eastAsia" w:cs="Times New Roman"/>
                <w:color w:val="auto"/>
                <w:sz w:val="24"/>
                <w:szCs w:val="24"/>
                <w:lang w:eastAsia="zh-CN"/>
              </w:rPr>
              <w:t>号车间</w:t>
            </w:r>
            <w:r>
              <w:rPr>
                <w:rFonts w:hint="eastAsia" w:cs="Times New Roman"/>
                <w:color w:val="auto"/>
                <w:sz w:val="24"/>
                <w:szCs w:val="24"/>
                <w:lang w:val="en-US" w:eastAsia="zh-CN"/>
              </w:rPr>
              <w:t>规划为成品库房。</w:t>
            </w:r>
          </w:p>
          <w:p w14:paraId="78624961">
            <w:pPr>
              <w:spacing w:line="360" w:lineRule="auto"/>
              <w:ind w:firstLine="480" w:firstLineChars="200"/>
              <w:rPr>
                <w:rFonts w:cs="Times New Roman"/>
                <w:color w:val="auto"/>
                <w:sz w:val="24"/>
                <w:szCs w:val="24"/>
              </w:rPr>
            </w:pPr>
            <w:r>
              <w:rPr>
                <w:rFonts w:hint="eastAsia" w:cs="Times New Roman"/>
                <w:color w:val="auto"/>
                <w:sz w:val="24"/>
                <w:szCs w:val="24"/>
                <w:lang w:val="en-US" w:eastAsia="zh-CN"/>
              </w:rPr>
              <w:t>目前，该项目已建成</w:t>
            </w:r>
            <w:r>
              <w:rPr>
                <w:rFonts w:hint="default" w:cs="Times New Roman"/>
                <w:color w:val="auto"/>
                <w:sz w:val="24"/>
                <w:szCs w:val="24"/>
                <w:lang w:val="en-US" w:eastAsia="zh-CN"/>
              </w:rPr>
              <w:t>1</w:t>
            </w:r>
            <w:r>
              <w:rPr>
                <w:rFonts w:hint="eastAsia" w:cs="Times New Roman"/>
                <w:color w:val="auto"/>
                <w:sz w:val="24"/>
                <w:szCs w:val="24"/>
                <w:lang w:val="en-US" w:eastAsia="zh-CN"/>
              </w:rPr>
              <w:t>号～</w:t>
            </w:r>
            <w:r>
              <w:rPr>
                <w:rFonts w:hint="default" w:cs="Times New Roman"/>
                <w:color w:val="auto"/>
                <w:sz w:val="24"/>
                <w:szCs w:val="24"/>
                <w:lang w:val="en-US" w:eastAsia="zh-CN"/>
              </w:rPr>
              <w:t>4</w:t>
            </w:r>
            <w:r>
              <w:rPr>
                <w:rFonts w:hint="eastAsia" w:cs="Times New Roman"/>
                <w:color w:val="auto"/>
                <w:sz w:val="24"/>
                <w:szCs w:val="24"/>
                <w:lang w:val="en-US" w:eastAsia="zh-CN"/>
              </w:rPr>
              <w:t>号车间，</w:t>
            </w:r>
            <w:r>
              <w:rPr>
                <w:rFonts w:hint="default" w:cs="Times New Roman"/>
                <w:color w:val="auto"/>
                <w:sz w:val="24"/>
                <w:szCs w:val="24"/>
                <w:lang w:val="en-US" w:eastAsia="zh-CN"/>
              </w:rPr>
              <w:t>5</w:t>
            </w:r>
            <w:r>
              <w:rPr>
                <w:rFonts w:hint="eastAsia" w:cs="Times New Roman"/>
                <w:color w:val="auto"/>
                <w:sz w:val="24"/>
                <w:szCs w:val="24"/>
                <w:lang w:val="en-US" w:eastAsia="zh-CN"/>
              </w:rPr>
              <w:t>号车间未建设，由于该企业产业调整等因素，目前半挂车项目未实施。</w:t>
            </w:r>
            <w:r>
              <w:rPr>
                <w:rFonts w:hint="eastAsia" w:cs="Times New Roman"/>
                <w:color w:val="000000" w:themeColor="text1"/>
                <w:sz w:val="24"/>
                <w:szCs w:val="24"/>
                <w:lang w:val="en-US" w:eastAsia="zh-CN"/>
                <w14:textFill>
                  <w14:solidFill>
                    <w14:schemeClr w14:val="tx1"/>
                  </w14:solidFill>
                </w14:textFill>
              </w:rPr>
              <w:t>厂区内将2号车间外租给达州绿盛源环保科技有限公司，从事一般工业固体废物回收利用项目，将4号车间外租给四川鑫永佳环保科技有限公司，从事废旧塑料回收利用项目，将3号车间租给达州驰鑫门窗有限公司，从事门窗生产及加工</w:t>
            </w:r>
            <w:r>
              <w:rPr>
                <w:rFonts w:cs="Times New Roman"/>
                <w:color w:val="000000" w:themeColor="text1"/>
                <w:sz w:val="24"/>
                <w:szCs w:val="24"/>
                <w14:textFill>
                  <w14:solidFill>
                    <w14:schemeClr w14:val="tx1"/>
                  </w14:solidFill>
                </w14:textFill>
              </w:rPr>
              <w:t>。</w:t>
            </w:r>
            <w:r>
              <w:rPr>
                <w:rFonts w:hint="eastAsia" w:cs="Times New Roman"/>
                <w:color w:val="auto"/>
                <w:sz w:val="24"/>
                <w:szCs w:val="24"/>
                <w:lang w:val="en-US" w:eastAsia="zh-CN"/>
              </w:rPr>
              <w:t>结合项目实际，本项目的建设不会对原有项目配套车间的规划造成冲突，选址与周围厂房分布及厂区环境是相容的。</w:t>
            </w:r>
          </w:p>
          <w:p w14:paraId="1FB3A16A">
            <w:pPr>
              <w:spacing w:line="360" w:lineRule="auto"/>
              <w:ind w:firstLine="480" w:firstLineChars="200"/>
              <w:rPr>
                <w:rFonts w:cs="Times New Roman"/>
                <w:color w:val="auto"/>
                <w:sz w:val="24"/>
                <w:szCs w:val="24"/>
              </w:rPr>
            </w:pPr>
            <w:r>
              <w:rPr>
                <w:rFonts w:cs="Times New Roman"/>
                <w:color w:val="auto"/>
                <w:sz w:val="24"/>
                <w:szCs w:val="24"/>
              </w:rPr>
              <w:t>（5）项目属于</w:t>
            </w:r>
            <w:r>
              <w:rPr>
                <w:rFonts w:hint="eastAsia" w:cs="Times New Roman"/>
                <w:color w:val="auto"/>
                <w:sz w:val="24"/>
                <w:szCs w:val="24"/>
                <w:lang w:eastAsia="zh-CN"/>
              </w:rPr>
              <w:t>建筑用石加工</w:t>
            </w:r>
            <w:r>
              <w:rPr>
                <w:rFonts w:cs="Times New Roman"/>
                <w:color w:val="auto"/>
                <w:sz w:val="24"/>
                <w:szCs w:val="24"/>
              </w:rPr>
              <w:t>项目。通过与行业相关政策文件的分析，本项目选址、厂区环境及设计布局等均能够满足要求。</w:t>
            </w:r>
          </w:p>
          <w:p w14:paraId="2B86C134">
            <w:pPr>
              <w:spacing w:line="360" w:lineRule="auto"/>
              <w:ind w:firstLine="480" w:firstLineChars="200"/>
              <w:rPr>
                <w:rFonts w:cs="Times New Roman"/>
                <w:color w:val="auto"/>
                <w:sz w:val="24"/>
                <w:szCs w:val="24"/>
              </w:rPr>
            </w:pPr>
            <w:r>
              <w:rPr>
                <w:rFonts w:cs="Times New Roman"/>
                <w:color w:val="auto"/>
                <w:sz w:val="24"/>
                <w:szCs w:val="24"/>
              </w:rPr>
              <w:t>（6）项目位于规划的工业园区范围，从外环境</w:t>
            </w:r>
            <w:r>
              <w:rPr>
                <w:rFonts w:hint="eastAsia" w:cs="Times New Roman"/>
                <w:color w:val="auto"/>
                <w:sz w:val="24"/>
                <w:szCs w:val="24"/>
                <w:lang w:eastAsia="zh-CN"/>
              </w:rPr>
              <w:t>现状</w:t>
            </w:r>
            <w:r>
              <w:rPr>
                <w:rFonts w:cs="Times New Roman"/>
                <w:color w:val="auto"/>
                <w:sz w:val="24"/>
                <w:szCs w:val="24"/>
              </w:rPr>
              <w:t>看，</w:t>
            </w:r>
            <w:r>
              <w:rPr>
                <w:rFonts w:hint="eastAsia" w:cs="Times New Roman"/>
                <w:color w:val="auto"/>
                <w:sz w:val="24"/>
                <w:szCs w:val="24"/>
                <w:lang w:eastAsia="zh-CN"/>
              </w:rPr>
              <w:t>项目距离东侧居民约</w:t>
            </w:r>
            <w:r>
              <w:rPr>
                <w:rFonts w:hint="eastAsia" w:cs="Times New Roman"/>
                <w:color w:val="auto"/>
                <w:sz w:val="24"/>
                <w:szCs w:val="24"/>
                <w:lang w:val="en-US" w:eastAsia="zh-CN"/>
              </w:rPr>
              <w:t>130m，</w:t>
            </w:r>
            <w:r>
              <w:rPr>
                <w:rFonts w:hint="eastAsia" w:cs="Times New Roman"/>
                <w:color w:val="auto"/>
                <w:sz w:val="24"/>
                <w:szCs w:val="24"/>
                <w:highlight w:val="none"/>
                <w:lang w:val="en-US" w:eastAsia="zh-CN"/>
              </w:rPr>
              <w:t>东岳场镇建成区位于项目北侧约46</w:t>
            </w:r>
            <w:r>
              <w:rPr>
                <w:rFonts w:hint="default" w:cs="Times New Roman"/>
                <w:color w:val="auto"/>
                <w:sz w:val="24"/>
                <w:szCs w:val="24"/>
                <w:highlight w:val="none"/>
                <w:lang w:val="en-US" w:eastAsia="zh-CN"/>
              </w:rPr>
              <w:t>0m</w:t>
            </w:r>
            <w:r>
              <w:rPr>
                <w:rFonts w:hint="eastAsia" w:cs="Times New Roman"/>
                <w:color w:val="auto"/>
                <w:sz w:val="24"/>
                <w:szCs w:val="24"/>
                <w:highlight w:val="none"/>
                <w:lang w:val="en-US" w:eastAsia="zh-CN"/>
              </w:rPr>
              <w:t>处，处于项目区常年主导风向的上方向。</w:t>
            </w:r>
            <w:r>
              <w:rPr>
                <w:rFonts w:cs="Times New Roman"/>
                <w:color w:val="auto"/>
                <w:sz w:val="24"/>
                <w:szCs w:val="24"/>
              </w:rPr>
              <w:t>项目南</w:t>
            </w:r>
            <w:r>
              <w:rPr>
                <w:rFonts w:hint="eastAsia" w:cs="Times New Roman"/>
                <w:color w:val="auto"/>
                <w:sz w:val="24"/>
                <w:szCs w:val="24"/>
                <w:lang w:eastAsia="zh-CN"/>
              </w:rPr>
              <w:t>侧</w:t>
            </w:r>
            <w:r>
              <w:rPr>
                <w:rFonts w:cs="Times New Roman"/>
                <w:color w:val="auto"/>
                <w:sz w:val="24"/>
                <w:szCs w:val="24"/>
              </w:rPr>
              <w:t>为四川会欧建材机械有限公司厂区和达州帝泰克检测设备有限公司厂区，</w:t>
            </w:r>
            <w:r>
              <w:rPr>
                <w:rFonts w:hint="eastAsia" w:cs="Times New Roman"/>
                <w:color w:val="auto"/>
                <w:sz w:val="24"/>
                <w:szCs w:val="24"/>
                <w:lang w:eastAsia="zh-CN"/>
              </w:rPr>
              <w:t>后期规划</w:t>
            </w:r>
            <w:r>
              <w:rPr>
                <w:rFonts w:cs="Times New Roman"/>
                <w:color w:val="auto"/>
                <w:sz w:val="24"/>
                <w:szCs w:val="24"/>
              </w:rPr>
              <w:t>周边主要为工业企业</w:t>
            </w:r>
            <w:r>
              <w:rPr>
                <w:rFonts w:hint="eastAsia" w:cs="Times New Roman"/>
                <w:color w:val="auto"/>
                <w:sz w:val="24"/>
                <w:szCs w:val="24"/>
                <w:lang w:eastAsia="zh-CN"/>
              </w:rPr>
              <w:t>为主</w:t>
            </w:r>
            <w:r>
              <w:rPr>
                <w:rFonts w:cs="Times New Roman"/>
                <w:color w:val="auto"/>
                <w:sz w:val="24"/>
                <w:szCs w:val="24"/>
              </w:rPr>
              <w:t>，与周边环境是相容的。</w:t>
            </w:r>
          </w:p>
          <w:p w14:paraId="6E3FBCD0">
            <w:pPr>
              <w:spacing w:line="360" w:lineRule="auto"/>
              <w:ind w:firstLine="480" w:firstLineChars="200"/>
              <w:rPr>
                <w:rFonts w:cs="Times New Roman"/>
                <w:color w:val="auto"/>
                <w:sz w:val="24"/>
                <w:szCs w:val="24"/>
              </w:rPr>
            </w:pPr>
            <w:r>
              <w:rPr>
                <w:rFonts w:cs="Times New Roman"/>
                <w:color w:val="auto"/>
                <w:sz w:val="24"/>
                <w:szCs w:val="24"/>
              </w:rPr>
              <w:t>（7）项目所处的园区已经过多年的发展，园区各项配套设施完善，供水、供电、供气及外部交通网络通畅交通便利，能够满足本项目生产、生活需要，利于本项目的建设。</w:t>
            </w:r>
          </w:p>
          <w:p w14:paraId="2C3EE192">
            <w:pPr>
              <w:spacing w:line="360" w:lineRule="auto"/>
              <w:ind w:firstLine="482" w:firstLineChars="200"/>
              <w:rPr>
                <w:rFonts w:hint="eastAsia" w:eastAsia="宋体" w:cs="Times New Roman"/>
                <w:color w:val="auto"/>
                <w:sz w:val="24"/>
                <w:szCs w:val="24"/>
                <w:lang w:eastAsia="zh-CN"/>
              </w:rPr>
            </w:pPr>
            <w:r>
              <w:rPr>
                <w:rFonts w:cs="Times New Roman"/>
                <w:b/>
                <w:bCs/>
                <w:color w:val="auto"/>
                <w:sz w:val="24"/>
                <w:szCs w:val="24"/>
              </w:rPr>
              <w:t>综上分析，本项目选址合理可行</w:t>
            </w:r>
            <w:r>
              <w:rPr>
                <w:rFonts w:hint="eastAsia" w:cs="Times New Roman"/>
                <w:b/>
                <w:bCs/>
                <w:color w:val="auto"/>
                <w:sz w:val="24"/>
                <w:szCs w:val="24"/>
                <w:lang w:eastAsia="zh-CN"/>
              </w:rPr>
              <w:t>。</w:t>
            </w:r>
          </w:p>
          <w:p w14:paraId="478E42C8">
            <w:pPr>
              <w:pStyle w:val="13"/>
              <w:rPr>
                <w:rFonts w:cs="Times New Roman"/>
                <w:color w:val="auto"/>
              </w:rPr>
            </w:pPr>
          </w:p>
          <w:p w14:paraId="6E3DBFD8">
            <w:pPr>
              <w:pStyle w:val="13"/>
              <w:rPr>
                <w:rFonts w:cs="Times New Roman"/>
                <w:color w:val="auto"/>
              </w:rPr>
            </w:pPr>
          </w:p>
          <w:p w14:paraId="0E0F2C17">
            <w:pPr>
              <w:pStyle w:val="13"/>
              <w:rPr>
                <w:rFonts w:cs="Times New Roman"/>
                <w:color w:val="auto"/>
              </w:rPr>
            </w:pPr>
          </w:p>
          <w:p w14:paraId="084210A4">
            <w:pPr>
              <w:pStyle w:val="13"/>
              <w:rPr>
                <w:rFonts w:cs="Times New Roman"/>
                <w:color w:val="auto"/>
              </w:rPr>
            </w:pPr>
          </w:p>
          <w:p w14:paraId="2A18F754">
            <w:pPr>
              <w:pStyle w:val="14"/>
              <w:rPr>
                <w:rFonts w:cs="Times New Roman"/>
                <w:color w:val="auto"/>
              </w:rPr>
            </w:pPr>
          </w:p>
          <w:p w14:paraId="5817DD58"/>
        </w:tc>
      </w:tr>
    </w:tbl>
    <w:p w14:paraId="38262A68">
      <w:pPr>
        <w:pStyle w:val="14"/>
        <w:rPr>
          <w:rFonts w:ascii="Times New Roman" w:hAnsi="Times New Roman" w:eastAsia="宋体" w:cs="Times New Roman"/>
          <w:color w:val="auto"/>
        </w:rPr>
        <w:sectPr>
          <w:pgSz w:w="11906" w:h="16838"/>
          <w:pgMar w:top="1134" w:right="1134" w:bottom="1134" w:left="1418" w:header="851" w:footer="992" w:gutter="0"/>
          <w:pgBorders>
            <w:top w:val="none" w:sz="0" w:space="0"/>
            <w:left w:val="none" w:sz="0" w:space="0"/>
            <w:bottom w:val="none" w:sz="0" w:space="0"/>
            <w:right w:val="none" w:sz="0" w:space="0"/>
          </w:pgBorders>
          <w:pgNumType w:fmt="numberInDash"/>
          <w:cols w:space="720" w:num="1"/>
          <w:docGrid w:type="lines" w:linePitch="312" w:charSpace="0"/>
        </w:sectPr>
      </w:pPr>
    </w:p>
    <w:p w14:paraId="574642FE">
      <w:pPr>
        <w:pStyle w:val="58"/>
        <w:jc w:val="center"/>
        <w:rPr>
          <w:rFonts w:cs="Times New Roman"/>
          <w:b w:val="0"/>
          <w:color w:val="auto"/>
          <w:sz w:val="30"/>
          <w:szCs w:val="30"/>
        </w:rPr>
      </w:pPr>
      <w:bookmarkStart w:id="5" w:name="_Toc20161"/>
      <w:r>
        <w:rPr>
          <w:rFonts w:hint="eastAsia" w:ascii="黑体" w:hAnsi="黑体" w:eastAsia="黑体"/>
          <w:b w:val="0"/>
          <w:color w:val="auto"/>
          <w:sz w:val="30"/>
          <w:szCs w:val="30"/>
        </w:rPr>
        <w:t>二、建设项目工程分析</w:t>
      </w:r>
      <w:bookmarkEnd w:id="5"/>
    </w:p>
    <w:tbl>
      <w:tblPr>
        <w:tblStyle w:val="24"/>
        <w:tblW w:w="957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6"/>
        <w:gridCol w:w="8834"/>
      </w:tblGrid>
      <w:tr w14:paraId="375808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5" w:hRule="atLeast"/>
          <w:jc w:val="center"/>
        </w:trPr>
        <w:tc>
          <w:tcPr>
            <w:tcW w:w="736" w:type="dxa"/>
            <w:vAlign w:val="center"/>
          </w:tcPr>
          <w:p w14:paraId="4BE27D85">
            <w:pPr>
              <w:jc w:val="center"/>
              <w:rPr>
                <w:rFonts w:cs="Times New Roman"/>
                <w:color w:val="auto"/>
                <w:sz w:val="24"/>
                <w:szCs w:val="24"/>
              </w:rPr>
            </w:pPr>
            <w:r>
              <w:rPr>
                <w:rFonts w:cs="Times New Roman"/>
                <w:color w:val="auto"/>
                <w:sz w:val="24"/>
                <w:szCs w:val="24"/>
              </w:rPr>
              <w:t>建设内容</w:t>
            </w:r>
          </w:p>
        </w:tc>
        <w:tc>
          <w:tcPr>
            <w:tcW w:w="8834" w:type="dxa"/>
            <w:vAlign w:val="center"/>
          </w:tcPr>
          <w:p w14:paraId="3D25535A">
            <w:pPr>
              <w:spacing w:line="360" w:lineRule="auto"/>
              <w:ind w:firstLine="482" w:firstLineChars="200"/>
              <w:rPr>
                <w:rFonts w:cs="Times New Roman"/>
                <w:b/>
                <w:color w:val="auto"/>
                <w:sz w:val="24"/>
                <w:szCs w:val="24"/>
              </w:rPr>
            </w:pPr>
            <w:r>
              <w:rPr>
                <w:rFonts w:cs="Times New Roman"/>
                <w:b/>
                <w:color w:val="auto"/>
                <w:sz w:val="24"/>
                <w:szCs w:val="24"/>
              </w:rPr>
              <w:t>1、项目由来</w:t>
            </w:r>
          </w:p>
          <w:p w14:paraId="3DEF0F17">
            <w:pPr>
              <w:spacing w:line="360" w:lineRule="auto"/>
              <w:ind w:firstLine="480" w:firstLineChars="200"/>
              <w:rPr>
                <w:rFonts w:hint="eastAsia" w:eastAsia="宋体" w:cs="Times New Roman"/>
                <w:bCs/>
                <w:color w:val="auto"/>
                <w:sz w:val="24"/>
                <w:szCs w:val="24"/>
                <w:lang w:eastAsia="zh-CN"/>
              </w:rPr>
            </w:pPr>
            <w:r>
              <w:rPr>
                <w:rFonts w:hint="eastAsia" w:cs="Times New Roman"/>
                <w:bCs/>
                <w:color w:val="auto"/>
                <w:sz w:val="24"/>
                <w:szCs w:val="24"/>
                <w:lang w:eastAsia="zh-CN"/>
              </w:rPr>
              <w:t>达州市鼎磊石材有限公司</w:t>
            </w:r>
            <w:r>
              <w:rPr>
                <w:rFonts w:cs="Times New Roman"/>
                <w:bCs/>
                <w:color w:val="auto"/>
                <w:sz w:val="24"/>
                <w:szCs w:val="24"/>
              </w:rPr>
              <w:t>选址在通川区东岳镇虹桥社区</w:t>
            </w:r>
            <w:r>
              <w:rPr>
                <w:rFonts w:hint="eastAsia" w:cs="Times New Roman"/>
                <w:bCs/>
                <w:color w:val="auto"/>
                <w:sz w:val="24"/>
                <w:szCs w:val="24"/>
                <w:lang w:eastAsia="zh-CN"/>
              </w:rPr>
              <w:t>二社</w:t>
            </w:r>
            <w:r>
              <w:rPr>
                <w:rFonts w:cs="Times New Roman"/>
                <w:bCs/>
                <w:color w:val="auto"/>
                <w:sz w:val="24"/>
                <w:szCs w:val="24"/>
              </w:rPr>
              <w:t>，通过租用达州市天宇车业有限公司闲置的</w:t>
            </w:r>
            <w:r>
              <w:rPr>
                <w:rFonts w:hint="eastAsia" w:cs="Times New Roman"/>
                <w:bCs/>
                <w:color w:val="auto"/>
                <w:sz w:val="24"/>
                <w:szCs w:val="24"/>
                <w:lang w:val="en-US" w:eastAsia="zh-CN"/>
              </w:rPr>
              <w:t>1号车间</w:t>
            </w:r>
            <w:r>
              <w:rPr>
                <w:rFonts w:hint="eastAsia" w:cs="Times New Roman"/>
                <w:bCs/>
                <w:color w:val="auto"/>
                <w:sz w:val="24"/>
                <w:szCs w:val="24"/>
                <w:lang w:eastAsia="zh-CN"/>
              </w:rPr>
              <w:t>及车间外空地</w:t>
            </w:r>
            <w:r>
              <w:rPr>
                <w:rFonts w:cs="Times New Roman"/>
                <w:bCs/>
                <w:color w:val="auto"/>
                <w:sz w:val="24"/>
                <w:szCs w:val="24"/>
              </w:rPr>
              <w:t>，面积约</w:t>
            </w:r>
            <w:r>
              <w:rPr>
                <w:rFonts w:hint="eastAsia" w:cs="Times New Roman"/>
                <w:bCs/>
                <w:color w:val="auto"/>
                <w:sz w:val="24"/>
                <w:szCs w:val="24"/>
                <w:lang w:val="en-US" w:eastAsia="zh-CN"/>
              </w:rPr>
              <w:t>5480</w:t>
            </w:r>
            <w:r>
              <w:rPr>
                <w:rFonts w:cs="Times New Roman"/>
                <w:bCs/>
                <w:color w:val="auto"/>
                <w:sz w:val="24"/>
                <w:szCs w:val="24"/>
              </w:rPr>
              <w:t>m</w:t>
            </w:r>
            <w:r>
              <w:rPr>
                <w:rFonts w:cs="Times New Roman"/>
                <w:bCs/>
                <w:color w:val="auto"/>
                <w:sz w:val="24"/>
                <w:szCs w:val="24"/>
                <w:vertAlign w:val="superscript"/>
              </w:rPr>
              <w:t>2</w:t>
            </w:r>
            <w:r>
              <w:rPr>
                <w:rFonts w:cs="Times New Roman"/>
                <w:bCs/>
                <w:color w:val="auto"/>
                <w:sz w:val="24"/>
                <w:szCs w:val="24"/>
              </w:rPr>
              <w:t>，建设</w:t>
            </w:r>
            <w:r>
              <w:rPr>
                <w:rFonts w:hint="eastAsia" w:cs="Times New Roman"/>
                <w:bCs/>
                <w:color w:val="auto"/>
                <w:sz w:val="24"/>
                <w:szCs w:val="24"/>
                <w:lang w:eastAsia="zh-CN"/>
              </w:rPr>
              <w:t>“</w:t>
            </w:r>
            <w:r>
              <w:rPr>
                <w:rFonts w:hint="eastAsia"/>
                <w:color w:val="auto"/>
                <w:sz w:val="24"/>
                <w:szCs w:val="24"/>
                <w:lang w:eastAsia="zh-CN"/>
              </w:rPr>
              <w:t>达州鼎磊装饰用石切割雕刻生产线建设项目”</w:t>
            </w:r>
            <w:r>
              <w:rPr>
                <w:rFonts w:cs="Times New Roman"/>
                <w:bCs/>
                <w:color w:val="auto"/>
                <w:sz w:val="24"/>
                <w:szCs w:val="24"/>
              </w:rPr>
              <w:t>。</w:t>
            </w:r>
            <w:r>
              <w:rPr>
                <w:rFonts w:hint="eastAsia" w:cs="Times New Roman"/>
                <w:bCs/>
                <w:color w:val="auto"/>
                <w:sz w:val="24"/>
                <w:szCs w:val="24"/>
                <w:lang w:eastAsia="zh-CN"/>
              </w:rPr>
              <w:t>利用青石荒料等原料</w:t>
            </w:r>
            <w:r>
              <w:rPr>
                <w:rFonts w:cs="Times New Roman"/>
                <w:bCs/>
                <w:color w:val="auto"/>
                <w:sz w:val="24"/>
                <w:szCs w:val="24"/>
              </w:rPr>
              <w:t>，</w:t>
            </w:r>
            <w:r>
              <w:rPr>
                <w:rFonts w:hint="eastAsia" w:cs="Times New Roman"/>
                <w:bCs/>
                <w:color w:val="auto"/>
                <w:sz w:val="24"/>
                <w:szCs w:val="24"/>
                <w:lang w:eastAsia="zh-CN"/>
              </w:rPr>
              <w:t>采取切割、抛磨、雕刻等</w:t>
            </w:r>
            <w:r>
              <w:rPr>
                <w:rFonts w:cs="Times New Roman"/>
                <w:bCs/>
                <w:color w:val="auto"/>
                <w:sz w:val="24"/>
                <w:szCs w:val="24"/>
              </w:rPr>
              <w:t>工艺</w:t>
            </w:r>
            <w:r>
              <w:rPr>
                <w:rFonts w:hint="eastAsia" w:cs="Times New Roman"/>
                <w:bCs/>
                <w:color w:val="auto"/>
                <w:sz w:val="24"/>
                <w:szCs w:val="24"/>
                <w:lang w:eastAsia="zh-CN"/>
              </w:rPr>
              <w:t>，</w:t>
            </w:r>
            <w:r>
              <w:rPr>
                <w:rFonts w:cs="Times New Roman"/>
                <w:bCs/>
                <w:color w:val="auto"/>
                <w:sz w:val="24"/>
                <w:szCs w:val="24"/>
              </w:rPr>
              <w:t>预计年</w:t>
            </w:r>
            <w:r>
              <w:rPr>
                <w:rFonts w:hint="eastAsia" w:cs="Times New Roman"/>
                <w:bCs/>
                <w:color w:val="auto"/>
                <w:sz w:val="24"/>
                <w:szCs w:val="24"/>
                <w:lang w:eastAsia="zh-CN"/>
              </w:rPr>
              <w:t>加工装饰用石材</w:t>
            </w:r>
            <w:r>
              <w:rPr>
                <w:rFonts w:cs="Times New Roman"/>
                <w:bCs/>
                <w:color w:val="auto"/>
                <w:sz w:val="24"/>
                <w:szCs w:val="24"/>
              </w:rPr>
              <w:t>约</w:t>
            </w:r>
            <w:r>
              <w:rPr>
                <w:rFonts w:hint="eastAsia" w:cs="Times New Roman"/>
                <w:bCs/>
                <w:color w:val="auto"/>
                <w:sz w:val="24"/>
                <w:szCs w:val="24"/>
                <w:lang w:val="en-US" w:eastAsia="zh-CN"/>
              </w:rPr>
              <w:t>1万立方米</w:t>
            </w:r>
            <w:r>
              <w:rPr>
                <w:rFonts w:cs="Times New Roman"/>
                <w:bCs/>
                <w:color w:val="auto"/>
                <w:sz w:val="24"/>
                <w:szCs w:val="24"/>
              </w:rPr>
              <w:t>。根据调查，达州市天宇车业有限公司</w:t>
            </w:r>
            <w:r>
              <w:rPr>
                <w:rFonts w:hint="eastAsia" w:cs="Times New Roman"/>
                <w:bCs/>
                <w:color w:val="auto"/>
                <w:sz w:val="24"/>
                <w:szCs w:val="24"/>
                <w:lang w:eastAsia="zh-CN"/>
              </w:rPr>
              <w:t>“</w:t>
            </w:r>
            <w:r>
              <w:rPr>
                <w:rFonts w:cs="Times New Roman"/>
                <w:bCs/>
                <w:color w:val="auto"/>
                <w:sz w:val="24"/>
                <w:szCs w:val="24"/>
              </w:rPr>
              <w:t>商用半挂车生产及配套建设项目</w:t>
            </w:r>
            <w:r>
              <w:rPr>
                <w:rFonts w:hint="eastAsia" w:cs="Times New Roman"/>
                <w:bCs/>
                <w:color w:val="auto"/>
                <w:sz w:val="24"/>
                <w:szCs w:val="24"/>
                <w:lang w:eastAsia="zh-CN"/>
              </w:rPr>
              <w:t>”</w:t>
            </w:r>
            <w:r>
              <w:rPr>
                <w:rFonts w:cs="Times New Roman"/>
                <w:bCs/>
                <w:color w:val="auto"/>
                <w:sz w:val="24"/>
                <w:szCs w:val="24"/>
              </w:rPr>
              <w:t>已于2018年取得环评批</w:t>
            </w:r>
            <w:r>
              <w:rPr>
                <w:rFonts w:hint="eastAsia" w:cs="Times New Roman"/>
                <w:bCs/>
                <w:color w:val="auto"/>
                <w:sz w:val="24"/>
                <w:szCs w:val="24"/>
                <w:lang w:eastAsia="zh-CN"/>
              </w:rPr>
              <w:t>复，</w:t>
            </w:r>
            <w:r>
              <w:rPr>
                <w:rFonts w:cs="Times New Roman"/>
                <w:bCs/>
                <w:color w:val="auto"/>
                <w:sz w:val="24"/>
                <w:szCs w:val="24"/>
              </w:rPr>
              <w:t>部分厂房建成后因天宇公司经营方向调整，目前该半挂车项目未实施，因此该项目也未开展竣工环境保护验收工作</w:t>
            </w:r>
            <w:r>
              <w:rPr>
                <w:rFonts w:hint="eastAsia" w:cs="Times New Roman"/>
                <w:bCs/>
                <w:color w:val="auto"/>
                <w:sz w:val="24"/>
                <w:szCs w:val="24"/>
                <w:lang w:eastAsia="zh-CN"/>
              </w:rPr>
              <w:t>。</w:t>
            </w:r>
          </w:p>
          <w:p w14:paraId="278C088A">
            <w:pPr>
              <w:spacing w:line="360" w:lineRule="auto"/>
              <w:ind w:firstLine="480" w:firstLineChars="200"/>
              <w:rPr>
                <w:rFonts w:cs="Times New Roman"/>
                <w:bCs/>
                <w:color w:val="auto"/>
                <w:sz w:val="24"/>
                <w:szCs w:val="24"/>
              </w:rPr>
            </w:pPr>
            <w:r>
              <w:rPr>
                <w:rFonts w:cs="Times New Roman"/>
                <w:color w:val="auto"/>
                <w:sz w:val="24"/>
                <w:szCs w:val="24"/>
              </w:rPr>
              <w:t>根据《建设项目环境影响评价分类管理名录》（2021年版）项目属于</w:t>
            </w:r>
            <w:r>
              <w:rPr>
                <w:rFonts w:hint="eastAsia" w:cs="Times New Roman"/>
                <w:color w:val="auto"/>
                <w:sz w:val="24"/>
                <w:szCs w:val="24"/>
                <w:lang w:eastAsia="zh-CN"/>
              </w:rPr>
              <w:t>“</w:t>
            </w:r>
            <w:r>
              <w:rPr>
                <w:rFonts w:cs="Times New Roman"/>
                <w:color w:val="auto"/>
                <w:sz w:val="24"/>
                <w:szCs w:val="24"/>
              </w:rPr>
              <w:t>第二十七、非金属矿物制品业中第56条砖瓦、石材等建筑材料制造-建筑用石加工</w:t>
            </w:r>
            <w:r>
              <w:rPr>
                <w:rFonts w:hint="eastAsia" w:cs="Times New Roman"/>
                <w:color w:val="auto"/>
                <w:sz w:val="24"/>
                <w:szCs w:val="24"/>
                <w:lang w:eastAsia="zh-CN"/>
              </w:rPr>
              <w:t>”</w:t>
            </w:r>
            <w:r>
              <w:rPr>
                <w:rFonts w:cs="Times New Roman"/>
                <w:color w:val="auto"/>
                <w:sz w:val="24"/>
                <w:szCs w:val="24"/>
              </w:rPr>
              <w:t>，需编制环境影响报告表。</w:t>
            </w:r>
          </w:p>
          <w:p w14:paraId="417329DB">
            <w:pPr>
              <w:spacing w:line="360" w:lineRule="auto"/>
              <w:ind w:firstLine="482" w:firstLineChars="200"/>
              <w:rPr>
                <w:rFonts w:cs="Times New Roman"/>
                <w:b/>
                <w:color w:val="auto"/>
                <w:sz w:val="24"/>
                <w:szCs w:val="24"/>
              </w:rPr>
            </w:pPr>
            <w:r>
              <w:rPr>
                <w:rFonts w:hint="eastAsia" w:cs="Times New Roman"/>
                <w:b/>
                <w:color w:val="auto"/>
                <w:sz w:val="24"/>
                <w:szCs w:val="24"/>
                <w:lang w:val="en-US" w:eastAsia="zh-CN"/>
              </w:rPr>
              <w:t>2</w:t>
            </w:r>
            <w:r>
              <w:rPr>
                <w:rFonts w:cs="Times New Roman"/>
                <w:b/>
                <w:color w:val="auto"/>
                <w:sz w:val="24"/>
                <w:szCs w:val="24"/>
              </w:rPr>
              <w:t>、项目概况</w:t>
            </w:r>
          </w:p>
          <w:p w14:paraId="2605970B">
            <w:pPr>
              <w:spacing w:line="360" w:lineRule="auto"/>
              <w:ind w:firstLine="480" w:firstLineChars="200"/>
              <w:rPr>
                <w:rFonts w:hint="eastAsia" w:eastAsia="宋体" w:cs="Times New Roman"/>
                <w:color w:val="auto"/>
                <w:sz w:val="24"/>
                <w:szCs w:val="24"/>
                <w:lang w:eastAsia="zh-CN"/>
              </w:rPr>
            </w:pPr>
            <w:r>
              <w:rPr>
                <w:rFonts w:cs="Times New Roman"/>
                <w:color w:val="auto"/>
                <w:sz w:val="24"/>
                <w:szCs w:val="24"/>
              </w:rPr>
              <w:t>项目名称：</w:t>
            </w:r>
            <w:r>
              <w:rPr>
                <w:rFonts w:hint="eastAsia" w:cs="Times New Roman"/>
                <w:color w:val="auto"/>
                <w:sz w:val="24"/>
                <w:szCs w:val="24"/>
                <w:lang w:eastAsia="zh-CN"/>
              </w:rPr>
              <w:t>达州鼎磊装饰用石切割雕刻生产线建设项目</w:t>
            </w:r>
          </w:p>
          <w:p w14:paraId="3AA01312">
            <w:pPr>
              <w:spacing w:line="360" w:lineRule="auto"/>
              <w:ind w:firstLine="480" w:firstLineChars="200"/>
              <w:rPr>
                <w:rFonts w:hint="eastAsia" w:eastAsia="宋体" w:cs="Times New Roman"/>
                <w:color w:val="auto"/>
                <w:sz w:val="24"/>
                <w:szCs w:val="24"/>
                <w:lang w:eastAsia="zh-CN"/>
              </w:rPr>
            </w:pPr>
            <w:r>
              <w:rPr>
                <w:rFonts w:cs="Times New Roman"/>
                <w:color w:val="auto"/>
                <w:sz w:val="24"/>
                <w:szCs w:val="24"/>
              </w:rPr>
              <w:t>建设单位：</w:t>
            </w:r>
            <w:r>
              <w:rPr>
                <w:rFonts w:hint="eastAsia" w:cs="Times New Roman"/>
                <w:color w:val="auto"/>
                <w:sz w:val="24"/>
                <w:szCs w:val="24"/>
                <w:lang w:eastAsia="zh-CN"/>
              </w:rPr>
              <w:t>达州市鼎磊石材有限公司</w:t>
            </w:r>
          </w:p>
          <w:p w14:paraId="02CED82E">
            <w:pPr>
              <w:spacing w:line="360" w:lineRule="auto"/>
              <w:ind w:firstLine="480" w:firstLineChars="200"/>
              <w:rPr>
                <w:rFonts w:cs="Times New Roman"/>
                <w:color w:val="auto"/>
                <w:sz w:val="24"/>
                <w:szCs w:val="24"/>
              </w:rPr>
            </w:pPr>
            <w:r>
              <w:rPr>
                <w:rFonts w:cs="Times New Roman"/>
                <w:color w:val="auto"/>
                <w:sz w:val="24"/>
                <w:szCs w:val="24"/>
              </w:rPr>
              <w:t>建设地点：</w:t>
            </w:r>
            <w:r>
              <w:rPr>
                <w:rFonts w:hint="eastAsia" w:cs="Times New Roman"/>
                <w:color w:val="auto"/>
                <w:sz w:val="24"/>
                <w:szCs w:val="24"/>
                <w:lang w:eastAsia="zh-CN"/>
              </w:rPr>
              <w:t>达州市通川区东岳镇虹桥社区二组</w:t>
            </w:r>
          </w:p>
          <w:p w14:paraId="34095822">
            <w:pPr>
              <w:spacing w:line="360" w:lineRule="auto"/>
              <w:ind w:firstLine="480" w:firstLineChars="200"/>
              <w:rPr>
                <w:rFonts w:cs="Times New Roman"/>
                <w:color w:val="auto"/>
                <w:sz w:val="24"/>
                <w:szCs w:val="24"/>
              </w:rPr>
            </w:pPr>
            <w:r>
              <w:rPr>
                <w:rFonts w:cs="Times New Roman"/>
                <w:color w:val="auto"/>
                <w:sz w:val="24"/>
                <w:szCs w:val="24"/>
              </w:rPr>
              <w:t>建设性质：</w:t>
            </w:r>
            <w:r>
              <w:rPr>
                <w:rFonts w:hint="eastAsia" w:cs="Times New Roman"/>
                <w:color w:val="auto"/>
                <w:sz w:val="24"/>
                <w:szCs w:val="24"/>
                <w:lang w:eastAsia="zh-CN"/>
              </w:rPr>
              <w:t>新</w:t>
            </w:r>
            <w:r>
              <w:rPr>
                <w:rFonts w:cs="Times New Roman"/>
                <w:color w:val="auto"/>
                <w:sz w:val="24"/>
                <w:szCs w:val="24"/>
              </w:rPr>
              <w:t>建</w:t>
            </w:r>
          </w:p>
          <w:p w14:paraId="77E07315">
            <w:pPr>
              <w:spacing w:line="360" w:lineRule="auto"/>
              <w:ind w:firstLine="480" w:firstLineChars="200"/>
              <w:rPr>
                <w:rFonts w:cs="Times New Roman"/>
                <w:color w:val="auto"/>
                <w:sz w:val="24"/>
                <w:szCs w:val="24"/>
              </w:rPr>
            </w:pPr>
            <w:r>
              <w:rPr>
                <w:rFonts w:cs="Times New Roman"/>
                <w:color w:val="auto"/>
                <w:sz w:val="24"/>
                <w:szCs w:val="24"/>
              </w:rPr>
              <w:t>项目投资：总投资</w:t>
            </w:r>
            <w:r>
              <w:rPr>
                <w:rFonts w:hint="eastAsia" w:cs="Times New Roman"/>
                <w:color w:val="auto"/>
                <w:sz w:val="24"/>
                <w:szCs w:val="24"/>
                <w:lang w:val="en-US" w:eastAsia="zh-CN"/>
              </w:rPr>
              <w:t>2</w:t>
            </w:r>
            <w:r>
              <w:rPr>
                <w:rFonts w:cs="Times New Roman"/>
                <w:color w:val="auto"/>
                <w:sz w:val="24"/>
                <w:szCs w:val="24"/>
              </w:rPr>
              <w:t>00万元</w:t>
            </w:r>
          </w:p>
          <w:p w14:paraId="2550844F">
            <w:pPr>
              <w:spacing w:line="360" w:lineRule="auto"/>
              <w:ind w:firstLine="480" w:firstLineChars="200"/>
              <w:rPr>
                <w:rFonts w:cs="Times New Roman"/>
                <w:b/>
                <w:bCs/>
                <w:color w:val="auto"/>
                <w:sz w:val="24"/>
                <w:szCs w:val="24"/>
              </w:rPr>
            </w:pPr>
            <w:r>
              <w:rPr>
                <w:rFonts w:cs="Times New Roman"/>
                <w:color w:val="auto"/>
                <w:sz w:val="24"/>
                <w:szCs w:val="24"/>
              </w:rPr>
              <w:t>建设内容：外购青石毛料为原料，在</w:t>
            </w:r>
            <w:r>
              <w:rPr>
                <w:rFonts w:hint="eastAsia" w:cs="Times New Roman"/>
                <w:color w:val="auto"/>
                <w:sz w:val="24"/>
                <w:szCs w:val="24"/>
                <w:lang w:eastAsia="zh-CN"/>
              </w:rPr>
              <w:t>租用厂房内安装</w:t>
            </w:r>
            <w:r>
              <w:rPr>
                <w:rFonts w:cs="Times New Roman"/>
                <w:color w:val="auto"/>
                <w:sz w:val="24"/>
                <w:szCs w:val="24"/>
              </w:rPr>
              <w:t>大切机、</w:t>
            </w:r>
            <w:r>
              <w:rPr>
                <w:rFonts w:hint="eastAsia" w:cs="Times New Roman"/>
                <w:color w:val="auto"/>
                <w:sz w:val="24"/>
                <w:szCs w:val="24"/>
                <w:lang w:eastAsia="zh-CN"/>
              </w:rPr>
              <w:t>中切机、小切机</w:t>
            </w:r>
            <w:r>
              <w:rPr>
                <w:rFonts w:cs="Times New Roman"/>
                <w:color w:val="auto"/>
                <w:sz w:val="24"/>
                <w:szCs w:val="24"/>
              </w:rPr>
              <w:t>、</w:t>
            </w:r>
            <w:r>
              <w:rPr>
                <w:rFonts w:hint="eastAsia" w:cs="Times New Roman"/>
                <w:color w:val="auto"/>
                <w:sz w:val="24"/>
                <w:szCs w:val="24"/>
                <w:lang w:eastAsia="zh-CN"/>
              </w:rPr>
              <w:t>雕刻机、</w:t>
            </w:r>
            <w:r>
              <w:rPr>
                <w:rFonts w:cs="Times New Roman"/>
                <w:color w:val="auto"/>
                <w:sz w:val="24"/>
                <w:szCs w:val="24"/>
              </w:rPr>
              <w:t>抛光机、喷砂机等生产设备，并</w:t>
            </w:r>
            <w:r>
              <w:rPr>
                <w:rFonts w:hint="eastAsia" w:cs="Times New Roman"/>
                <w:color w:val="auto"/>
                <w:sz w:val="24"/>
                <w:szCs w:val="24"/>
                <w:lang w:eastAsia="zh-CN"/>
              </w:rPr>
              <w:t>配套设置沉淀池</w:t>
            </w:r>
            <w:r>
              <w:rPr>
                <w:rFonts w:cs="Times New Roman"/>
                <w:color w:val="auto"/>
                <w:sz w:val="24"/>
                <w:szCs w:val="24"/>
              </w:rPr>
              <w:t>、螺旋绞砂机、板框压滤机等</w:t>
            </w:r>
            <w:r>
              <w:rPr>
                <w:rFonts w:hint="eastAsia" w:cs="Times New Roman"/>
                <w:color w:val="auto"/>
                <w:sz w:val="24"/>
                <w:szCs w:val="24"/>
                <w:lang w:eastAsia="zh-CN"/>
              </w:rPr>
              <w:t>环保设施</w:t>
            </w:r>
            <w:r>
              <w:rPr>
                <w:rFonts w:cs="Times New Roman"/>
                <w:color w:val="auto"/>
                <w:sz w:val="24"/>
                <w:szCs w:val="24"/>
              </w:rPr>
              <w:t>，形成年</w:t>
            </w:r>
            <w:r>
              <w:rPr>
                <w:rFonts w:hint="eastAsia" w:cs="Times New Roman"/>
                <w:color w:val="auto"/>
                <w:sz w:val="24"/>
                <w:szCs w:val="24"/>
                <w:lang w:eastAsia="zh-CN"/>
              </w:rPr>
              <w:t>加工</w:t>
            </w:r>
            <w:r>
              <w:rPr>
                <w:rFonts w:hint="eastAsia" w:cs="Times New Roman"/>
                <w:color w:val="auto"/>
                <w:sz w:val="24"/>
                <w:szCs w:val="24"/>
                <w:lang w:val="en-US" w:eastAsia="zh-CN"/>
              </w:rPr>
              <w:t>1万</w:t>
            </w:r>
            <w:r>
              <w:rPr>
                <w:rFonts w:cs="Times New Roman"/>
                <w:color w:val="auto"/>
                <w:sz w:val="24"/>
                <w:szCs w:val="24"/>
              </w:rPr>
              <w:t>立方米石材加工生产线。</w:t>
            </w:r>
          </w:p>
          <w:p w14:paraId="54C28023">
            <w:pPr>
              <w:spacing w:line="360" w:lineRule="auto"/>
              <w:ind w:firstLine="482" w:firstLineChars="200"/>
              <w:rPr>
                <w:rFonts w:cs="Times New Roman"/>
                <w:b/>
                <w:bCs/>
                <w:color w:val="auto"/>
                <w:sz w:val="24"/>
                <w:szCs w:val="24"/>
              </w:rPr>
            </w:pPr>
            <w:r>
              <w:rPr>
                <w:rFonts w:hint="eastAsia" w:cs="Times New Roman"/>
                <w:b/>
                <w:bCs/>
                <w:color w:val="auto"/>
                <w:sz w:val="24"/>
                <w:szCs w:val="24"/>
                <w:lang w:val="en-US" w:eastAsia="zh-CN"/>
              </w:rPr>
              <w:t>3</w:t>
            </w:r>
            <w:r>
              <w:rPr>
                <w:rFonts w:cs="Times New Roman"/>
                <w:b/>
                <w:bCs/>
                <w:color w:val="auto"/>
                <w:sz w:val="24"/>
                <w:szCs w:val="24"/>
              </w:rPr>
              <w:t>、产品方案</w:t>
            </w:r>
          </w:p>
          <w:p w14:paraId="11C7A0ED">
            <w:pPr>
              <w:spacing w:line="360" w:lineRule="auto"/>
              <w:ind w:firstLine="480" w:firstLineChars="200"/>
              <w:rPr>
                <w:rFonts w:cs="Times New Roman"/>
                <w:color w:val="auto"/>
                <w:sz w:val="24"/>
                <w:szCs w:val="24"/>
              </w:rPr>
            </w:pPr>
            <w:r>
              <w:rPr>
                <w:rFonts w:cs="Times New Roman"/>
                <w:color w:val="auto"/>
                <w:sz w:val="24"/>
                <w:szCs w:val="24"/>
              </w:rPr>
              <w:t>本项目产品方案及年产能见下表。</w:t>
            </w:r>
          </w:p>
          <w:p w14:paraId="2575B882">
            <w:pPr>
              <w:spacing w:line="360" w:lineRule="auto"/>
              <w:jc w:val="center"/>
              <w:rPr>
                <w:rFonts w:cs="Times New Roman"/>
                <w:b/>
                <w:bCs/>
                <w:color w:val="auto"/>
                <w:kern w:val="24"/>
                <w:sz w:val="24"/>
                <w:szCs w:val="24"/>
              </w:rPr>
            </w:pPr>
            <w:r>
              <w:rPr>
                <w:rFonts w:cs="Times New Roman"/>
                <w:b/>
                <w:bCs/>
                <w:color w:val="auto"/>
                <w:kern w:val="24"/>
                <w:sz w:val="24"/>
                <w:szCs w:val="24"/>
              </w:rPr>
              <w:t>表2-1  项目产品方案</w:t>
            </w:r>
          </w:p>
          <w:tbl>
            <w:tblPr>
              <w:tblStyle w:val="24"/>
              <w:tblW w:w="8639"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
            <w:tblGrid>
              <w:gridCol w:w="1456"/>
              <w:gridCol w:w="5385"/>
              <w:gridCol w:w="1798"/>
            </w:tblGrid>
            <w:tr w14:paraId="4FCCEAB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04" w:hRule="atLeast"/>
                <w:jc w:val="center"/>
              </w:trPr>
              <w:tc>
                <w:tcPr>
                  <w:tcW w:w="842" w:type="pct"/>
                  <w:tcBorders>
                    <w:tl2br w:val="nil"/>
                    <w:tr2bl w:val="nil"/>
                  </w:tcBorders>
                  <w:shd w:val="clear" w:color="auto" w:fill="auto"/>
                  <w:vAlign w:val="center"/>
                </w:tcPr>
                <w:p w14:paraId="065FA49E">
                  <w:pPr>
                    <w:jc w:val="center"/>
                    <w:rPr>
                      <w:rFonts w:cs="Times New Roman"/>
                      <w:b/>
                      <w:bCs/>
                      <w:color w:val="auto"/>
                      <w:szCs w:val="21"/>
                    </w:rPr>
                  </w:pPr>
                  <w:r>
                    <w:rPr>
                      <w:rFonts w:cs="Times New Roman"/>
                      <w:b/>
                      <w:bCs/>
                      <w:color w:val="auto"/>
                      <w:szCs w:val="21"/>
                    </w:rPr>
                    <w:t>产品名称</w:t>
                  </w:r>
                </w:p>
              </w:tc>
              <w:tc>
                <w:tcPr>
                  <w:tcW w:w="3116" w:type="pct"/>
                  <w:tcBorders>
                    <w:tl2br w:val="nil"/>
                    <w:tr2bl w:val="nil"/>
                  </w:tcBorders>
                  <w:shd w:val="clear" w:color="auto" w:fill="auto"/>
                  <w:vAlign w:val="center"/>
                </w:tcPr>
                <w:p w14:paraId="262A8C6C">
                  <w:pPr>
                    <w:jc w:val="center"/>
                    <w:rPr>
                      <w:rFonts w:cs="Times New Roman"/>
                      <w:b/>
                      <w:bCs/>
                      <w:color w:val="auto"/>
                      <w:szCs w:val="21"/>
                    </w:rPr>
                  </w:pPr>
                  <w:r>
                    <w:rPr>
                      <w:rFonts w:cs="Times New Roman"/>
                      <w:b/>
                      <w:bCs/>
                      <w:color w:val="auto"/>
                      <w:szCs w:val="21"/>
                    </w:rPr>
                    <w:t>产品规格</w:t>
                  </w:r>
                </w:p>
              </w:tc>
              <w:tc>
                <w:tcPr>
                  <w:tcW w:w="1040" w:type="pct"/>
                  <w:tcBorders>
                    <w:tl2br w:val="nil"/>
                    <w:tr2bl w:val="nil"/>
                  </w:tcBorders>
                  <w:shd w:val="clear" w:color="auto" w:fill="auto"/>
                  <w:vAlign w:val="center"/>
                </w:tcPr>
                <w:p w14:paraId="4414AA4B">
                  <w:pPr>
                    <w:jc w:val="center"/>
                    <w:rPr>
                      <w:rFonts w:hint="eastAsia" w:eastAsia="宋体" w:cs="Times New Roman"/>
                      <w:b/>
                      <w:bCs/>
                      <w:color w:val="auto"/>
                      <w:szCs w:val="21"/>
                      <w:lang w:eastAsia="zh-CN"/>
                    </w:rPr>
                  </w:pPr>
                  <w:r>
                    <w:rPr>
                      <w:rFonts w:hint="eastAsia" w:cs="Times New Roman"/>
                      <w:b/>
                      <w:bCs/>
                      <w:color w:val="auto"/>
                      <w:szCs w:val="21"/>
                      <w:lang w:eastAsia="zh-CN"/>
                    </w:rPr>
                    <w:t>年产量</w:t>
                  </w:r>
                </w:p>
              </w:tc>
            </w:tr>
            <w:tr w14:paraId="50EB863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760" w:hRule="atLeast"/>
                <w:jc w:val="center"/>
              </w:trPr>
              <w:tc>
                <w:tcPr>
                  <w:tcW w:w="842" w:type="pct"/>
                  <w:vAlign w:val="center"/>
                </w:tcPr>
                <w:p w14:paraId="399931DD">
                  <w:pPr>
                    <w:jc w:val="center"/>
                    <w:rPr>
                      <w:rFonts w:hint="eastAsia" w:cs="Times New Roman"/>
                      <w:color w:val="auto"/>
                      <w:szCs w:val="21"/>
                      <w:lang w:eastAsia="zh-CN"/>
                    </w:rPr>
                  </w:pPr>
                  <w:r>
                    <w:rPr>
                      <w:rFonts w:hint="eastAsia" w:cs="Times New Roman"/>
                      <w:color w:val="auto"/>
                      <w:szCs w:val="21"/>
                      <w:lang w:eastAsia="zh-CN"/>
                    </w:rPr>
                    <w:t>装饰用</w:t>
                  </w:r>
                </w:p>
                <w:p w14:paraId="31BA31F6">
                  <w:pPr>
                    <w:jc w:val="center"/>
                    <w:rPr>
                      <w:rFonts w:hint="eastAsia" w:eastAsia="宋体" w:cs="Times New Roman"/>
                      <w:color w:val="auto"/>
                      <w:szCs w:val="21"/>
                      <w:lang w:eastAsia="zh-CN"/>
                    </w:rPr>
                  </w:pPr>
                  <w:r>
                    <w:rPr>
                      <w:rFonts w:hint="eastAsia" w:cs="Times New Roman"/>
                      <w:color w:val="auto"/>
                      <w:szCs w:val="21"/>
                      <w:lang w:eastAsia="zh-CN"/>
                    </w:rPr>
                    <w:t>石材</w:t>
                  </w:r>
                </w:p>
              </w:tc>
              <w:tc>
                <w:tcPr>
                  <w:tcW w:w="3116" w:type="pct"/>
                  <w:vAlign w:val="center"/>
                </w:tcPr>
                <w:p w14:paraId="7B891F08">
                  <w:pPr>
                    <w:widowControl/>
                    <w:jc w:val="center"/>
                    <w:rPr>
                      <w:rFonts w:hint="eastAsia" w:cs="Times New Roman"/>
                      <w:color w:val="auto"/>
                      <w:szCs w:val="21"/>
                      <w:lang w:eastAsia="zh-CN"/>
                    </w:rPr>
                  </w:pPr>
                  <w:r>
                    <w:rPr>
                      <w:rFonts w:cs="Times New Roman"/>
                      <w:color w:val="auto"/>
                      <w:szCs w:val="21"/>
                    </w:rPr>
                    <w:t>采取订单式生产，规格型号根据</w:t>
                  </w:r>
                  <w:r>
                    <w:rPr>
                      <w:rFonts w:hint="eastAsia" w:cs="Times New Roman"/>
                      <w:color w:val="auto"/>
                      <w:szCs w:val="21"/>
                      <w:lang w:eastAsia="zh-CN"/>
                    </w:rPr>
                    <w:t>需求调整，</w:t>
                  </w:r>
                </w:p>
                <w:p w14:paraId="7EAE48FB">
                  <w:pPr>
                    <w:widowControl/>
                    <w:jc w:val="center"/>
                    <w:rPr>
                      <w:rFonts w:cs="Times New Roman"/>
                      <w:color w:val="auto"/>
                      <w:kern w:val="0"/>
                      <w:szCs w:val="21"/>
                    </w:rPr>
                  </w:pPr>
                  <w:r>
                    <w:rPr>
                      <w:rFonts w:hint="eastAsia" w:cs="Times New Roman"/>
                      <w:color w:val="auto"/>
                      <w:szCs w:val="21"/>
                      <w:lang w:eastAsia="zh-CN"/>
                    </w:rPr>
                    <w:t>主要</w:t>
                  </w:r>
                  <w:r>
                    <w:rPr>
                      <w:rFonts w:cs="Times New Roman"/>
                      <w:color w:val="auto"/>
                      <w:szCs w:val="21"/>
                    </w:rPr>
                    <w:t>为家私板材、路</w:t>
                  </w:r>
                  <w:r>
                    <w:rPr>
                      <w:rFonts w:hint="eastAsia" w:cs="Times New Roman"/>
                      <w:color w:val="auto"/>
                      <w:szCs w:val="21"/>
                      <w:lang w:eastAsia="zh-CN"/>
                    </w:rPr>
                    <w:t>沿</w:t>
                  </w:r>
                  <w:r>
                    <w:rPr>
                      <w:rFonts w:cs="Times New Roman"/>
                      <w:color w:val="auto"/>
                      <w:szCs w:val="21"/>
                    </w:rPr>
                    <w:t>石及墓碑石等</w:t>
                  </w:r>
                </w:p>
              </w:tc>
              <w:tc>
                <w:tcPr>
                  <w:tcW w:w="1040" w:type="pct"/>
                  <w:vAlign w:val="center"/>
                </w:tcPr>
                <w:p w14:paraId="1E425EA5">
                  <w:pPr>
                    <w:jc w:val="center"/>
                    <w:rPr>
                      <w:rFonts w:cs="Times New Roman"/>
                      <w:color w:val="auto"/>
                      <w:szCs w:val="21"/>
                    </w:rPr>
                  </w:pPr>
                  <w:r>
                    <w:rPr>
                      <w:rFonts w:hint="eastAsia" w:cs="Times New Roman"/>
                      <w:color w:val="auto"/>
                      <w:szCs w:val="21"/>
                      <w:lang w:val="en-US" w:eastAsia="zh-CN"/>
                    </w:rPr>
                    <w:t>80</w:t>
                  </w:r>
                  <w:r>
                    <w:rPr>
                      <w:rFonts w:cs="Times New Roman"/>
                      <w:color w:val="auto"/>
                      <w:szCs w:val="21"/>
                    </w:rPr>
                    <w:t>00</w:t>
                  </w:r>
                  <w:r>
                    <w:rPr>
                      <w:rFonts w:cs="Times New Roman"/>
                      <w:bCs/>
                      <w:color w:val="auto"/>
                      <w:szCs w:val="21"/>
                    </w:rPr>
                    <w:t>m</w:t>
                  </w:r>
                  <w:r>
                    <w:rPr>
                      <w:rFonts w:cs="Times New Roman"/>
                      <w:bCs/>
                      <w:color w:val="auto"/>
                      <w:szCs w:val="21"/>
                      <w:vertAlign w:val="superscript"/>
                    </w:rPr>
                    <w:t>3</w:t>
                  </w:r>
                </w:p>
              </w:tc>
            </w:tr>
          </w:tbl>
          <w:p w14:paraId="6AAF933E">
            <w:pPr>
              <w:spacing w:line="360" w:lineRule="auto"/>
              <w:ind w:firstLine="420" w:firstLineChars="200"/>
              <w:rPr>
                <w:rFonts w:cs="Times New Roman"/>
                <w:color w:val="auto"/>
                <w:sz w:val="24"/>
                <w:szCs w:val="24"/>
              </w:rPr>
            </w:pPr>
            <w:r>
              <w:rPr>
                <w:rFonts w:cs="Times New Roman"/>
                <w:color w:val="auto"/>
                <w:kern w:val="24"/>
                <w:szCs w:val="21"/>
              </w:rPr>
              <w:t>注：石材容重按2.5t/m</w:t>
            </w:r>
            <w:r>
              <w:rPr>
                <w:rFonts w:cs="Times New Roman"/>
                <w:color w:val="auto"/>
                <w:kern w:val="24"/>
                <w:szCs w:val="21"/>
                <w:vertAlign w:val="superscript"/>
              </w:rPr>
              <w:t>3</w:t>
            </w:r>
            <w:r>
              <w:rPr>
                <w:rFonts w:cs="Times New Roman"/>
                <w:color w:val="auto"/>
                <w:kern w:val="24"/>
                <w:szCs w:val="21"/>
              </w:rPr>
              <w:t>计，根据客户需求对石材表面进行表面处理。</w:t>
            </w:r>
          </w:p>
          <w:p w14:paraId="087DA473">
            <w:pPr>
              <w:spacing w:line="360" w:lineRule="auto"/>
              <w:ind w:firstLine="482" w:firstLineChars="200"/>
              <w:rPr>
                <w:rFonts w:cs="Times New Roman"/>
                <w:b/>
                <w:color w:val="auto"/>
                <w:sz w:val="24"/>
                <w:szCs w:val="24"/>
              </w:rPr>
            </w:pPr>
            <w:r>
              <w:rPr>
                <w:rFonts w:hint="eastAsia" w:cs="Times New Roman"/>
                <w:b/>
                <w:color w:val="auto"/>
                <w:sz w:val="24"/>
                <w:szCs w:val="24"/>
                <w:lang w:val="en-US" w:eastAsia="zh-CN"/>
              </w:rPr>
              <w:t>4</w:t>
            </w:r>
            <w:r>
              <w:rPr>
                <w:rFonts w:cs="Times New Roman"/>
                <w:b/>
                <w:color w:val="auto"/>
                <w:sz w:val="24"/>
                <w:szCs w:val="24"/>
              </w:rPr>
              <w:t>、项目组成及主要环境问题</w:t>
            </w:r>
          </w:p>
          <w:p w14:paraId="59AE3595">
            <w:pPr>
              <w:spacing w:line="360" w:lineRule="auto"/>
              <w:ind w:firstLine="480" w:firstLineChars="200"/>
              <w:rPr>
                <w:rFonts w:cs="Times New Roman"/>
                <w:color w:val="auto"/>
                <w:sz w:val="24"/>
                <w:szCs w:val="24"/>
              </w:rPr>
            </w:pPr>
            <w:r>
              <w:rPr>
                <w:rFonts w:cs="Times New Roman"/>
                <w:color w:val="auto"/>
                <w:sz w:val="24"/>
                <w:szCs w:val="24"/>
              </w:rPr>
              <w:t>本项目不涉及矿山开采，项目组成及主要环境问题见表2-2。</w:t>
            </w:r>
          </w:p>
          <w:p w14:paraId="7268B7CD">
            <w:pPr>
              <w:spacing w:line="360" w:lineRule="auto"/>
              <w:jc w:val="center"/>
              <w:rPr>
                <w:rFonts w:cs="Times New Roman"/>
                <w:b/>
                <w:bCs/>
                <w:color w:val="auto"/>
                <w:kern w:val="24"/>
                <w:sz w:val="24"/>
                <w:szCs w:val="24"/>
              </w:rPr>
            </w:pPr>
            <w:r>
              <w:rPr>
                <w:rFonts w:cs="Times New Roman"/>
                <w:b/>
                <w:bCs/>
                <w:color w:val="auto"/>
                <w:kern w:val="24"/>
                <w:sz w:val="24"/>
                <w:szCs w:val="24"/>
              </w:rPr>
              <w:t>表2-2  项目组成及主要环境问题</w:t>
            </w:r>
          </w:p>
          <w:tbl>
            <w:tblPr>
              <w:tblStyle w:val="24"/>
              <w:tblW w:w="8840"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
            <w:tblGrid>
              <w:gridCol w:w="641"/>
              <w:gridCol w:w="543"/>
              <w:gridCol w:w="471"/>
              <w:gridCol w:w="4538"/>
              <w:gridCol w:w="1059"/>
              <w:gridCol w:w="934"/>
              <w:gridCol w:w="654"/>
            </w:tblGrid>
            <w:tr w14:paraId="3D196CE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603" w:hRule="atLeast"/>
                <w:jc w:val="center"/>
              </w:trPr>
              <w:tc>
                <w:tcPr>
                  <w:tcW w:w="362" w:type="pct"/>
                  <w:vMerge w:val="restart"/>
                  <w:tcBorders>
                    <w:tl2br w:val="nil"/>
                    <w:tr2bl w:val="nil"/>
                  </w:tcBorders>
                  <w:shd w:val="clear" w:color="auto" w:fill="auto"/>
                  <w:vAlign w:val="center"/>
                </w:tcPr>
                <w:p w14:paraId="25D35589">
                  <w:pPr>
                    <w:spacing w:line="240" w:lineRule="exact"/>
                    <w:jc w:val="center"/>
                    <w:rPr>
                      <w:rFonts w:cs="Times New Roman"/>
                      <w:b/>
                      <w:bCs/>
                      <w:color w:val="auto"/>
                      <w:szCs w:val="21"/>
                    </w:rPr>
                  </w:pPr>
                  <w:r>
                    <w:rPr>
                      <w:rFonts w:cs="Times New Roman"/>
                      <w:b/>
                      <w:bCs/>
                      <w:color w:val="auto"/>
                      <w:szCs w:val="21"/>
                    </w:rPr>
                    <w:t>工程分类</w:t>
                  </w:r>
                </w:p>
              </w:tc>
              <w:tc>
                <w:tcPr>
                  <w:tcW w:w="573" w:type="pct"/>
                  <w:gridSpan w:val="2"/>
                  <w:vMerge w:val="restart"/>
                  <w:tcBorders>
                    <w:tl2br w:val="nil"/>
                    <w:tr2bl w:val="nil"/>
                  </w:tcBorders>
                  <w:shd w:val="clear" w:color="auto" w:fill="auto"/>
                  <w:vAlign w:val="center"/>
                </w:tcPr>
                <w:p w14:paraId="0FB84930">
                  <w:pPr>
                    <w:spacing w:line="240" w:lineRule="exact"/>
                    <w:jc w:val="center"/>
                    <w:rPr>
                      <w:rFonts w:cs="Times New Roman"/>
                      <w:b/>
                      <w:bCs/>
                      <w:color w:val="auto"/>
                      <w:szCs w:val="21"/>
                    </w:rPr>
                  </w:pPr>
                  <w:r>
                    <w:rPr>
                      <w:rFonts w:cs="Times New Roman"/>
                      <w:b/>
                      <w:bCs/>
                      <w:color w:val="auto"/>
                      <w:szCs w:val="21"/>
                    </w:rPr>
                    <w:t>项目名称</w:t>
                  </w:r>
                </w:p>
              </w:tc>
              <w:tc>
                <w:tcPr>
                  <w:tcW w:w="2566" w:type="pct"/>
                  <w:vMerge w:val="restart"/>
                  <w:tcBorders>
                    <w:tl2br w:val="nil"/>
                    <w:tr2bl w:val="nil"/>
                  </w:tcBorders>
                  <w:shd w:val="clear" w:color="auto" w:fill="auto"/>
                  <w:vAlign w:val="center"/>
                </w:tcPr>
                <w:p w14:paraId="082024C6">
                  <w:pPr>
                    <w:spacing w:line="240" w:lineRule="exact"/>
                    <w:jc w:val="center"/>
                    <w:rPr>
                      <w:rFonts w:cs="Times New Roman"/>
                      <w:b/>
                      <w:bCs/>
                      <w:color w:val="auto"/>
                      <w:szCs w:val="21"/>
                    </w:rPr>
                  </w:pPr>
                  <w:r>
                    <w:rPr>
                      <w:rFonts w:cs="Times New Roman"/>
                      <w:b/>
                      <w:bCs/>
                      <w:color w:val="auto"/>
                      <w:szCs w:val="21"/>
                    </w:rPr>
                    <w:t>建设内容及规模</w:t>
                  </w:r>
                </w:p>
              </w:tc>
              <w:tc>
                <w:tcPr>
                  <w:tcW w:w="1127" w:type="pct"/>
                  <w:gridSpan w:val="2"/>
                  <w:tcBorders>
                    <w:tl2br w:val="nil"/>
                    <w:tr2bl w:val="nil"/>
                  </w:tcBorders>
                  <w:shd w:val="clear" w:color="auto" w:fill="auto"/>
                  <w:vAlign w:val="center"/>
                </w:tcPr>
                <w:p w14:paraId="505662A2">
                  <w:pPr>
                    <w:spacing w:line="240" w:lineRule="exact"/>
                    <w:jc w:val="center"/>
                    <w:rPr>
                      <w:rFonts w:cs="Times New Roman"/>
                      <w:b/>
                      <w:bCs/>
                      <w:color w:val="auto"/>
                      <w:szCs w:val="21"/>
                    </w:rPr>
                  </w:pPr>
                  <w:r>
                    <w:rPr>
                      <w:rFonts w:cs="Times New Roman"/>
                      <w:b/>
                      <w:bCs/>
                      <w:color w:val="auto"/>
                      <w:szCs w:val="21"/>
                    </w:rPr>
                    <w:t>可能产生的</w:t>
                  </w:r>
                </w:p>
                <w:p w14:paraId="35B42EAB">
                  <w:pPr>
                    <w:spacing w:line="240" w:lineRule="exact"/>
                    <w:jc w:val="center"/>
                    <w:rPr>
                      <w:rFonts w:cs="Times New Roman"/>
                      <w:b/>
                      <w:bCs/>
                      <w:color w:val="auto"/>
                      <w:szCs w:val="21"/>
                    </w:rPr>
                  </w:pPr>
                  <w:r>
                    <w:rPr>
                      <w:rFonts w:cs="Times New Roman"/>
                      <w:b/>
                      <w:bCs/>
                      <w:color w:val="auto"/>
                      <w:szCs w:val="21"/>
                    </w:rPr>
                    <w:t>环境问题</w:t>
                  </w:r>
                </w:p>
              </w:tc>
              <w:tc>
                <w:tcPr>
                  <w:tcW w:w="369" w:type="pct"/>
                  <w:vMerge w:val="restart"/>
                  <w:tcBorders>
                    <w:tl2br w:val="nil"/>
                    <w:tr2bl w:val="nil"/>
                  </w:tcBorders>
                  <w:shd w:val="clear" w:color="auto" w:fill="auto"/>
                  <w:vAlign w:val="center"/>
                </w:tcPr>
                <w:p w14:paraId="7C677EDF">
                  <w:pPr>
                    <w:spacing w:line="240" w:lineRule="exact"/>
                    <w:jc w:val="center"/>
                    <w:rPr>
                      <w:rFonts w:hint="eastAsia" w:eastAsia="宋体" w:cs="Times New Roman"/>
                      <w:b/>
                      <w:bCs/>
                      <w:color w:val="auto"/>
                      <w:szCs w:val="21"/>
                      <w:lang w:eastAsia="zh-CN"/>
                    </w:rPr>
                  </w:pPr>
                  <w:r>
                    <w:rPr>
                      <w:rFonts w:hint="eastAsia" w:cs="Times New Roman"/>
                      <w:b/>
                      <w:bCs/>
                      <w:color w:val="auto"/>
                      <w:szCs w:val="21"/>
                      <w:lang w:eastAsia="zh-CN"/>
                    </w:rPr>
                    <w:t>备注</w:t>
                  </w:r>
                </w:p>
              </w:tc>
            </w:tr>
            <w:tr w14:paraId="309A581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82" w:hRule="atLeast"/>
                <w:jc w:val="center"/>
              </w:trPr>
              <w:tc>
                <w:tcPr>
                  <w:tcW w:w="362" w:type="pct"/>
                  <w:vMerge w:val="continue"/>
                  <w:tcBorders>
                    <w:tl2br w:val="nil"/>
                    <w:tr2bl w:val="nil"/>
                  </w:tcBorders>
                  <w:shd w:val="clear" w:color="auto" w:fill="auto"/>
                  <w:vAlign w:val="center"/>
                </w:tcPr>
                <w:p w14:paraId="77C1C36D">
                  <w:pPr>
                    <w:spacing w:line="240" w:lineRule="exact"/>
                    <w:jc w:val="center"/>
                    <w:rPr>
                      <w:rFonts w:cs="Times New Roman"/>
                      <w:color w:val="auto"/>
                      <w:szCs w:val="21"/>
                    </w:rPr>
                  </w:pPr>
                </w:p>
              </w:tc>
              <w:tc>
                <w:tcPr>
                  <w:tcW w:w="573" w:type="pct"/>
                  <w:gridSpan w:val="2"/>
                  <w:vMerge w:val="continue"/>
                  <w:tcBorders>
                    <w:tl2br w:val="nil"/>
                    <w:tr2bl w:val="nil"/>
                  </w:tcBorders>
                  <w:shd w:val="clear" w:color="auto" w:fill="auto"/>
                  <w:vAlign w:val="center"/>
                </w:tcPr>
                <w:p w14:paraId="2F81AFED">
                  <w:pPr>
                    <w:spacing w:line="240" w:lineRule="exact"/>
                    <w:jc w:val="center"/>
                    <w:rPr>
                      <w:rFonts w:cs="Times New Roman"/>
                      <w:color w:val="auto"/>
                      <w:szCs w:val="21"/>
                    </w:rPr>
                  </w:pPr>
                </w:p>
              </w:tc>
              <w:tc>
                <w:tcPr>
                  <w:tcW w:w="2566" w:type="pct"/>
                  <w:vMerge w:val="continue"/>
                  <w:tcBorders>
                    <w:tl2br w:val="nil"/>
                    <w:tr2bl w:val="nil"/>
                  </w:tcBorders>
                  <w:shd w:val="clear" w:color="auto" w:fill="auto"/>
                  <w:vAlign w:val="center"/>
                </w:tcPr>
                <w:p w14:paraId="48245BBD">
                  <w:pPr>
                    <w:spacing w:line="240" w:lineRule="exact"/>
                    <w:jc w:val="center"/>
                    <w:rPr>
                      <w:rFonts w:cs="Times New Roman"/>
                      <w:color w:val="auto"/>
                      <w:szCs w:val="21"/>
                    </w:rPr>
                  </w:pPr>
                </w:p>
              </w:tc>
              <w:tc>
                <w:tcPr>
                  <w:tcW w:w="598" w:type="pct"/>
                  <w:tcBorders>
                    <w:tl2br w:val="nil"/>
                    <w:tr2bl w:val="nil"/>
                  </w:tcBorders>
                  <w:shd w:val="clear" w:color="auto" w:fill="auto"/>
                  <w:vAlign w:val="center"/>
                </w:tcPr>
                <w:p w14:paraId="74CFAC49">
                  <w:pPr>
                    <w:spacing w:line="240" w:lineRule="exact"/>
                    <w:jc w:val="center"/>
                    <w:rPr>
                      <w:rFonts w:cs="Times New Roman"/>
                      <w:b/>
                      <w:bCs/>
                      <w:color w:val="auto"/>
                      <w:szCs w:val="21"/>
                    </w:rPr>
                  </w:pPr>
                  <w:r>
                    <w:rPr>
                      <w:rFonts w:cs="Times New Roman"/>
                      <w:b/>
                      <w:bCs/>
                      <w:color w:val="auto"/>
                      <w:szCs w:val="21"/>
                    </w:rPr>
                    <w:t>施工期</w:t>
                  </w:r>
                </w:p>
              </w:tc>
              <w:tc>
                <w:tcPr>
                  <w:tcW w:w="528" w:type="pct"/>
                  <w:tcBorders>
                    <w:tl2br w:val="nil"/>
                    <w:tr2bl w:val="nil"/>
                  </w:tcBorders>
                  <w:shd w:val="clear" w:color="auto" w:fill="auto"/>
                  <w:vAlign w:val="center"/>
                </w:tcPr>
                <w:p w14:paraId="77CEDB1D">
                  <w:pPr>
                    <w:spacing w:line="240" w:lineRule="exact"/>
                    <w:jc w:val="center"/>
                    <w:rPr>
                      <w:rFonts w:cs="Times New Roman"/>
                      <w:b/>
                      <w:bCs/>
                      <w:color w:val="auto"/>
                      <w:szCs w:val="21"/>
                    </w:rPr>
                  </w:pPr>
                  <w:r>
                    <w:rPr>
                      <w:rFonts w:cs="Times New Roman"/>
                      <w:b/>
                      <w:bCs/>
                      <w:color w:val="auto"/>
                      <w:szCs w:val="21"/>
                    </w:rPr>
                    <w:t>运营期</w:t>
                  </w:r>
                </w:p>
              </w:tc>
              <w:tc>
                <w:tcPr>
                  <w:tcW w:w="369" w:type="pct"/>
                  <w:vMerge w:val="continue"/>
                  <w:tcBorders>
                    <w:tl2br w:val="nil"/>
                    <w:tr2bl w:val="nil"/>
                  </w:tcBorders>
                  <w:shd w:val="clear" w:color="auto" w:fill="auto"/>
                  <w:vAlign w:val="center"/>
                </w:tcPr>
                <w:p w14:paraId="4163798C">
                  <w:pPr>
                    <w:spacing w:line="240" w:lineRule="exact"/>
                    <w:jc w:val="center"/>
                    <w:rPr>
                      <w:rFonts w:cs="Times New Roman"/>
                      <w:b/>
                      <w:bCs/>
                      <w:color w:val="auto"/>
                      <w:szCs w:val="21"/>
                    </w:rPr>
                  </w:pPr>
                </w:p>
              </w:tc>
            </w:tr>
            <w:tr w14:paraId="3013295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1675" w:hRule="atLeast"/>
                <w:jc w:val="center"/>
              </w:trPr>
              <w:tc>
                <w:tcPr>
                  <w:tcW w:w="362" w:type="pct"/>
                  <w:tcBorders>
                    <w:tl2br w:val="nil"/>
                    <w:tr2bl w:val="nil"/>
                  </w:tcBorders>
                  <w:shd w:val="clear" w:color="auto" w:fill="auto"/>
                  <w:vAlign w:val="center"/>
                </w:tcPr>
                <w:p w14:paraId="7FF68719">
                  <w:pPr>
                    <w:spacing w:line="240" w:lineRule="exact"/>
                    <w:jc w:val="center"/>
                    <w:rPr>
                      <w:rFonts w:cs="Times New Roman"/>
                      <w:color w:val="auto"/>
                      <w:szCs w:val="21"/>
                    </w:rPr>
                  </w:pPr>
                  <w:r>
                    <w:rPr>
                      <w:rFonts w:cs="Times New Roman"/>
                      <w:color w:val="auto"/>
                      <w:szCs w:val="21"/>
                    </w:rPr>
                    <w:t>主体工程</w:t>
                  </w:r>
                </w:p>
              </w:tc>
              <w:tc>
                <w:tcPr>
                  <w:tcW w:w="573" w:type="pct"/>
                  <w:gridSpan w:val="2"/>
                  <w:tcBorders>
                    <w:tl2br w:val="nil"/>
                    <w:tr2bl w:val="nil"/>
                  </w:tcBorders>
                  <w:shd w:val="clear" w:color="auto" w:fill="auto"/>
                  <w:vAlign w:val="center"/>
                </w:tcPr>
                <w:p w14:paraId="1008AAFC">
                  <w:pPr>
                    <w:spacing w:line="240" w:lineRule="exact"/>
                    <w:jc w:val="center"/>
                    <w:rPr>
                      <w:rFonts w:hint="eastAsia" w:eastAsia="宋体" w:cs="Times New Roman"/>
                      <w:color w:val="auto"/>
                      <w:szCs w:val="21"/>
                      <w:lang w:eastAsia="zh-CN"/>
                    </w:rPr>
                  </w:pPr>
                  <w:r>
                    <w:rPr>
                      <w:rFonts w:hint="eastAsia" w:cs="Times New Roman"/>
                      <w:color w:val="auto"/>
                      <w:szCs w:val="21"/>
                      <w:lang w:eastAsia="zh-CN"/>
                    </w:rPr>
                    <w:t>生产车间</w:t>
                  </w:r>
                </w:p>
              </w:tc>
              <w:tc>
                <w:tcPr>
                  <w:tcW w:w="2566" w:type="pct"/>
                  <w:tcBorders>
                    <w:tl2br w:val="nil"/>
                    <w:tr2bl w:val="nil"/>
                  </w:tcBorders>
                  <w:shd w:val="clear" w:color="auto" w:fill="auto"/>
                  <w:vAlign w:val="center"/>
                </w:tcPr>
                <w:p w14:paraId="2D92FFC0">
                  <w:pPr>
                    <w:spacing w:line="240" w:lineRule="exact"/>
                    <w:jc w:val="left"/>
                    <w:rPr>
                      <w:rFonts w:hint="eastAsia" w:eastAsia="宋体" w:cs="Times New Roman"/>
                      <w:color w:val="auto"/>
                      <w:szCs w:val="21"/>
                      <w:lang w:eastAsia="zh-CN"/>
                    </w:rPr>
                  </w:pPr>
                  <w:r>
                    <w:rPr>
                      <w:rFonts w:cs="Times New Roman"/>
                      <w:snapToGrid w:val="0"/>
                      <w:color w:val="auto"/>
                      <w:kern w:val="0"/>
                      <w:szCs w:val="21"/>
                    </w:rPr>
                    <w:t>位于半挂车项目</w:t>
                  </w:r>
                  <w:r>
                    <w:rPr>
                      <w:rFonts w:hint="eastAsia" w:cs="Times New Roman"/>
                      <w:snapToGrid w:val="0"/>
                      <w:color w:val="auto"/>
                      <w:kern w:val="0"/>
                      <w:szCs w:val="21"/>
                      <w:lang w:eastAsia="zh-CN"/>
                    </w:rPr>
                    <w:t>北</w:t>
                  </w:r>
                  <w:r>
                    <w:rPr>
                      <w:rFonts w:cs="Times New Roman"/>
                      <w:snapToGrid w:val="0"/>
                      <w:color w:val="auto"/>
                      <w:kern w:val="0"/>
                      <w:szCs w:val="21"/>
                    </w:rPr>
                    <w:t>侧，</w:t>
                  </w:r>
                  <w:r>
                    <w:rPr>
                      <w:rFonts w:hint="eastAsia" w:cs="Times New Roman"/>
                      <w:snapToGrid w:val="0"/>
                      <w:color w:val="auto"/>
                      <w:kern w:val="0"/>
                      <w:szCs w:val="21"/>
                      <w:lang w:eastAsia="zh-CN"/>
                    </w:rPr>
                    <w:t>在已建的</w:t>
                  </w:r>
                  <w:r>
                    <w:rPr>
                      <w:rFonts w:hint="eastAsia" w:cs="Times New Roman"/>
                      <w:snapToGrid w:val="0"/>
                      <w:color w:val="auto"/>
                      <w:kern w:val="0"/>
                      <w:szCs w:val="21"/>
                      <w:lang w:val="en-US" w:eastAsia="zh-CN"/>
                    </w:rPr>
                    <w:t>1号生产</w:t>
                  </w:r>
                  <w:r>
                    <w:rPr>
                      <w:rFonts w:hint="eastAsia" w:cs="Times New Roman"/>
                      <w:snapToGrid w:val="0"/>
                      <w:color w:val="auto"/>
                      <w:kern w:val="0"/>
                      <w:szCs w:val="21"/>
                      <w:lang w:eastAsia="zh-CN"/>
                    </w:rPr>
                    <w:t>厂房内进行设备安装，该厂房为全封闭式单层钢结构，南北两侧均设置有进出口</w:t>
                  </w:r>
                  <w:r>
                    <w:rPr>
                      <w:rFonts w:cs="Times New Roman"/>
                      <w:snapToGrid w:val="0"/>
                      <w:color w:val="auto"/>
                      <w:kern w:val="0"/>
                      <w:szCs w:val="21"/>
                    </w:rPr>
                    <w:t>，面积约</w:t>
                  </w:r>
                  <w:r>
                    <w:rPr>
                      <w:rFonts w:hint="eastAsia" w:cs="Times New Roman"/>
                      <w:snapToGrid w:val="0"/>
                      <w:color w:val="auto"/>
                      <w:kern w:val="0"/>
                      <w:szCs w:val="21"/>
                      <w:lang w:val="en-US" w:eastAsia="zh-CN"/>
                    </w:rPr>
                    <w:t>300</w:t>
                  </w:r>
                  <w:r>
                    <w:rPr>
                      <w:rFonts w:cs="Times New Roman"/>
                      <w:snapToGrid w:val="0"/>
                      <w:color w:val="auto"/>
                      <w:kern w:val="0"/>
                      <w:szCs w:val="21"/>
                    </w:rPr>
                    <w:t>0</w:t>
                  </w:r>
                  <w:r>
                    <w:rPr>
                      <w:rFonts w:cs="Times New Roman"/>
                      <w:bCs/>
                      <w:color w:val="auto"/>
                      <w:szCs w:val="21"/>
                    </w:rPr>
                    <w:t>m</w:t>
                  </w:r>
                  <w:r>
                    <w:rPr>
                      <w:rFonts w:cs="Times New Roman"/>
                      <w:bCs/>
                      <w:color w:val="auto"/>
                      <w:szCs w:val="21"/>
                      <w:vertAlign w:val="superscript"/>
                    </w:rPr>
                    <w:t>2</w:t>
                  </w:r>
                  <w:r>
                    <w:rPr>
                      <w:rFonts w:cs="Times New Roman"/>
                      <w:color w:val="auto"/>
                      <w:szCs w:val="21"/>
                    </w:rPr>
                    <w:t>，</w:t>
                  </w:r>
                  <w:r>
                    <w:rPr>
                      <w:rFonts w:hint="eastAsia" w:cs="Times New Roman"/>
                      <w:color w:val="auto"/>
                      <w:szCs w:val="21"/>
                      <w:lang w:eastAsia="zh-CN"/>
                    </w:rPr>
                    <w:t>北侧切割区</w:t>
                  </w:r>
                  <w:r>
                    <w:rPr>
                      <w:rFonts w:cs="Times New Roman"/>
                      <w:color w:val="auto"/>
                      <w:szCs w:val="21"/>
                    </w:rPr>
                    <w:t>设置</w:t>
                  </w:r>
                  <w:r>
                    <w:rPr>
                      <w:rFonts w:hint="eastAsia" w:cs="Times New Roman"/>
                      <w:color w:val="auto"/>
                      <w:szCs w:val="21"/>
                      <w:lang w:val="en-US" w:eastAsia="zh-CN"/>
                    </w:rPr>
                    <w:t>5</w:t>
                  </w:r>
                  <w:r>
                    <w:rPr>
                      <w:rFonts w:cs="Times New Roman"/>
                      <w:color w:val="auto"/>
                      <w:szCs w:val="21"/>
                    </w:rPr>
                    <w:t>台大切机</w:t>
                  </w:r>
                  <w:r>
                    <w:rPr>
                      <w:rFonts w:hint="eastAsia" w:cs="Times New Roman"/>
                      <w:color w:val="auto"/>
                      <w:szCs w:val="21"/>
                      <w:lang w:eastAsia="zh-CN"/>
                    </w:rPr>
                    <w:t>、</w:t>
                  </w:r>
                  <w:r>
                    <w:rPr>
                      <w:rFonts w:hint="eastAsia" w:cs="Times New Roman"/>
                      <w:color w:val="auto"/>
                      <w:szCs w:val="21"/>
                      <w:lang w:val="en-US" w:eastAsia="zh-CN"/>
                    </w:rPr>
                    <w:t>4台中切机、6台小切机，</w:t>
                  </w:r>
                  <w:r>
                    <w:rPr>
                      <w:rFonts w:cs="Times New Roman"/>
                      <w:color w:val="auto"/>
                      <w:szCs w:val="21"/>
                    </w:rPr>
                    <w:t>将石材毛料切割成石板。</w:t>
                  </w:r>
                  <w:r>
                    <w:rPr>
                      <w:rFonts w:hint="eastAsia" w:cs="Times New Roman"/>
                      <w:color w:val="auto"/>
                      <w:szCs w:val="21"/>
                      <w:lang w:eastAsia="zh-CN"/>
                    </w:rPr>
                    <w:t>南侧造型区设置</w:t>
                  </w:r>
                  <w:r>
                    <w:rPr>
                      <w:rFonts w:hint="eastAsia" w:cs="Times New Roman"/>
                      <w:snapToGrid w:val="0"/>
                      <w:color w:val="auto"/>
                      <w:kern w:val="0"/>
                      <w:szCs w:val="21"/>
                      <w:lang w:val="en-US" w:eastAsia="zh-CN"/>
                    </w:rPr>
                    <w:t>10</w:t>
                  </w:r>
                  <w:r>
                    <w:rPr>
                      <w:rFonts w:cs="Times New Roman"/>
                      <w:snapToGrid w:val="0"/>
                      <w:color w:val="auto"/>
                      <w:kern w:val="0"/>
                      <w:szCs w:val="21"/>
                    </w:rPr>
                    <w:t>台雕刻机、1台</w:t>
                  </w:r>
                  <w:r>
                    <w:rPr>
                      <w:rFonts w:hint="eastAsia" w:cs="Times New Roman"/>
                      <w:snapToGrid w:val="0"/>
                      <w:color w:val="auto"/>
                      <w:kern w:val="0"/>
                      <w:szCs w:val="21"/>
                      <w:lang w:eastAsia="zh-CN"/>
                    </w:rPr>
                    <w:t>抛光</w:t>
                  </w:r>
                  <w:r>
                    <w:rPr>
                      <w:rFonts w:cs="Times New Roman"/>
                      <w:snapToGrid w:val="0"/>
                      <w:color w:val="auto"/>
                      <w:kern w:val="0"/>
                      <w:szCs w:val="21"/>
                    </w:rPr>
                    <w:t>机、1台火烧面机、1台喷砂机，将石材进行切割、</w:t>
                  </w:r>
                  <w:r>
                    <w:rPr>
                      <w:rFonts w:hint="eastAsia" w:cs="Times New Roman"/>
                      <w:snapToGrid w:val="0"/>
                      <w:color w:val="auto"/>
                      <w:kern w:val="0"/>
                      <w:szCs w:val="21"/>
                      <w:lang w:eastAsia="zh-CN"/>
                    </w:rPr>
                    <w:t>抛磨</w:t>
                  </w:r>
                  <w:r>
                    <w:rPr>
                      <w:rFonts w:cs="Times New Roman"/>
                      <w:snapToGrid w:val="0"/>
                      <w:color w:val="auto"/>
                      <w:kern w:val="0"/>
                      <w:szCs w:val="21"/>
                    </w:rPr>
                    <w:t>、</w:t>
                  </w:r>
                  <w:r>
                    <w:rPr>
                      <w:rFonts w:hint="eastAsia" w:cs="Times New Roman"/>
                      <w:snapToGrid w:val="0"/>
                      <w:color w:val="auto"/>
                      <w:kern w:val="0"/>
                      <w:szCs w:val="21"/>
                      <w:lang w:eastAsia="zh-CN"/>
                    </w:rPr>
                    <w:t>雕刻</w:t>
                  </w:r>
                  <w:r>
                    <w:rPr>
                      <w:rFonts w:cs="Times New Roman"/>
                      <w:snapToGrid w:val="0"/>
                      <w:color w:val="auto"/>
                      <w:kern w:val="0"/>
                      <w:szCs w:val="21"/>
                    </w:rPr>
                    <w:t>等表面处理。</w:t>
                  </w:r>
                </w:p>
              </w:tc>
              <w:tc>
                <w:tcPr>
                  <w:tcW w:w="598" w:type="pct"/>
                  <w:vMerge w:val="restart"/>
                  <w:tcBorders>
                    <w:tl2br w:val="nil"/>
                    <w:tr2bl w:val="nil"/>
                  </w:tcBorders>
                  <w:shd w:val="clear" w:color="auto" w:fill="auto"/>
                  <w:vAlign w:val="center"/>
                </w:tcPr>
                <w:p w14:paraId="5F933423">
                  <w:pPr>
                    <w:spacing w:line="240" w:lineRule="exact"/>
                    <w:jc w:val="center"/>
                    <w:rPr>
                      <w:rFonts w:cs="Times New Roman"/>
                      <w:color w:val="auto"/>
                      <w:szCs w:val="21"/>
                    </w:rPr>
                  </w:pPr>
                  <w:r>
                    <w:rPr>
                      <w:rFonts w:cs="Times New Roman"/>
                      <w:color w:val="auto"/>
                      <w:szCs w:val="21"/>
                    </w:rPr>
                    <w:t>施工废气</w:t>
                  </w:r>
                </w:p>
                <w:p w14:paraId="0F20D0DB">
                  <w:pPr>
                    <w:spacing w:line="240" w:lineRule="exact"/>
                    <w:jc w:val="center"/>
                    <w:rPr>
                      <w:rFonts w:cs="Times New Roman"/>
                      <w:color w:val="auto"/>
                      <w:szCs w:val="21"/>
                    </w:rPr>
                  </w:pPr>
                  <w:r>
                    <w:rPr>
                      <w:rFonts w:cs="Times New Roman"/>
                      <w:color w:val="auto"/>
                      <w:szCs w:val="21"/>
                    </w:rPr>
                    <w:t>施工废水</w:t>
                  </w:r>
                </w:p>
                <w:p w14:paraId="1F9B3A42">
                  <w:pPr>
                    <w:spacing w:line="240" w:lineRule="exact"/>
                    <w:jc w:val="center"/>
                    <w:rPr>
                      <w:rFonts w:cs="Times New Roman"/>
                      <w:color w:val="auto"/>
                      <w:szCs w:val="21"/>
                    </w:rPr>
                  </w:pPr>
                  <w:r>
                    <w:rPr>
                      <w:rFonts w:cs="Times New Roman"/>
                      <w:color w:val="auto"/>
                      <w:szCs w:val="21"/>
                    </w:rPr>
                    <w:t>生活污水</w:t>
                  </w:r>
                </w:p>
                <w:p w14:paraId="77718BBE">
                  <w:pPr>
                    <w:spacing w:line="240" w:lineRule="exact"/>
                    <w:jc w:val="center"/>
                    <w:rPr>
                      <w:rFonts w:cs="Times New Roman"/>
                      <w:color w:val="auto"/>
                      <w:szCs w:val="21"/>
                    </w:rPr>
                  </w:pPr>
                  <w:r>
                    <w:rPr>
                      <w:rFonts w:cs="Times New Roman"/>
                      <w:color w:val="auto"/>
                      <w:szCs w:val="21"/>
                    </w:rPr>
                    <w:t>施工噪声</w:t>
                  </w:r>
                </w:p>
                <w:p w14:paraId="6A424B11">
                  <w:pPr>
                    <w:spacing w:line="240" w:lineRule="exact"/>
                    <w:jc w:val="center"/>
                    <w:rPr>
                      <w:rFonts w:cs="Times New Roman"/>
                      <w:color w:val="auto"/>
                      <w:szCs w:val="21"/>
                    </w:rPr>
                  </w:pPr>
                  <w:r>
                    <w:rPr>
                      <w:rFonts w:cs="Times New Roman"/>
                      <w:color w:val="auto"/>
                      <w:szCs w:val="21"/>
                    </w:rPr>
                    <w:t>固体废物</w:t>
                  </w:r>
                </w:p>
              </w:tc>
              <w:tc>
                <w:tcPr>
                  <w:tcW w:w="528" w:type="pct"/>
                  <w:tcBorders>
                    <w:tl2br w:val="nil"/>
                    <w:tr2bl w:val="nil"/>
                  </w:tcBorders>
                  <w:shd w:val="clear" w:color="auto" w:fill="auto"/>
                  <w:vAlign w:val="center"/>
                </w:tcPr>
                <w:p w14:paraId="0DD14335">
                  <w:pPr>
                    <w:spacing w:line="240" w:lineRule="exact"/>
                    <w:jc w:val="center"/>
                    <w:rPr>
                      <w:rFonts w:cs="Times New Roman"/>
                      <w:color w:val="auto"/>
                      <w:szCs w:val="21"/>
                    </w:rPr>
                  </w:pPr>
                  <w:r>
                    <w:rPr>
                      <w:rFonts w:cs="Times New Roman"/>
                      <w:color w:val="auto"/>
                      <w:szCs w:val="21"/>
                    </w:rPr>
                    <w:t>粉尘、废水、噪声、固废</w:t>
                  </w:r>
                </w:p>
              </w:tc>
              <w:tc>
                <w:tcPr>
                  <w:tcW w:w="369" w:type="pct"/>
                  <w:tcBorders>
                    <w:tl2br w:val="nil"/>
                    <w:tr2bl w:val="nil"/>
                  </w:tcBorders>
                  <w:shd w:val="clear" w:color="auto" w:fill="auto"/>
                  <w:vAlign w:val="center"/>
                </w:tcPr>
                <w:p w14:paraId="71B0A3AD">
                  <w:pPr>
                    <w:pStyle w:val="9"/>
                    <w:rPr>
                      <w:rFonts w:hint="eastAsia" w:eastAsia="宋体" w:cs="Times New Roman"/>
                      <w:color w:val="auto"/>
                      <w:szCs w:val="21"/>
                      <w:lang w:eastAsia="zh-CN"/>
                    </w:rPr>
                  </w:pPr>
                  <w:r>
                    <w:rPr>
                      <w:rFonts w:hint="eastAsia"/>
                    </w:rPr>
                    <w:t>厂房依托，设备新增</w:t>
                  </w:r>
                </w:p>
              </w:tc>
            </w:tr>
            <w:tr w14:paraId="744E160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524" w:hRule="atLeast"/>
                <w:jc w:val="center"/>
              </w:trPr>
              <w:tc>
                <w:tcPr>
                  <w:tcW w:w="362" w:type="pct"/>
                  <w:vMerge w:val="restart"/>
                  <w:tcBorders>
                    <w:tl2br w:val="nil"/>
                    <w:tr2bl w:val="nil"/>
                  </w:tcBorders>
                  <w:shd w:val="clear" w:color="auto" w:fill="auto"/>
                  <w:vAlign w:val="center"/>
                </w:tcPr>
                <w:p w14:paraId="511ABF33">
                  <w:pPr>
                    <w:spacing w:line="240" w:lineRule="exact"/>
                    <w:jc w:val="center"/>
                    <w:rPr>
                      <w:rFonts w:cs="Times New Roman"/>
                      <w:color w:val="auto"/>
                      <w:szCs w:val="21"/>
                    </w:rPr>
                  </w:pPr>
                  <w:r>
                    <w:rPr>
                      <w:rFonts w:cs="Times New Roman"/>
                      <w:color w:val="auto"/>
                      <w:szCs w:val="21"/>
                    </w:rPr>
                    <w:t>辅助工程</w:t>
                  </w:r>
                </w:p>
              </w:tc>
              <w:tc>
                <w:tcPr>
                  <w:tcW w:w="573" w:type="pct"/>
                  <w:gridSpan w:val="2"/>
                  <w:tcBorders>
                    <w:tl2br w:val="nil"/>
                    <w:tr2bl w:val="nil"/>
                  </w:tcBorders>
                  <w:shd w:val="clear" w:color="auto" w:fill="auto"/>
                  <w:vAlign w:val="center"/>
                </w:tcPr>
                <w:p w14:paraId="7AE97054">
                  <w:pPr>
                    <w:spacing w:line="240" w:lineRule="exact"/>
                    <w:jc w:val="center"/>
                    <w:rPr>
                      <w:rFonts w:cs="Times New Roman"/>
                      <w:color w:val="auto"/>
                      <w:szCs w:val="21"/>
                    </w:rPr>
                  </w:pPr>
                  <w:r>
                    <w:rPr>
                      <w:rFonts w:cs="Times New Roman"/>
                      <w:color w:val="auto"/>
                      <w:szCs w:val="21"/>
                    </w:rPr>
                    <w:t>原料堆场</w:t>
                  </w:r>
                </w:p>
              </w:tc>
              <w:tc>
                <w:tcPr>
                  <w:tcW w:w="2566" w:type="pct"/>
                  <w:tcBorders>
                    <w:tl2br w:val="nil"/>
                    <w:tr2bl w:val="nil"/>
                  </w:tcBorders>
                  <w:shd w:val="clear" w:color="auto" w:fill="auto"/>
                  <w:vAlign w:val="center"/>
                </w:tcPr>
                <w:p w14:paraId="52FD573A">
                  <w:pPr>
                    <w:spacing w:line="240" w:lineRule="exact"/>
                    <w:jc w:val="left"/>
                    <w:rPr>
                      <w:rFonts w:cs="Times New Roman"/>
                      <w:color w:val="auto"/>
                      <w:szCs w:val="21"/>
                    </w:rPr>
                  </w:pPr>
                  <w:r>
                    <w:rPr>
                      <w:rFonts w:cs="Times New Roman"/>
                      <w:snapToGrid w:val="0"/>
                      <w:color w:val="auto"/>
                      <w:kern w:val="0"/>
                      <w:szCs w:val="21"/>
                    </w:rPr>
                    <w:t>位于</w:t>
                  </w:r>
                  <w:r>
                    <w:rPr>
                      <w:rFonts w:hint="eastAsia" w:cs="Times New Roman"/>
                      <w:snapToGrid w:val="0"/>
                      <w:color w:val="auto"/>
                      <w:kern w:val="0"/>
                      <w:szCs w:val="21"/>
                      <w:lang w:eastAsia="zh-CN"/>
                    </w:rPr>
                    <w:t>项目北侧</w:t>
                  </w:r>
                  <w:r>
                    <w:rPr>
                      <w:rFonts w:cs="Times New Roman"/>
                      <w:snapToGrid w:val="0"/>
                      <w:color w:val="auto"/>
                      <w:kern w:val="0"/>
                      <w:szCs w:val="21"/>
                    </w:rPr>
                    <w:t>，面积约1000m</w:t>
                  </w:r>
                  <w:r>
                    <w:rPr>
                      <w:rFonts w:cs="Times New Roman"/>
                      <w:snapToGrid w:val="0"/>
                      <w:color w:val="auto"/>
                      <w:kern w:val="0"/>
                      <w:szCs w:val="21"/>
                      <w:vertAlign w:val="superscript"/>
                    </w:rPr>
                    <w:t>2</w:t>
                  </w:r>
                  <w:r>
                    <w:rPr>
                      <w:rFonts w:cs="Times New Roman"/>
                      <w:snapToGrid w:val="0"/>
                      <w:color w:val="auto"/>
                      <w:kern w:val="0"/>
                      <w:szCs w:val="21"/>
                    </w:rPr>
                    <w:t>，露天布置，地面</w:t>
                  </w:r>
                  <w:r>
                    <w:rPr>
                      <w:rFonts w:hint="eastAsia" w:cs="Times New Roman"/>
                      <w:snapToGrid w:val="0"/>
                      <w:color w:val="auto"/>
                      <w:kern w:val="0"/>
                      <w:szCs w:val="21"/>
                      <w:lang w:eastAsia="zh-CN"/>
                    </w:rPr>
                    <w:t>水泥</w:t>
                  </w:r>
                  <w:r>
                    <w:rPr>
                      <w:rFonts w:cs="Times New Roman"/>
                      <w:snapToGrid w:val="0"/>
                      <w:color w:val="auto"/>
                      <w:kern w:val="0"/>
                      <w:szCs w:val="21"/>
                    </w:rPr>
                    <w:t>硬化，用于原料暂存。</w:t>
                  </w:r>
                </w:p>
              </w:tc>
              <w:tc>
                <w:tcPr>
                  <w:tcW w:w="598" w:type="pct"/>
                  <w:vMerge w:val="continue"/>
                  <w:tcBorders>
                    <w:tl2br w:val="nil"/>
                    <w:tr2bl w:val="nil"/>
                  </w:tcBorders>
                  <w:shd w:val="clear" w:color="auto" w:fill="auto"/>
                  <w:vAlign w:val="center"/>
                </w:tcPr>
                <w:p w14:paraId="23CE0B54">
                  <w:pPr>
                    <w:spacing w:line="240" w:lineRule="exact"/>
                    <w:jc w:val="center"/>
                    <w:rPr>
                      <w:rFonts w:cs="Times New Roman"/>
                      <w:color w:val="auto"/>
                      <w:szCs w:val="21"/>
                    </w:rPr>
                  </w:pPr>
                </w:p>
              </w:tc>
              <w:tc>
                <w:tcPr>
                  <w:tcW w:w="528" w:type="pct"/>
                  <w:tcBorders>
                    <w:tl2br w:val="nil"/>
                    <w:tr2bl w:val="nil"/>
                  </w:tcBorders>
                  <w:shd w:val="clear" w:color="auto" w:fill="auto"/>
                  <w:vAlign w:val="center"/>
                </w:tcPr>
                <w:p w14:paraId="4AA2E974">
                  <w:pPr>
                    <w:spacing w:line="240" w:lineRule="exact"/>
                    <w:jc w:val="center"/>
                    <w:rPr>
                      <w:rFonts w:hint="eastAsia" w:eastAsia="宋体" w:cs="Times New Roman"/>
                      <w:color w:val="auto"/>
                      <w:szCs w:val="21"/>
                      <w:lang w:val="en-US" w:eastAsia="zh-CN"/>
                    </w:rPr>
                  </w:pPr>
                  <w:r>
                    <w:rPr>
                      <w:rFonts w:cs="Times New Roman"/>
                      <w:color w:val="auto"/>
                      <w:szCs w:val="21"/>
                    </w:rPr>
                    <w:t>噪声</w:t>
                  </w:r>
                  <w:r>
                    <w:rPr>
                      <w:rFonts w:hint="eastAsia" w:cs="Times New Roman"/>
                      <w:color w:val="auto"/>
                      <w:szCs w:val="21"/>
                      <w:lang w:eastAsia="zh-CN"/>
                    </w:rPr>
                    <w:t>、扬尘</w:t>
                  </w:r>
                </w:p>
              </w:tc>
              <w:tc>
                <w:tcPr>
                  <w:tcW w:w="369" w:type="pct"/>
                  <w:tcBorders>
                    <w:tl2br w:val="nil"/>
                    <w:tr2bl w:val="nil"/>
                  </w:tcBorders>
                  <w:shd w:val="clear" w:color="auto" w:fill="auto"/>
                  <w:vAlign w:val="center"/>
                </w:tcPr>
                <w:p w14:paraId="2F4127F3">
                  <w:pPr>
                    <w:spacing w:line="240" w:lineRule="exact"/>
                    <w:jc w:val="center"/>
                    <w:rPr>
                      <w:rFonts w:cs="Times New Roman"/>
                      <w:color w:val="auto"/>
                      <w:szCs w:val="21"/>
                    </w:rPr>
                  </w:pPr>
                  <w:r>
                    <w:rPr>
                      <w:rFonts w:hint="eastAsia" w:cs="Times New Roman"/>
                      <w:color w:val="auto"/>
                      <w:szCs w:val="21"/>
                      <w:lang w:eastAsia="zh-CN"/>
                    </w:rPr>
                    <w:t>新建</w:t>
                  </w:r>
                </w:p>
              </w:tc>
            </w:tr>
            <w:tr w14:paraId="22A3802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524" w:hRule="atLeast"/>
                <w:jc w:val="center"/>
              </w:trPr>
              <w:tc>
                <w:tcPr>
                  <w:tcW w:w="362" w:type="pct"/>
                  <w:vMerge w:val="continue"/>
                  <w:tcBorders>
                    <w:tl2br w:val="nil"/>
                    <w:tr2bl w:val="nil"/>
                  </w:tcBorders>
                  <w:shd w:val="clear" w:color="auto" w:fill="auto"/>
                  <w:vAlign w:val="center"/>
                </w:tcPr>
                <w:p w14:paraId="22628F14">
                  <w:pPr>
                    <w:spacing w:line="240" w:lineRule="exact"/>
                    <w:jc w:val="center"/>
                    <w:rPr>
                      <w:rFonts w:cs="Times New Roman"/>
                      <w:color w:val="auto"/>
                      <w:szCs w:val="21"/>
                    </w:rPr>
                  </w:pPr>
                </w:p>
              </w:tc>
              <w:tc>
                <w:tcPr>
                  <w:tcW w:w="573" w:type="pct"/>
                  <w:gridSpan w:val="2"/>
                  <w:tcBorders>
                    <w:tl2br w:val="nil"/>
                    <w:tr2bl w:val="nil"/>
                  </w:tcBorders>
                  <w:shd w:val="clear" w:color="auto" w:fill="auto"/>
                  <w:vAlign w:val="center"/>
                </w:tcPr>
                <w:p w14:paraId="29362DE6">
                  <w:pPr>
                    <w:spacing w:line="240" w:lineRule="exact"/>
                    <w:jc w:val="center"/>
                    <w:rPr>
                      <w:rFonts w:cs="Times New Roman"/>
                      <w:color w:val="auto"/>
                      <w:szCs w:val="21"/>
                    </w:rPr>
                  </w:pPr>
                  <w:r>
                    <w:rPr>
                      <w:rFonts w:cs="Times New Roman"/>
                      <w:color w:val="auto"/>
                      <w:szCs w:val="21"/>
                    </w:rPr>
                    <w:t>成品堆场</w:t>
                  </w:r>
                </w:p>
              </w:tc>
              <w:tc>
                <w:tcPr>
                  <w:tcW w:w="2566" w:type="pct"/>
                  <w:tcBorders>
                    <w:tl2br w:val="nil"/>
                    <w:tr2bl w:val="nil"/>
                  </w:tcBorders>
                  <w:shd w:val="clear" w:color="auto" w:fill="auto"/>
                  <w:vAlign w:val="center"/>
                </w:tcPr>
                <w:p w14:paraId="75562E27">
                  <w:pPr>
                    <w:spacing w:line="240" w:lineRule="exact"/>
                    <w:jc w:val="left"/>
                    <w:rPr>
                      <w:rFonts w:cs="Times New Roman"/>
                      <w:color w:val="auto"/>
                      <w:szCs w:val="21"/>
                    </w:rPr>
                  </w:pPr>
                  <w:r>
                    <w:rPr>
                      <w:rFonts w:cs="Times New Roman"/>
                      <w:color w:val="auto"/>
                      <w:szCs w:val="21"/>
                    </w:rPr>
                    <w:t>位于</w:t>
                  </w:r>
                  <w:r>
                    <w:rPr>
                      <w:rFonts w:hint="eastAsia" w:cs="Times New Roman"/>
                      <w:color w:val="auto"/>
                      <w:szCs w:val="21"/>
                      <w:lang w:eastAsia="zh-CN"/>
                    </w:rPr>
                    <w:t>项目中部</w:t>
                  </w:r>
                  <w:r>
                    <w:rPr>
                      <w:rFonts w:cs="Times New Roman"/>
                      <w:color w:val="auto"/>
                      <w:szCs w:val="21"/>
                    </w:rPr>
                    <w:t>，面积</w:t>
                  </w:r>
                  <w:r>
                    <w:rPr>
                      <w:rFonts w:hint="eastAsia" w:cs="Times New Roman"/>
                      <w:color w:val="auto"/>
                      <w:szCs w:val="21"/>
                      <w:lang w:val="en-US" w:eastAsia="zh-CN"/>
                    </w:rPr>
                    <w:t>1</w:t>
                  </w:r>
                  <w:r>
                    <w:rPr>
                      <w:rFonts w:cs="Times New Roman"/>
                      <w:color w:val="auto"/>
                      <w:szCs w:val="21"/>
                    </w:rPr>
                    <w:t>000m</w:t>
                  </w:r>
                  <w:r>
                    <w:rPr>
                      <w:rFonts w:cs="Times New Roman"/>
                      <w:color w:val="auto"/>
                      <w:szCs w:val="21"/>
                      <w:vertAlign w:val="superscript"/>
                    </w:rPr>
                    <w:t>2</w:t>
                  </w:r>
                  <w:r>
                    <w:rPr>
                      <w:rFonts w:cs="Times New Roman"/>
                      <w:snapToGrid w:val="0"/>
                      <w:color w:val="auto"/>
                      <w:kern w:val="0"/>
                      <w:szCs w:val="21"/>
                    </w:rPr>
                    <w:t>，露天布置，地面</w:t>
                  </w:r>
                  <w:r>
                    <w:rPr>
                      <w:rFonts w:hint="eastAsia" w:cs="Times New Roman"/>
                      <w:snapToGrid w:val="0"/>
                      <w:color w:val="auto"/>
                      <w:kern w:val="0"/>
                      <w:szCs w:val="21"/>
                      <w:lang w:eastAsia="zh-CN"/>
                    </w:rPr>
                    <w:t>水泥</w:t>
                  </w:r>
                  <w:r>
                    <w:rPr>
                      <w:rFonts w:cs="Times New Roman"/>
                      <w:snapToGrid w:val="0"/>
                      <w:color w:val="auto"/>
                      <w:kern w:val="0"/>
                      <w:szCs w:val="21"/>
                    </w:rPr>
                    <w:t>硬化，用于成品暂存。</w:t>
                  </w:r>
                </w:p>
              </w:tc>
              <w:tc>
                <w:tcPr>
                  <w:tcW w:w="598" w:type="pct"/>
                  <w:vMerge w:val="continue"/>
                  <w:tcBorders>
                    <w:tl2br w:val="nil"/>
                    <w:tr2bl w:val="nil"/>
                  </w:tcBorders>
                  <w:shd w:val="clear" w:color="auto" w:fill="auto"/>
                  <w:vAlign w:val="center"/>
                </w:tcPr>
                <w:p w14:paraId="6A3B0422">
                  <w:pPr>
                    <w:spacing w:line="240" w:lineRule="exact"/>
                    <w:jc w:val="center"/>
                    <w:rPr>
                      <w:rFonts w:cs="Times New Roman"/>
                      <w:color w:val="auto"/>
                      <w:szCs w:val="21"/>
                    </w:rPr>
                  </w:pPr>
                </w:p>
              </w:tc>
              <w:tc>
                <w:tcPr>
                  <w:tcW w:w="528" w:type="pct"/>
                  <w:tcBorders>
                    <w:tl2br w:val="nil"/>
                    <w:tr2bl w:val="nil"/>
                  </w:tcBorders>
                  <w:shd w:val="clear" w:color="auto" w:fill="auto"/>
                  <w:vAlign w:val="center"/>
                </w:tcPr>
                <w:p w14:paraId="49582EBF">
                  <w:pPr>
                    <w:spacing w:line="240" w:lineRule="exact"/>
                    <w:jc w:val="center"/>
                    <w:rPr>
                      <w:rFonts w:cs="Times New Roman"/>
                      <w:color w:val="auto"/>
                      <w:szCs w:val="21"/>
                    </w:rPr>
                  </w:pPr>
                  <w:r>
                    <w:rPr>
                      <w:rFonts w:cs="Times New Roman"/>
                      <w:color w:val="auto"/>
                      <w:szCs w:val="21"/>
                    </w:rPr>
                    <w:t>噪声</w:t>
                  </w:r>
                  <w:r>
                    <w:rPr>
                      <w:rFonts w:hint="eastAsia" w:cs="Times New Roman"/>
                      <w:color w:val="auto"/>
                      <w:szCs w:val="21"/>
                      <w:lang w:eastAsia="zh-CN"/>
                    </w:rPr>
                    <w:t>、扬尘</w:t>
                  </w:r>
                </w:p>
              </w:tc>
              <w:tc>
                <w:tcPr>
                  <w:tcW w:w="369" w:type="pct"/>
                  <w:tcBorders>
                    <w:tl2br w:val="nil"/>
                    <w:tr2bl w:val="nil"/>
                  </w:tcBorders>
                  <w:shd w:val="clear" w:color="auto" w:fill="auto"/>
                  <w:vAlign w:val="center"/>
                </w:tcPr>
                <w:p w14:paraId="1A17F013">
                  <w:pPr>
                    <w:spacing w:line="240" w:lineRule="exact"/>
                    <w:jc w:val="center"/>
                    <w:rPr>
                      <w:rFonts w:cs="Times New Roman"/>
                      <w:color w:val="auto"/>
                      <w:szCs w:val="21"/>
                    </w:rPr>
                  </w:pPr>
                  <w:r>
                    <w:rPr>
                      <w:rFonts w:hint="eastAsia" w:cs="Times New Roman"/>
                      <w:color w:val="auto"/>
                      <w:szCs w:val="21"/>
                      <w:lang w:eastAsia="zh-CN"/>
                    </w:rPr>
                    <w:t>新建</w:t>
                  </w:r>
                </w:p>
              </w:tc>
            </w:tr>
            <w:tr w14:paraId="75E40B5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524" w:hRule="atLeast"/>
                <w:jc w:val="center"/>
              </w:trPr>
              <w:tc>
                <w:tcPr>
                  <w:tcW w:w="362" w:type="pct"/>
                  <w:vMerge w:val="continue"/>
                  <w:tcBorders>
                    <w:tl2br w:val="nil"/>
                    <w:tr2bl w:val="nil"/>
                  </w:tcBorders>
                  <w:shd w:val="clear" w:color="auto" w:fill="auto"/>
                  <w:vAlign w:val="center"/>
                </w:tcPr>
                <w:p w14:paraId="730CBDC8">
                  <w:pPr>
                    <w:spacing w:line="240" w:lineRule="exact"/>
                    <w:jc w:val="center"/>
                    <w:rPr>
                      <w:rFonts w:cs="Times New Roman"/>
                      <w:color w:val="auto"/>
                      <w:szCs w:val="21"/>
                    </w:rPr>
                  </w:pPr>
                </w:p>
              </w:tc>
              <w:tc>
                <w:tcPr>
                  <w:tcW w:w="573" w:type="pct"/>
                  <w:gridSpan w:val="2"/>
                  <w:tcBorders>
                    <w:tl2br w:val="nil"/>
                    <w:tr2bl w:val="nil"/>
                  </w:tcBorders>
                  <w:shd w:val="clear" w:color="auto" w:fill="auto"/>
                  <w:vAlign w:val="center"/>
                </w:tcPr>
                <w:p w14:paraId="39111D95">
                  <w:pPr>
                    <w:spacing w:line="240" w:lineRule="exact"/>
                    <w:jc w:val="center"/>
                    <w:rPr>
                      <w:rFonts w:hint="eastAsia" w:eastAsia="宋体" w:cs="Times New Roman"/>
                      <w:color w:val="auto"/>
                      <w:szCs w:val="21"/>
                      <w:lang w:eastAsia="zh-CN"/>
                    </w:rPr>
                  </w:pPr>
                  <w:r>
                    <w:rPr>
                      <w:rFonts w:hint="eastAsia" w:cs="Times New Roman"/>
                      <w:color w:val="auto"/>
                      <w:szCs w:val="21"/>
                      <w:lang w:eastAsia="zh-CN"/>
                    </w:rPr>
                    <w:t>配电房</w:t>
                  </w:r>
                </w:p>
              </w:tc>
              <w:tc>
                <w:tcPr>
                  <w:tcW w:w="2566" w:type="pct"/>
                  <w:tcBorders>
                    <w:tl2br w:val="nil"/>
                    <w:tr2bl w:val="nil"/>
                  </w:tcBorders>
                  <w:shd w:val="clear" w:color="auto" w:fill="auto"/>
                  <w:vAlign w:val="center"/>
                </w:tcPr>
                <w:p w14:paraId="42071315">
                  <w:pPr>
                    <w:spacing w:line="240" w:lineRule="exact"/>
                    <w:jc w:val="left"/>
                    <w:rPr>
                      <w:rFonts w:hint="eastAsia" w:eastAsia="宋体" w:cs="Times New Roman"/>
                      <w:color w:val="auto"/>
                      <w:szCs w:val="21"/>
                      <w:lang w:val="en-US" w:eastAsia="zh-CN"/>
                    </w:rPr>
                  </w:pPr>
                  <w:r>
                    <w:rPr>
                      <w:rFonts w:hint="eastAsia" w:cs="Times New Roman"/>
                      <w:color w:val="auto"/>
                      <w:szCs w:val="21"/>
                      <w:lang w:eastAsia="zh-CN"/>
                    </w:rPr>
                    <w:t>位于车间西侧，面积约</w:t>
                  </w:r>
                  <w:r>
                    <w:rPr>
                      <w:rFonts w:hint="eastAsia" w:cs="Times New Roman"/>
                      <w:color w:val="auto"/>
                      <w:szCs w:val="21"/>
                      <w:lang w:val="en-US" w:eastAsia="zh-CN"/>
                    </w:rPr>
                    <w:t>20m</w:t>
                  </w:r>
                  <w:r>
                    <w:rPr>
                      <w:rFonts w:hint="eastAsia" w:cs="Times New Roman"/>
                      <w:color w:val="auto"/>
                      <w:szCs w:val="21"/>
                      <w:vertAlign w:val="superscript"/>
                      <w:lang w:val="en-US" w:eastAsia="zh-CN"/>
                    </w:rPr>
                    <w:t>2</w:t>
                  </w:r>
                  <w:r>
                    <w:rPr>
                      <w:rFonts w:hint="eastAsia" w:cs="Times New Roman"/>
                      <w:color w:val="auto"/>
                      <w:szCs w:val="21"/>
                      <w:lang w:val="en-US" w:eastAsia="zh-CN"/>
                    </w:rPr>
                    <w:t>，用于生产系统综合控制。</w:t>
                  </w:r>
                </w:p>
              </w:tc>
              <w:tc>
                <w:tcPr>
                  <w:tcW w:w="598" w:type="pct"/>
                  <w:vMerge w:val="continue"/>
                  <w:tcBorders>
                    <w:tl2br w:val="nil"/>
                    <w:tr2bl w:val="nil"/>
                  </w:tcBorders>
                  <w:shd w:val="clear" w:color="auto" w:fill="auto"/>
                  <w:vAlign w:val="center"/>
                </w:tcPr>
                <w:p w14:paraId="1A916842">
                  <w:pPr>
                    <w:spacing w:line="240" w:lineRule="exact"/>
                    <w:jc w:val="center"/>
                    <w:rPr>
                      <w:rFonts w:cs="Times New Roman"/>
                      <w:color w:val="auto"/>
                      <w:szCs w:val="21"/>
                    </w:rPr>
                  </w:pPr>
                </w:p>
              </w:tc>
              <w:tc>
                <w:tcPr>
                  <w:tcW w:w="528" w:type="pct"/>
                  <w:tcBorders>
                    <w:tl2br w:val="nil"/>
                    <w:tr2bl w:val="nil"/>
                  </w:tcBorders>
                  <w:shd w:val="clear" w:color="auto" w:fill="auto"/>
                  <w:vAlign w:val="center"/>
                </w:tcPr>
                <w:p w14:paraId="055F7348">
                  <w:pPr>
                    <w:spacing w:line="240" w:lineRule="exact"/>
                    <w:jc w:val="center"/>
                    <w:rPr>
                      <w:rFonts w:hint="default" w:eastAsia="宋体" w:cs="Times New Roman"/>
                      <w:color w:val="auto"/>
                      <w:szCs w:val="21"/>
                      <w:lang w:val="en-US" w:eastAsia="zh-CN"/>
                    </w:rPr>
                  </w:pPr>
                  <w:r>
                    <w:rPr>
                      <w:rFonts w:hint="eastAsia" w:cs="Times New Roman"/>
                      <w:color w:val="auto"/>
                      <w:szCs w:val="21"/>
                      <w:lang w:val="en-US" w:eastAsia="zh-CN"/>
                    </w:rPr>
                    <w:t>/</w:t>
                  </w:r>
                </w:p>
              </w:tc>
              <w:tc>
                <w:tcPr>
                  <w:tcW w:w="369" w:type="pct"/>
                  <w:tcBorders>
                    <w:tl2br w:val="nil"/>
                    <w:tr2bl w:val="nil"/>
                  </w:tcBorders>
                  <w:shd w:val="clear" w:color="auto" w:fill="auto"/>
                  <w:vAlign w:val="center"/>
                </w:tcPr>
                <w:p w14:paraId="56546019">
                  <w:pPr>
                    <w:spacing w:line="240" w:lineRule="exact"/>
                    <w:jc w:val="center"/>
                    <w:rPr>
                      <w:rFonts w:cs="Times New Roman"/>
                      <w:color w:val="auto"/>
                      <w:szCs w:val="21"/>
                    </w:rPr>
                  </w:pPr>
                  <w:r>
                    <w:rPr>
                      <w:rFonts w:hint="eastAsia" w:cs="Times New Roman"/>
                      <w:color w:val="auto"/>
                      <w:szCs w:val="21"/>
                      <w:lang w:eastAsia="zh-CN"/>
                    </w:rPr>
                    <w:t>新建</w:t>
                  </w:r>
                </w:p>
              </w:tc>
            </w:tr>
            <w:tr w14:paraId="6D2752E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610" w:hRule="atLeast"/>
                <w:jc w:val="center"/>
              </w:trPr>
              <w:tc>
                <w:tcPr>
                  <w:tcW w:w="362" w:type="pct"/>
                  <w:vMerge w:val="continue"/>
                  <w:tcBorders>
                    <w:tl2br w:val="nil"/>
                    <w:tr2bl w:val="nil"/>
                  </w:tcBorders>
                  <w:shd w:val="clear" w:color="auto" w:fill="auto"/>
                  <w:vAlign w:val="center"/>
                </w:tcPr>
                <w:p w14:paraId="3993DAE8">
                  <w:pPr>
                    <w:spacing w:line="240" w:lineRule="exact"/>
                    <w:jc w:val="center"/>
                    <w:rPr>
                      <w:rFonts w:cs="Times New Roman"/>
                      <w:color w:val="auto"/>
                      <w:szCs w:val="21"/>
                    </w:rPr>
                  </w:pPr>
                </w:p>
              </w:tc>
              <w:tc>
                <w:tcPr>
                  <w:tcW w:w="573" w:type="pct"/>
                  <w:gridSpan w:val="2"/>
                  <w:tcBorders>
                    <w:tl2br w:val="nil"/>
                    <w:tr2bl w:val="nil"/>
                  </w:tcBorders>
                  <w:shd w:val="clear" w:color="auto" w:fill="auto"/>
                  <w:vAlign w:val="center"/>
                </w:tcPr>
                <w:p w14:paraId="77977F48">
                  <w:pPr>
                    <w:widowControl/>
                    <w:spacing w:line="240" w:lineRule="exact"/>
                    <w:jc w:val="center"/>
                    <w:rPr>
                      <w:rFonts w:cs="Times New Roman"/>
                      <w:color w:val="auto"/>
                      <w:szCs w:val="21"/>
                    </w:rPr>
                  </w:pPr>
                  <w:r>
                    <w:rPr>
                      <w:rFonts w:cs="Times New Roman"/>
                      <w:color w:val="auto"/>
                      <w:szCs w:val="21"/>
                    </w:rPr>
                    <w:t>维修间</w:t>
                  </w:r>
                </w:p>
              </w:tc>
              <w:tc>
                <w:tcPr>
                  <w:tcW w:w="2566" w:type="pct"/>
                  <w:tcBorders>
                    <w:tl2br w:val="nil"/>
                    <w:tr2bl w:val="nil"/>
                  </w:tcBorders>
                  <w:shd w:val="clear" w:color="auto" w:fill="auto"/>
                  <w:vAlign w:val="center"/>
                </w:tcPr>
                <w:p w14:paraId="1228E91E">
                  <w:pPr>
                    <w:widowControl/>
                    <w:spacing w:line="240" w:lineRule="exact"/>
                    <w:jc w:val="left"/>
                    <w:rPr>
                      <w:rFonts w:cs="Times New Roman"/>
                      <w:color w:val="auto"/>
                      <w:szCs w:val="21"/>
                    </w:rPr>
                  </w:pPr>
                  <w:r>
                    <w:rPr>
                      <w:rFonts w:cs="Times New Roman"/>
                      <w:color w:val="auto"/>
                      <w:szCs w:val="21"/>
                    </w:rPr>
                    <w:t>位于</w:t>
                  </w:r>
                  <w:r>
                    <w:rPr>
                      <w:rFonts w:hint="eastAsia" w:cs="Times New Roman"/>
                      <w:color w:val="auto"/>
                      <w:szCs w:val="21"/>
                      <w:lang w:eastAsia="zh-CN"/>
                    </w:rPr>
                    <w:t>车间西侧</w:t>
                  </w:r>
                  <w:r>
                    <w:rPr>
                      <w:rFonts w:cs="Times New Roman"/>
                      <w:color w:val="auto"/>
                      <w:szCs w:val="21"/>
                    </w:rPr>
                    <w:t>，</w:t>
                  </w:r>
                  <w:r>
                    <w:rPr>
                      <w:rFonts w:cs="Times New Roman"/>
                      <w:snapToGrid w:val="0"/>
                      <w:color w:val="auto"/>
                      <w:kern w:val="0"/>
                      <w:szCs w:val="21"/>
                    </w:rPr>
                    <w:t>面积</w:t>
                  </w:r>
                  <w:r>
                    <w:rPr>
                      <w:rFonts w:cs="Times New Roman"/>
                      <w:color w:val="auto"/>
                      <w:szCs w:val="21"/>
                    </w:rPr>
                    <w:t>约</w:t>
                  </w:r>
                  <w:r>
                    <w:rPr>
                      <w:rFonts w:hint="eastAsia" w:cs="Times New Roman"/>
                      <w:color w:val="auto"/>
                      <w:szCs w:val="21"/>
                      <w:lang w:val="en-US" w:eastAsia="zh-CN"/>
                    </w:rPr>
                    <w:t>6</w:t>
                  </w:r>
                  <w:r>
                    <w:rPr>
                      <w:rFonts w:cs="Times New Roman"/>
                      <w:snapToGrid w:val="0"/>
                      <w:color w:val="auto"/>
                      <w:kern w:val="0"/>
                      <w:szCs w:val="21"/>
                    </w:rPr>
                    <w:t>0m</w:t>
                  </w:r>
                  <w:r>
                    <w:rPr>
                      <w:rFonts w:cs="Times New Roman"/>
                      <w:snapToGrid w:val="0"/>
                      <w:color w:val="auto"/>
                      <w:kern w:val="0"/>
                      <w:szCs w:val="21"/>
                      <w:vertAlign w:val="superscript"/>
                    </w:rPr>
                    <w:t>2</w:t>
                  </w:r>
                  <w:r>
                    <w:rPr>
                      <w:rFonts w:cs="Times New Roman"/>
                      <w:snapToGrid w:val="0"/>
                      <w:color w:val="auto"/>
                      <w:kern w:val="0"/>
                      <w:szCs w:val="21"/>
                    </w:rPr>
                    <w:t>，</w:t>
                  </w:r>
                  <w:r>
                    <w:rPr>
                      <w:rFonts w:hint="eastAsia" w:cs="Times New Roman"/>
                      <w:snapToGrid w:val="0"/>
                      <w:color w:val="auto"/>
                      <w:kern w:val="0"/>
                      <w:szCs w:val="21"/>
                      <w:highlight w:val="none"/>
                      <w:lang w:eastAsia="zh-CN"/>
                    </w:rPr>
                    <w:t>用于</w:t>
                  </w:r>
                  <w:r>
                    <w:rPr>
                      <w:rFonts w:cs="Times New Roman"/>
                      <w:color w:val="auto"/>
                      <w:szCs w:val="21"/>
                      <w:highlight w:val="none"/>
                    </w:rPr>
                    <w:t>小修和更换零件等，大修全部外委。</w:t>
                  </w:r>
                </w:p>
              </w:tc>
              <w:tc>
                <w:tcPr>
                  <w:tcW w:w="598" w:type="pct"/>
                  <w:vMerge w:val="continue"/>
                  <w:tcBorders>
                    <w:tl2br w:val="nil"/>
                    <w:tr2bl w:val="nil"/>
                  </w:tcBorders>
                  <w:shd w:val="clear" w:color="auto" w:fill="auto"/>
                  <w:vAlign w:val="center"/>
                </w:tcPr>
                <w:p w14:paraId="3517A219">
                  <w:pPr>
                    <w:spacing w:line="240" w:lineRule="exact"/>
                    <w:jc w:val="center"/>
                    <w:rPr>
                      <w:rFonts w:cs="Times New Roman"/>
                      <w:color w:val="auto"/>
                      <w:szCs w:val="21"/>
                    </w:rPr>
                  </w:pPr>
                </w:p>
              </w:tc>
              <w:tc>
                <w:tcPr>
                  <w:tcW w:w="528" w:type="pct"/>
                  <w:tcBorders>
                    <w:tl2br w:val="nil"/>
                    <w:tr2bl w:val="nil"/>
                  </w:tcBorders>
                  <w:shd w:val="clear" w:color="auto" w:fill="auto"/>
                  <w:vAlign w:val="center"/>
                </w:tcPr>
                <w:p w14:paraId="1D6B8B44">
                  <w:pPr>
                    <w:spacing w:line="240" w:lineRule="exact"/>
                    <w:jc w:val="center"/>
                    <w:rPr>
                      <w:rFonts w:cs="Times New Roman"/>
                      <w:color w:val="auto"/>
                      <w:szCs w:val="21"/>
                    </w:rPr>
                  </w:pPr>
                  <w:r>
                    <w:rPr>
                      <w:rFonts w:cs="Times New Roman"/>
                      <w:color w:val="auto"/>
                      <w:szCs w:val="21"/>
                    </w:rPr>
                    <w:t>噪声、固废</w:t>
                  </w:r>
                </w:p>
              </w:tc>
              <w:tc>
                <w:tcPr>
                  <w:tcW w:w="369" w:type="pct"/>
                  <w:tcBorders>
                    <w:tl2br w:val="nil"/>
                    <w:tr2bl w:val="nil"/>
                  </w:tcBorders>
                  <w:shd w:val="clear" w:color="auto" w:fill="auto"/>
                  <w:vAlign w:val="center"/>
                </w:tcPr>
                <w:p w14:paraId="7FD90305">
                  <w:pPr>
                    <w:spacing w:line="240" w:lineRule="exact"/>
                    <w:jc w:val="center"/>
                    <w:rPr>
                      <w:rFonts w:cs="Times New Roman"/>
                      <w:color w:val="auto"/>
                      <w:szCs w:val="21"/>
                    </w:rPr>
                  </w:pPr>
                  <w:r>
                    <w:rPr>
                      <w:rFonts w:hint="eastAsia" w:cs="Times New Roman"/>
                      <w:color w:val="auto"/>
                      <w:szCs w:val="21"/>
                      <w:lang w:eastAsia="zh-CN"/>
                    </w:rPr>
                    <w:t>新建</w:t>
                  </w:r>
                </w:p>
              </w:tc>
            </w:tr>
            <w:tr w14:paraId="2A78740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1202" w:hRule="atLeast"/>
                <w:jc w:val="center"/>
              </w:trPr>
              <w:tc>
                <w:tcPr>
                  <w:tcW w:w="362" w:type="pct"/>
                  <w:tcBorders>
                    <w:tl2br w:val="nil"/>
                    <w:tr2bl w:val="nil"/>
                  </w:tcBorders>
                  <w:shd w:val="clear" w:color="auto" w:fill="auto"/>
                  <w:vAlign w:val="center"/>
                </w:tcPr>
                <w:p w14:paraId="058DE0BD">
                  <w:pPr>
                    <w:spacing w:line="240" w:lineRule="exact"/>
                    <w:jc w:val="center"/>
                    <w:rPr>
                      <w:rFonts w:hint="eastAsia" w:ascii="Times New Roman" w:hAnsi="Times New Roman" w:eastAsia="宋体" w:cs="Times New Roman"/>
                      <w:color w:val="auto"/>
                      <w:kern w:val="2"/>
                      <w:sz w:val="21"/>
                      <w:szCs w:val="21"/>
                      <w:lang w:val="en-US" w:eastAsia="zh-CN" w:bidi="ar-SA"/>
                    </w:rPr>
                  </w:pPr>
                  <w:r>
                    <w:rPr>
                      <w:rFonts w:cs="Times New Roman"/>
                      <w:color w:val="auto"/>
                      <w:szCs w:val="21"/>
                    </w:rPr>
                    <w:t>办公及生活</w:t>
                  </w:r>
                  <w:r>
                    <w:rPr>
                      <w:rFonts w:hint="eastAsia" w:cs="Times New Roman"/>
                      <w:color w:val="auto"/>
                      <w:szCs w:val="21"/>
                      <w:lang w:eastAsia="zh-CN"/>
                    </w:rPr>
                    <w:t>设施</w:t>
                  </w:r>
                </w:p>
              </w:tc>
              <w:tc>
                <w:tcPr>
                  <w:tcW w:w="573" w:type="pct"/>
                  <w:gridSpan w:val="2"/>
                  <w:tcBorders>
                    <w:tl2br w:val="nil"/>
                    <w:tr2bl w:val="nil"/>
                  </w:tcBorders>
                  <w:shd w:val="clear" w:color="auto" w:fill="auto"/>
                  <w:vAlign w:val="center"/>
                </w:tcPr>
                <w:p w14:paraId="659BE64C">
                  <w:pPr>
                    <w:spacing w:line="240" w:lineRule="exact"/>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szCs w:val="21"/>
                      <w:lang w:eastAsia="zh-CN"/>
                    </w:rPr>
                    <w:t>办公生活区</w:t>
                  </w:r>
                </w:p>
              </w:tc>
              <w:tc>
                <w:tcPr>
                  <w:tcW w:w="2566" w:type="pct"/>
                  <w:tcBorders>
                    <w:tl2br w:val="nil"/>
                    <w:tr2bl w:val="nil"/>
                  </w:tcBorders>
                  <w:shd w:val="clear" w:color="auto" w:fill="auto"/>
                  <w:vAlign w:val="center"/>
                </w:tcPr>
                <w:p w14:paraId="01E585A5">
                  <w:pPr>
                    <w:spacing w:line="240" w:lineRule="exact"/>
                    <w:jc w:val="left"/>
                    <w:rPr>
                      <w:rFonts w:ascii="Times New Roman" w:hAnsi="Times New Roman" w:eastAsia="宋体" w:cs="Times New Roman"/>
                      <w:color w:val="auto"/>
                      <w:kern w:val="2"/>
                      <w:sz w:val="21"/>
                      <w:szCs w:val="21"/>
                      <w:lang w:val="en-US" w:eastAsia="zh-CN" w:bidi="ar-SA"/>
                    </w:rPr>
                  </w:pPr>
                  <w:r>
                    <w:rPr>
                      <w:rFonts w:cs="Times New Roman"/>
                      <w:color w:val="auto"/>
                      <w:szCs w:val="21"/>
                    </w:rPr>
                    <w:t>位于</w:t>
                  </w:r>
                  <w:r>
                    <w:rPr>
                      <w:rFonts w:hint="eastAsia" w:cs="Times New Roman"/>
                      <w:color w:val="auto"/>
                      <w:szCs w:val="21"/>
                      <w:lang w:eastAsia="zh-CN"/>
                    </w:rPr>
                    <w:t>生产车间西侧</w:t>
                  </w:r>
                  <w:r>
                    <w:rPr>
                      <w:rFonts w:cs="Times New Roman"/>
                      <w:color w:val="auto"/>
                      <w:szCs w:val="21"/>
                    </w:rPr>
                    <w:t>，面积约</w:t>
                  </w:r>
                  <w:r>
                    <w:rPr>
                      <w:rFonts w:hint="eastAsia" w:cs="Times New Roman"/>
                      <w:color w:val="auto"/>
                      <w:szCs w:val="21"/>
                      <w:lang w:val="en-US" w:eastAsia="zh-CN"/>
                    </w:rPr>
                    <w:t>40</w:t>
                  </w:r>
                  <w:r>
                    <w:rPr>
                      <w:rFonts w:cs="Times New Roman"/>
                      <w:color w:val="auto"/>
                      <w:szCs w:val="21"/>
                    </w:rPr>
                    <w:t>0m</w:t>
                  </w:r>
                  <w:r>
                    <w:rPr>
                      <w:rFonts w:cs="Times New Roman"/>
                      <w:color w:val="auto"/>
                      <w:szCs w:val="21"/>
                      <w:vertAlign w:val="superscript"/>
                    </w:rPr>
                    <w:t>2</w:t>
                  </w:r>
                  <w:r>
                    <w:rPr>
                      <w:rFonts w:cs="Times New Roman"/>
                      <w:color w:val="auto"/>
                      <w:szCs w:val="21"/>
                    </w:rPr>
                    <w:t>。</w:t>
                  </w:r>
                  <w:r>
                    <w:rPr>
                      <w:rFonts w:hint="eastAsia" w:cs="Times New Roman"/>
                      <w:color w:val="auto"/>
                      <w:szCs w:val="21"/>
                      <w:lang w:eastAsia="zh-CN"/>
                    </w:rPr>
                    <w:t>布置有办公室、会议室、宿舍、仓库、食堂、厕所等。</w:t>
                  </w:r>
                </w:p>
              </w:tc>
              <w:tc>
                <w:tcPr>
                  <w:tcW w:w="598" w:type="pct"/>
                  <w:vMerge w:val="continue"/>
                  <w:tcBorders>
                    <w:tl2br w:val="nil"/>
                    <w:tr2bl w:val="nil"/>
                  </w:tcBorders>
                  <w:shd w:val="clear" w:color="auto" w:fill="auto"/>
                  <w:vAlign w:val="center"/>
                </w:tcPr>
                <w:p w14:paraId="5ADE57A8">
                  <w:pPr>
                    <w:spacing w:line="240" w:lineRule="exact"/>
                    <w:jc w:val="center"/>
                    <w:rPr>
                      <w:rFonts w:cs="Times New Roman"/>
                      <w:color w:val="auto"/>
                      <w:szCs w:val="21"/>
                    </w:rPr>
                  </w:pPr>
                </w:p>
              </w:tc>
              <w:tc>
                <w:tcPr>
                  <w:tcW w:w="528" w:type="pct"/>
                  <w:tcBorders>
                    <w:tl2br w:val="nil"/>
                    <w:tr2bl w:val="nil"/>
                  </w:tcBorders>
                  <w:shd w:val="clear" w:color="auto" w:fill="auto"/>
                  <w:vAlign w:val="center"/>
                </w:tcPr>
                <w:p w14:paraId="0DB2781E">
                  <w:pPr>
                    <w:spacing w:line="240" w:lineRule="exact"/>
                    <w:jc w:val="center"/>
                    <w:rPr>
                      <w:rFonts w:cs="Times New Roman"/>
                      <w:color w:val="auto"/>
                      <w:szCs w:val="21"/>
                    </w:rPr>
                  </w:pPr>
                  <w:r>
                    <w:rPr>
                      <w:rFonts w:cs="Times New Roman"/>
                      <w:color w:val="auto"/>
                      <w:szCs w:val="21"/>
                    </w:rPr>
                    <w:t>油烟废气、生活污水、</w:t>
                  </w:r>
                </w:p>
                <w:p w14:paraId="679CD028">
                  <w:pPr>
                    <w:spacing w:line="240" w:lineRule="exact"/>
                    <w:jc w:val="center"/>
                    <w:rPr>
                      <w:rFonts w:cs="Times New Roman"/>
                      <w:color w:val="auto"/>
                      <w:szCs w:val="21"/>
                    </w:rPr>
                  </w:pPr>
                  <w:r>
                    <w:rPr>
                      <w:rFonts w:cs="Times New Roman"/>
                      <w:color w:val="auto"/>
                      <w:szCs w:val="21"/>
                    </w:rPr>
                    <w:t>生活垃圾等</w:t>
                  </w:r>
                </w:p>
              </w:tc>
              <w:tc>
                <w:tcPr>
                  <w:tcW w:w="369" w:type="pct"/>
                  <w:tcBorders>
                    <w:tl2br w:val="nil"/>
                    <w:tr2bl w:val="nil"/>
                  </w:tcBorders>
                  <w:shd w:val="clear" w:color="auto" w:fill="auto"/>
                  <w:vAlign w:val="center"/>
                </w:tcPr>
                <w:p w14:paraId="7071A9F7">
                  <w:pPr>
                    <w:spacing w:line="240" w:lineRule="exact"/>
                    <w:jc w:val="center"/>
                    <w:rPr>
                      <w:rFonts w:cs="Times New Roman"/>
                      <w:color w:val="auto"/>
                      <w:szCs w:val="21"/>
                    </w:rPr>
                  </w:pPr>
                  <w:r>
                    <w:rPr>
                      <w:rFonts w:hint="eastAsia" w:cs="Times New Roman"/>
                      <w:color w:val="auto"/>
                      <w:szCs w:val="21"/>
                      <w:lang w:eastAsia="zh-CN"/>
                    </w:rPr>
                    <w:t>新建</w:t>
                  </w:r>
                </w:p>
              </w:tc>
            </w:tr>
            <w:tr w14:paraId="1065306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92" w:hRule="atLeast"/>
                <w:jc w:val="center"/>
              </w:trPr>
              <w:tc>
                <w:tcPr>
                  <w:tcW w:w="362" w:type="pct"/>
                  <w:vMerge w:val="restart"/>
                  <w:tcBorders>
                    <w:tl2br w:val="nil"/>
                    <w:tr2bl w:val="nil"/>
                  </w:tcBorders>
                  <w:shd w:val="clear" w:color="auto" w:fill="auto"/>
                  <w:vAlign w:val="center"/>
                </w:tcPr>
                <w:p w14:paraId="3F87C2CE">
                  <w:pPr>
                    <w:spacing w:line="240" w:lineRule="exact"/>
                    <w:jc w:val="center"/>
                    <w:rPr>
                      <w:rFonts w:cs="Times New Roman"/>
                      <w:color w:val="auto"/>
                      <w:szCs w:val="21"/>
                    </w:rPr>
                  </w:pPr>
                  <w:r>
                    <w:rPr>
                      <w:rFonts w:cs="Times New Roman"/>
                      <w:color w:val="auto"/>
                      <w:szCs w:val="21"/>
                    </w:rPr>
                    <w:t>公用工程</w:t>
                  </w:r>
                </w:p>
              </w:tc>
              <w:tc>
                <w:tcPr>
                  <w:tcW w:w="573" w:type="pct"/>
                  <w:gridSpan w:val="2"/>
                  <w:tcBorders>
                    <w:tl2br w:val="nil"/>
                    <w:tr2bl w:val="nil"/>
                  </w:tcBorders>
                  <w:shd w:val="clear" w:color="auto" w:fill="auto"/>
                  <w:vAlign w:val="center"/>
                </w:tcPr>
                <w:p w14:paraId="35ADD4BF">
                  <w:pPr>
                    <w:spacing w:line="240" w:lineRule="exact"/>
                    <w:jc w:val="center"/>
                    <w:rPr>
                      <w:rFonts w:cs="Times New Roman"/>
                      <w:color w:val="auto"/>
                      <w:szCs w:val="21"/>
                    </w:rPr>
                  </w:pPr>
                  <w:r>
                    <w:rPr>
                      <w:rFonts w:cs="Times New Roman"/>
                      <w:color w:val="auto"/>
                      <w:szCs w:val="21"/>
                    </w:rPr>
                    <w:t>供电</w:t>
                  </w:r>
                </w:p>
              </w:tc>
              <w:tc>
                <w:tcPr>
                  <w:tcW w:w="2566" w:type="pct"/>
                  <w:tcBorders>
                    <w:tl2br w:val="nil"/>
                    <w:tr2bl w:val="nil"/>
                  </w:tcBorders>
                  <w:shd w:val="clear" w:color="auto" w:fill="auto"/>
                  <w:vAlign w:val="center"/>
                </w:tcPr>
                <w:p w14:paraId="59CD5DE1">
                  <w:pPr>
                    <w:spacing w:line="240" w:lineRule="exact"/>
                    <w:jc w:val="left"/>
                    <w:rPr>
                      <w:rFonts w:cs="Times New Roman"/>
                      <w:color w:val="auto"/>
                      <w:szCs w:val="21"/>
                    </w:rPr>
                  </w:pPr>
                  <w:r>
                    <w:rPr>
                      <w:rFonts w:cs="Times New Roman"/>
                      <w:color w:val="auto"/>
                      <w:szCs w:val="21"/>
                    </w:rPr>
                    <w:t>项目拟自建供电系统，包括</w:t>
                  </w:r>
                  <w:r>
                    <w:rPr>
                      <w:rFonts w:cs="Times New Roman"/>
                      <w:color w:val="auto"/>
                      <w:szCs w:val="21"/>
                      <w:highlight w:val="none"/>
                    </w:rPr>
                    <w:t>设置</w:t>
                  </w:r>
                  <w:r>
                    <w:rPr>
                      <w:rFonts w:hint="eastAsia" w:cs="Times New Roman"/>
                      <w:color w:val="auto"/>
                      <w:szCs w:val="21"/>
                      <w:highlight w:val="none"/>
                      <w:lang w:val="en-US" w:eastAsia="zh-CN"/>
                    </w:rPr>
                    <w:t>5</w:t>
                  </w:r>
                  <w:r>
                    <w:rPr>
                      <w:rFonts w:cs="Times New Roman"/>
                      <w:color w:val="auto"/>
                      <w:szCs w:val="21"/>
                      <w:highlight w:val="none"/>
                    </w:rPr>
                    <w:t>00kva 变压器</w:t>
                  </w:r>
                  <w:r>
                    <w:rPr>
                      <w:rFonts w:hint="eastAsia" w:cs="Times New Roman"/>
                      <w:color w:val="auto"/>
                      <w:szCs w:val="21"/>
                      <w:highlight w:val="none"/>
                      <w:lang w:val="en-US" w:eastAsia="zh-CN"/>
                    </w:rPr>
                    <w:t>1</w:t>
                  </w:r>
                  <w:r>
                    <w:rPr>
                      <w:rFonts w:cs="Times New Roman"/>
                      <w:color w:val="auto"/>
                      <w:szCs w:val="21"/>
                      <w:highlight w:val="none"/>
                    </w:rPr>
                    <w:t>台及其</w:t>
                  </w:r>
                  <w:r>
                    <w:rPr>
                      <w:rFonts w:hint="eastAsia" w:cs="Times New Roman"/>
                      <w:color w:val="auto"/>
                      <w:szCs w:val="21"/>
                      <w:highlight w:val="none"/>
                      <w:lang w:eastAsia="zh-CN"/>
                    </w:rPr>
                    <w:t>他</w:t>
                  </w:r>
                  <w:r>
                    <w:rPr>
                      <w:rFonts w:cs="Times New Roman"/>
                      <w:color w:val="auto"/>
                      <w:szCs w:val="21"/>
                      <w:highlight w:val="none"/>
                    </w:rPr>
                    <w:t>配套供电设施。电源来自</w:t>
                  </w:r>
                  <w:r>
                    <w:rPr>
                      <w:rFonts w:hint="eastAsia" w:cs="Times New Roman"/>
                      <w:color w:val="auto"/>
                      <w:szCs w:val="21"/>
                      <w:highlight w:val="none"/>
                      <w:lang w:eastAsia="zh-CN"/>
                    </w:rPr>
                    <w:t>东岳乡镇</w:t>
                  </w:r>
                  <w:r>
                    <w:rPr>
                      <w:rFonts w:cs="Times New Roman"/>
                      <w:color w:val="auto"/>
                      <w:szCs w:val="21"/>
                      <w:highlight w:val="none"/>
                    </w:rPr>
                    <w:t>电网</w:t>
                  </w:r>
                </w:p>
              </w:tc>
              <w:tc>
                <w:tcPr>
                  <w:tcW w:w="598" w:type="pct"/>
                  <w:vMerge w:val="continue"/>
                  <w:tcBorders>
                    <w:tl2br w:val="nil"/>
                    <w:tr2bl w:val="nil"/>
                  </w:tcBorders>
                  <w:shd w:val="clear" w:color="auto" w:fill="auto"/>
                  <w:vAlign w:val="center"/>
                </w:tcPr>
                <w:p w14:paraId="591C733E">
                  <w:pPr>
                    <w:spacing w:line="240" w:lineRule="exact"/>
                    <w:jc w:val="center"/>
                    <w:rPr>
                      <w:rFonts w:cs="Times New Roman"/>
                      <w:color w:val="auto"/>
                      <w:szCs w:val="21"/>
                    </w:rPr>
                  </w:pPr>
                </w:p>
              </w:tc>
              <w:tc>
                <w:tcPr>
                  <w:tcW w:w="528" w:type="pct"/>
                  <w:tcBorders>
                    <w:tl2br w:val="nil"/>
                    <w:tr2bl w:val="nil"/>
                  </w:tcBorders>
                  <w:shd w:val="clear" w:color="auto" w:fill="auto"/>
                  <w:vAlign w:val="center"/>
                </w:tcPr>
                <w:p w14:paraId="3F5601B3">
                  <w:pPr>
                    <w:spacing w:line="240" w:lineRule="exact"/>
                    <w:jc w:val="center"/>
                    <w:rPr>
                      <w:rFonts w:cs="Times New Roman"/>
                      <w:color w:val="auto"/>
                      <w:szCs w:val="21"/>
                    </w:rPr>
                  </w:pPr>
                  <w:r>
                    <w:rPr>
                      <w:rFonts w:cs="Times New Roman"/>
                      <w:color w:val="auto"/>
                      <w:szCs w:val="21"/>
                    </w:rPr>
                    <w:t>/</w:t>
                  </w:r>
                </w:p>
              </w:tc>
              <w:tc>
                <w:tcPr>
                  <w:tcW w:w="369" w:type="pct"/>
                  <w:tcBorders>
                    <w:tl2br w:val="nil"/>
                    <w:tr2bl w:val="nil"/>
                  </w:tcBorders>
                  <w:shd w:val="clear" w:color="auto" w:fill="auto"/>
                  <w:vAlign w:val="center"/>
                </w:tcPr>
                <w:p w14:paraId="2199937B">
                  <w:pPr>
                    <w:spacing w:line="240" w:lineRule="exact"/>
                    <w:jc w:val="center"/>
                    <w:rPr>
                      <w:rFonts w:hint="eastAsia" w:eastAsia="宋体" w:cs="Times New Roman"/>
                      <w:color w:val="auto"/>
                      <w:szCs w:val="21"/>
                      <w:lang w:eastAsia="zh-CN"/>
                    </w:rPr>
                  </w:pPr>
                  <w:r>
                    <w:rPr>
                      <w:rFonts w:hint="eastAsia" w:cs="Times New Roman"/>
                      <w:color w:val="auto"/>
                      <w:szCs w:val="21"/>
                      <w:lang w:eastAsia="zh-CN"/>
                    </w:rPr>
                    <w:t>新建</w:t>
                  </w:r>
                </w:p>
              </w:tc>
            </w:tr>
            <w:tr w14:paraId="06B8ADE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92" w:hRule="atLeast"/>
                <w:jc w:val="center"/>
              </w:trPr>
              <w:tc>
                <w:tcPr>
                  <w:tcW w:w="362" w:type="pct"/>
                  <w:vMerge w:val="continue"/>
                  <w:tcBorders>
                    <w:tl2br w:val="nil"/>
                    <w:tr2bl w:val="nil"/>
                  </w:tcBorders>
                  <w:shd w:val="clear" w:color="auto" w:fill="auto"/>
                  <w:vAlign w:val="center"/>
                </w:tcPr>
                <w:p w14:paraId="62AE555D">
                  <w:pPr>
                    <w:spacing w:line="240" w:lineRule="exact"/>
                    <w:jc w:val="center"/>
                    <w:rPr>
                      <w:rFonts w:cs="Times New Roman"/>
                      <w:color w:val="auto"/>
                      <w:szCs w:val="21"/>
                    </w:rPr>
                  </w:pPr>
                </w:p>
              </w:tc>
              <w:tc>
                <w:tcPr>
                  <w:tcW w:w="573" w:type="pct"/>
                  <w:gridSpan w:val="2"/>
                  <w:tcBorders>
                    <w:tl2br w:val="nil"/>
                    <w:tr2bl w:val="nil"/>
                  </w:tcBorders>
                  <w:shd w:val="clear" w:color="auto" w:fill="auto"/>
                  <w:vAlign w:val="center"/>
                </w:tcPr>
                <w:p w14:paraId="66EC903E">
                  <w:pPr>
                    <w:spacing w:line="240" w:lineRule="exact"/>
                    <w:jc w:val="center"/>
                    <w:rPr>
                      <w:rFonts w:cs="Times New Roman"/>
                      <w:color w:val="auto"/>
                      <w:szCs w:val="21"/>
                    </w:rPr>
                  </w:pPr>
                  <w:r>
                    <w:rPr>
                      <w:rFonts w:cs="Times New Roman"/>
                      <w:color w:val="auto"/>
                      <w:szCs w:val="21"/>
                    </w:rPr>
                    <w:t>供水</w:t>
                  </w:r>
                </w:p>
              </w:tc>
              <w:tc>
                <w:tcPr>
                  <w:tcW w:w="2566" w:type="pct"/>
                  <w:tcBorders>
                    <w:tl2br w:val="nil"/>
                    <w:tr2bl w:val="nil"/>
                  </w:tcBorders>
                  <w:shd w:val="clear" w:color="auto" w:fill="auto"/>
                  <w:vAlign w:val="center"/>
                </w:tcPr>
                <w:p w14:paraId="3D44972C">
                  <w:pPr>
                    <w:spacing w:line="240" w:lineRule="exact"/>
                    <w:jc w:val="left"/>
                    <w:rPr>
                      <w:rFonts w:cs="Times New Roman"/>
                      <w:color w:val="auto"/>
                      <w:szCs w:val="21"/>
                    </w:rPr>
                  </w:pPr>
                  <w:r>
                    <w:rPr>
                      <w:rFonts w:hint="eastAsia" w:cs="Times New Roman"/>
                      <w:color w:val="auto"/>
                      <w:szCs w:val="21"/>
                      <w:lang w:eastAsia="zh-CN"/>
                    </w:rPr>
                    <w:t>项目</w:t>
                  </w:r>
                  <w:r>
                    <w:rPr>
                      <w:rFonts w:cs="Times New Roman"/>
                      <w:color w:val="auto"/>
                      <w:szCs w:val="21"/>
                    </w:rPr>
                    <w:t>生活用水、生产用水</w:t>
                  </w:r>
                  <w:r>
                    <w:rPr>
                      <w:rFonts w:hint="eastAsia" w:cs="Times New Roman"/>
                      <w:color w:val="auto"/>
                      <w:szCs w:val="21"/>
                      <w:lang w:val="en-US" w:eastAsia="zh-CN"/>
                    </w:rPr>
                    <w:t>来自附近场镇供水管网，依托半挂车项目已建的供水系统。</w:t>
                  </w:r>
                </w:p>
              </w:tc>
              <w:tc>
                <w:tcPr>
                  <w:tcW w:w="598" w:type="pct"/>
                  <w:vMerge w:val="continue"/>
                  <w:tcBorders>
                    <w:tl2br w:val="nil"/>
                    <w:tr2bl w:val="nil"/>
                  </w:tcBorders>
                  <w:shd w:val="clear" w:color="auto" w:fill="auto"/>
                  <w:vAlign w:val="center"/>
                </w:tcPr>
                <w:p w14:paraId="7DC8F49D">
                  <w:pPr>
                    <w:spacing w:line="240" w:lineRule="exact"/>
                    <w:jc w:val="center"/>
                    <w:rPr>
                      <w:rFonts w:cs="Times New Roman"/>
                      <w:color w:val="auto"/>
                      <w:szCs w:val="21"/>
                    </w:rPr>
                  </w:pPr>
                </w:p>
              </w:tc>
              <w:tc>
                <w:tcPr>
                  <w:tcW w:w="528" w:type="pct"/>
                  <w:tcBorders>
                    <w:tl2br w:val="nil"/>
                    <w:tr2bl w:val="nil"/>
                  </w:tcBorders>
                  <w:shd w:val="clear" w:color="auto" w:fill="auto"/>
                  <w:vAlign w:val="center"/>
                </w:tcPr>
                <w:p w14:paraId="18CCFBA0">
                  <w:pPr>
                    <w:spacing w:line="240" w:lineRule="exact"/>
                    <w:jc w:val="center"/>
                    <w:rPr>
                      <w:rFonts w:cs="Times New Roman"/>
                      <w:color w:val="auto"/>
                      <w:szCs w:val="21"/>
                    </w:rPr>
                  </w:pPr>
                  <w:r>
                    <w:rPr>
                      <w:rFonts w:cs="Times New Roman"/>
                      <w:color w:val="auto"/>
                      <w:szCs w:val="21"/>
                    </w:rPr>
                    <w:t>/</w:t>
                  </w:r>
                </w:p>
              </w:tc>
              <w:tc>
                <w:tcPr>
                  <w:tcW w:w="369" w:type="pct"/>
                  <w:tcBorders>
                    <w:tl2br w:val="nil"/>
                    <w:tr2bl w:val="nil"/>
                  </w:tcBorders>
                  <w:shd w:val="clear" w:color="auto" w:fill="auto"/>
                  <w:vAlign w:val="center"/>
                </w:tcPr>
                <w:p w14:paraId="7D63C538">
                  <w:pPr>
                    <w:spacing w:line="240" w:lineRule="exact"/>
                    <w:jc w:val="center"/>
                    <w:rPr>
                      <w:rFonts w:cs="Times New Roman"/>
                      <w:color w:val="auto"/>
                      <w:szCs w:val="21"/>
                    </w:rPr>
                  </w:pPr>
                  <w:r>
                    <w:rPr>
                      <w:rFonts w:hint="eastAsia" w:cs="Times New Roman"/>
                      <w:color w:val="auto"/>
                      <w:szCs w:val="21"/>
                      <w:lang w:eastAsia="zh-CN"/>
                    </w:rPr>
                    <w:t>依托</w:t>
                  </w:r>
                </w:p>
              </w:tc>
            </w:tr>
            <w:tr w14:paraId="69934E3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729" w:hRule="atLeast"/>
                <w:jc w:val="center"/>
              </w:trPr>
              <w:tc>
                <w:tcPr>
                  <w:tcW w:w="362" w:type="pct"/>
                  <w:vMerge w:val="continue"/>
                  <w:tcBorders>
                    <w:tl2br w:val="nil"/>
                    <w:tr2bl w:val="nil"/>
                  </w:tcBorders>
                  <w:shd w:val="clear" w:color="auto" w:fill="auto"/>
                  <w:vAlign w:val="center"/>
                </w:tcPr>
                <w:p w14:paraId="5826D04D">
                  <w:pPr>
                    <w:spacing w:line="240" w:lineRule="exact"/>
                    <w:jc w:val="center"/>
                    <w:rPr>
                      <w:rFonts w:cs="Times New Roman"/>
                      <w:color w:val="auto"/>
                      <w:szCs w:val="21"/>
                    </w:rPr>
                  </w:pPr>
                </w:p>
              </w:tc>
              <w:tc>
                <w:tcPr>
                  <w:tcW w:w="573" w:type="pct"/>
                  <w:gridSpan w:val="2"/>
                  <w:tcBorders>
                    <w:tl2br w:val="nil"/>
                    <w:tr2bl w:val="nil"/>
                  </w:tcBorders>
                  <w:shd w:val="clear" w:color="auto" w:fill="auto"/>
                  <w:vAlign w:val="center"/>
                </w:tcPr>
                <w:p w14:paraId="25C61E4D">
                  <w:pPr>
                    <w:spacing w:line="240" w:lineRule="exact"/>
                    <w:jc w:val="center"/>
                    <w:rPr>
                      <w:rFonts w:cs="Times New Roman"/>
                      <w:color w:val="auto"/>
                      <w:szCs w:val="21"/>
                    </w:rPr>
                  </w:pPr>
                  <w:r>
                    <w:rPr>
                      <w:rFonts w:cs="Times New Roman"/>
                      <w:color w:val="auto"/>
                      <w:szCs w:val="21"/>
                    </w:rPr>
                    <w:t>排水</w:t>
                  </w:r>
                </w:p>
              </w:tc>
              <w:tc>
                <w:tcPr>
                  <w:tcW w:w="2566" w:type="pct"/>
                  <w:tcBorders>
                    <w:tl2br w:val="nil"/>
                    <w:tr2bl w:val="nil"/>
                  </w:tcBorders>
                  <w:shd w:val="clear" w:color="auto" w:fill="auto"/>
                  <w:vAlign w:val="center"/>
                </w:tcPr>
                <w:p w14:paraId="6CAE5A2C">
                  <w:pPr>
                    <w:spacing w:line="240" w:lineRule="exact"/>
                    <w:rPr>
                      <w:rFonts w:cs="Times New Roman"/>
                      <w:color w:val="auto"/>
                      <w:szCs w:val="21"/>
                    </w:rPr>
                  </w:pPr>
                  <w:r>
                    <w:rPr>
                      <w:rFonts w:cs="Times New Roman"/>
                      <w:color w:val="auto"/>
                      <w:szCs w:val="21"/>
                    </w:rPr>
                    <w:t>生产车间外的雨水进入厂区</w:t>
                  </w:r>
                  <w:r>
                    <w:rPr>
                      <w:rFonts w:hint="eastAsia" w:cs="Times New Roman"/>
                      <w:color w:val="auto"/>
                      <w:szCs w:val="21"/>
                      <w:lang w:eastAsia="zh-CN"/>
                    </w:rPr>
                    <w:t>已建</w:t>
                  </w:r>
                  <w:r>
                    <w:rPr>
                      <w:rFonts w:cs="Times New Roman"/>
                      <w:color w:val="auto"/>
                      <w:szCs w:val="21"/>
                    </w:rPr>
                    <w:t>雨水沟后，排入附近雨水管网。项目生产</w:t>
                  </w:r>
                  <w:r>
                    <w:rPr>
                      <w:rFonts w:hint="eastAsia" w:cs="Times New Roman"/>
                      <w:color w:val="auto"/>
                      <w:szCs w:val="21"/>
                      <w:lang w:eastAsia="zh-CN"/>
                    </w:rPr>
                    <w:t>废水经沉淀后循环使用。</w:t>
                  </w:r>
                  <w:r>
                    <w:rPr>
                      <w:rFonts w:cs="Times New Roman"/>
                      <w:color w:val="auto"/>
                      <w:szCs w:val="21"/>
                    </w:rPr>
                    <w:t>生活污水依托天宇车业</w:t>
                  </w:r>
                  <w:r>
                    <w:rPr>
                      <w:rFonts w:hint="eastAsia" w:cs="Times New Roman"/>
                      <w:color w:val="auto"/>
                      <w:szCs w:val="21"/>
                      <w:lang w:eastAsia="zh-CN"/>
                    </w:rPr>
                    <w:t>在</w:t>
                  </w:r>
                  <w:r>
                    <w:rPr>
                      <w:rFonts w:hint="eastAsia" w:cs="Times New Roman"/>
                      <w:color w:val="auto"/>
                      <w:szCs w:val="21"/>
                      <w:lang w:val="en-US" w:eastAsia="zh-CN"/>
                    </w:rPr>
                    <w:t>1号</w:t>
                  </w:r>
                  <w:r>
                    <w:rPr>
                      <w:rFonts w:hint="eastAsia" w:cs="Times New Roman"/>
                      <w:color w:val="auto"/>
                      <w:szCs w:val="21"/>
                      <w:lang w:eastAsia="zh-CN"/>
                    </w:rPr>
                    <w:t>车间内</w:t>
                  </w:r>
                  <w:r>
                    <w:rPr>
                      <w:rFonts w:cs="Times New Roman"/>
                      <w:color w:val="auto"/>
                      <w:szCs w:val="21"/>
                    </w:rPr>
                    <w:t>已建的化粪池收集处理</w:t>
                  </w:r>
                  <w:r>
                    <w:rPr>
                      <w:rFonts w:hint="eastAsia" w:cs="Times New Roman"/>
                      <w:color w:val="auto"/>
                      <w:szCs w:val="21"/>
                      <w:lang w:eastAsia="zh-CN"/>
                    </w:rPr>
                    <w:t>。</w:t>
                  </w:r>
                </w:p>
              </w:tc>
              <w:tc>
                <w:tcPr>
                  <w:tcW w:w="598" w:type="pct"/>
                  <w:vMerge w:val="continue"/>
                  <w:tcBorders>
                    <w:tl2br w:val="nil"/>
                    <w:tr2bl w:val="nil"/>
                  </w:tcBorders>
                  <w:shd w:val="clear" w:color="auto" w:fill="auto"/>
                  <w:vAlign w:val="center"/>
                </w:tcPr>
                <w:p w14:paraId="787F3D0E">
                  <w:pPr>
                    <w:spacing w:line="240" w:lineRule="exact"/>
                    <w:jc w:val="center"/>
                    <w:rPr>
                      <w:rFonts w:cs="Times New Roman"/>
                      <w:color w:val="auto"/>
                      <w:szCs w:val="21"/>
                    </w:rPr>
                  </w:pPr>
                </w:p>
              </w:tc>
              <w:tc>
                <w:tcPr>
                  <w:tcW w:w="528" w:type="pct"/>
                  <w:tcBorders>
                    <w:tl2br w:val="nil"/>
                    <w:tr2bl w:val="nil"/>
                  </w:tcBorders>
                  <w:shd w:val="clear" w:color="auto" w:fill="auto"/>
                  <w:vAlign w:val="center"/>
                </w:tcPr>
                <w:p w14:paraId="4A97FAF7">
                  <w:pPr>
                    <w:spacing w:line="240" w:lineRule="exact"/>
                    <w:jc w:val="center"/>
                    <w:rPr>
                      <w:rFonts w:cs="Times New Roman"/>
                      <w:color w:val="auto"/>
                      <w:szCs w:val="21"/>
                    </w:rPr>
                  </w:pPr>
                  <w:r>
                    <w:rPr>
                      <w:rFonts w:cs="Times New Roman"/>
                      <w:color w:val="auto"/>
                      <w:szCs w:val="21"/>
                    </w:rPr>
                    <w:t>/</w:t>
                  </w:r>
                </w:p>
              </w:tc>
              <w:tc>
                <w:tcPr>
                  <w:tcW w:w="369" w:type="pct"/>
                  <w:tcBorders>
                    <w:tl2br w:val="nil"/>
                    <w:tr2bl w:val="nil"/>
                  </w:tcBorders>
                  <w:shd w:val="clear" w:color="auto" w:fill="auto"/>
                  <w:vAlign w:val="center"/>
                </w:tcPr>
                <w:p w14:paraId="42388C78">
                  <w:pPr>
                    <w:spacing w:line="240" w:lineRule="exact"/>
                    <w:jc w:val="center"/>
                    <w:rPr>
                      <w:rFonts w:cs="Times New Roman"/>
                      <w:color w:val="auto"/>
                      <w:szCs w:val="21"/>
                    </w:rPr>
                  </w:pPr>
                  <w:r>
                    <w:rPr>
                      <w:rFonts w:hint="eastAsia" w:cs="Times New Roman"/>
                      <w:color w:val="auto"/>
                      <w:szCs w:val="21"/>
                      <w:lang w:eastAsia="zh-CN"/>
                    </w:rPr>
                    <w:t>依托</w:t>
                  </w:r>
                </w:p>
              </w:tc>
            </w:tr>
            <w:tr w14:paraId="1D7E961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73" w:hRule="atLeast"/>
                <w:jc w:val="center"/>
              </w:trPr>
              <w:tc>
                <w:tcPr>
                  <w:tcW w:w="362" w:type="pct"/>
                  <w:vMerge w:val="continue"/>
                  <w:tcBorders>
                    <w:tl2br w:val="nil"/>
                    <w:tr2bl w:val="nil"/>
                  </w:tcBorders>
                  <w:shd w:val="clear" w:color="auto" w:fill="auto"/>
                  <w:vAlign w:val="center"/>
                </w:tcPr>
                <w:p w14:paraId="388DB008">
                  <w:pPr>
                    <w:spacing w:line="240" w:lineRule="exact"/>
                    <w:jc w:val="center"/>
                    <w:rPr>
                      <w:rFonts w:cs="Times New Roman"/>
                      <w:color w:val="auto"/>
                      <w:szCs w:val="21"/>
                    </w:rPr>
                  </w:pPr>
                </w:p>
              </w:tc>
              <w:tc>
                <w:tcPr>
                  <w:tcW w:w="573" w:type="pct"/>
                  <w:gridSpan w:val="2"/>
                  <w:tcBorders>
                    <w:tl2br w:val="nil"/>
                    <w:tr2bl w:val="nil"/>
                  </w:tcBorders>
                  <w:shd w:val="clear" w:color="auto" w:fill="auto"/>
                  <w:vAlign w:val="center"/>
                </w:tcPr>
                <w:p w14:paraId="354DF41D">
                  <w:pPr>
                    <w:spacing w:line="240" w:lineRule="exact"/>
                    <w:jc w:val="center"/>
                    <w:rPr>
                      <w:rFonts w:hint="eastAsia" w:eastAsia="宋体" w:cs="Times New Roman"/>
                      <w:color w:val="auto"/>
                      <w:szCs w:val="21"/>
                      <w:lang w:eastAsia="zh-CN"/>
                    </w:rPr>
                  </w:pPr>
                  <w:r>
                    <w:rPr>
                      <w:rFonts w:hint="eastAsia" w:cs="Times New Roman"/>
                      <w:color w:val="auto"/>
                      <w:szCs w:val="21"/>
                      <w:lang w:eastAsia="zh-CN"/>
                    </w:rPr>
                    <w:t>运输道路</w:t>
                  </w:r>
                </w:p>
              </w:tc>
              <w:tc>
                <w:tcPr>
                  <w:tcW w:w="2566" w:type="pct"/>
                  <w:tcBorders>
                    <w:tl2br w:val="nil"/>
                    <w:tr2bl w:val="nil"/>
                  </w:tcBorders>
                  <w:shd w:val="clear" w:color="auto" w:fill="auto"/>
                  <w:vAlign w:val="center"/>
                </w:tcPr>
                <w:p w14:paraId="6A075E06">
                  <w:pPr>
                    <w:spacing w:line="240" w:lineRule="exact"/>
                    <w:rPr>
                      <w:rFonts w:cs="Times New Roman"/>
                      <w:color w:val="auto"/>
                      <w:szCs w:val="21"/>
                    </w:rPr>
                  </w:pPr>
                  <w:r>
                    <w:rPr>
                      <w:rFonts w:hint="eastAsia" w:cs="Times New Roman"/>
                      <w:color w:val="auto"/>
                      <w:szCs w:val="21"/>
                      <w:lang w:val="en-US" w:eastAsia="zh-CN"/>
                    </w:rPr>
                    <w:t>依托半挂车项目已建道路开展运输作业。</w:t>
                  </w:r>
                </w:p>
              </w:tc>
              <w:tc>
                <w:tcPr>
                  <w:tcW w:w="598" w:type="pct"/>
                  <w:vMerge w:val="continue"/>
                  <w:tcBorders>
                    <w:tl2br w:val="nil"/>
                    <w:tr2bl w:val="nil"/>
                  </w:tcBorders>
                  <w:shd w:val="clear" w:color="auto" w:fill="auto"/>
                  <w:vAlign w:val="center"/>
                </w:tcPr>
                <w:p w14:paraId="33C5EC4A">
                  <w:pPr>
                    <w:spacing w:line="240" w:lineRule="exact"/>
                    <w:jc w:val="center"/>
                    <w:rPr>
                      <w:rFonts w:cs="Times New Roman"/>
                      <w:color w:val="auto"/>
                      <w:szCs w:val="21"/>
                    </w:rPr>
                  </w:pPr>
                </w:p>
              </w:tc>
              <w:tc>
                <w:tcPr>
                  <w:tcW w:w="528" w:type="pct"/>
                  <w:tcBorders>
                    <w:tl2br w:val="nil"/>
                    <w:tr2bl w:val="nil"/>
                  </w:tcBorders>
                  <w:shd w:val="clear" w:color="auto" w:fill="auto"/>
                  <w:vAlign w:val="center"/>
                </w:tcPr>
                <w:p w14:paraId="52D12306">
                  <w:pPr>
                    <w:spacing w:line="240" w:lineRule="exact"/>
                    <w:jc w:val="center"/>
                    <w:rPr>
                      <w:rFonts w:ascii="Times New Roman" w:hAnsi="Times New Roman" w:eastAsia="宋体" w:cs="Times New Roman"/>
                      <w:color w:val="auto"/>
                      <w:kern w:val="2"/>
                      <w:sz w:val="21"/>
                      <w:szCs w:val="21"/>
                      <w:lang w:val="en-US" w:eastAsia="zh-CN" w:bidi="ar-SA"/>
                    </w:rPr>
                  </w:pPr>
                  <w:r>
                    <w:rPr>
                      <w:rFonts w:cs="Times New Roman"/>
                      <w:color w:val="auto"/>
                      <w:szCs w:val="21"/>
                    </w:rPr>
                    <w:t>噪声</w:t>
                  </w:r>
                  <w:r>
                    <w:rPr>
                      <w:rFonts w:hint="eastAsia" w:cs="Times New Roman"/>
                      <w:color w:val="auto"/>
                      <w:szCs w:val="21"/>
                      <w:lang w:eastAsia="zh-CN"/>
                    </w:rPr>
                    <w:t>、扬尘</w:t>
                  </w:r>
                </w:p>
              </w:tc>
              <w:tc>
                <w:tcPr>
                  <w:tcW w:w="369" w:type="pct"/>
                  <w:tcBorders>
                    <w:tl2br w:val="nil"/>
                    <w:tr2bl w:val="nil"/>
                  </w:tcBorders>
                  <w:shd w:val="clear" w:color="auto" w:fill="auto"/>
                  <w:vAlign w:val="center"/>
                </w:tcPr>
                <w:p w14:paraId="0F9AFA99">
                  <w:pPr>
                    <w:spacing w:line="240" w:lineRule="exact"/>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szCs w:val="21"/>
                      <w:lang w:eastAsia="zh-CN"/>
                    </w:rPr>
                    <w:t>依托</w:t>
                  </w:r>
                </w:p>
              </w:tc>
            </w:tr>
            <w:tr w14:paraId="30CED17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1004" w:hRule="atLeast"/>
                <w:jc w:val="center"/>
              </w:trPr>
              <w:tc>
                <w:tcPr>
                  <w:tcW w:w="362" w:type="pct"/>
                  <w:vMerge w:val="restart"/>
                  <w:tcBorders>
                    <w:tl2br w:val="nil"/>
                    <w:tr2bl w:val="nil"/>
                  </w:tcBorders>
                  <w:shd w:val="clear" w:color="auto" w:fill="auto"/>
                  <w:vAlign w:val="center"/>
                </w:tcPr>
                <w:p w14:paraId="7DD7375B">
                  <w:pPr>
                    <w:spacing w:line="240" w:lineRule="exact"/>
                    <w:jc w:val="center"/>
                    <w:rPr>
                      <w:rFonts w:cs="Times New Roman"/>
                      <w:color w:val="auto"/>
                      <w:szCs w:val="21"/>
                    </w:rPr>
                  </w:pPr>
                  <w:r>
                    <w:rPr>
                      <w:rFonts w:cs="Times New Roman"/>
                      <w:color w:val="auto"/>
                      <w:szCs w:val="21"/>
                    </w:rPr>
                    <w:t>环保工程</w:t>
                  </w:r>
                </w:p>
              </w:tc>
              <w:tc>
                <w:tcPr>
                  <w:tcW w:w="307" w:type="pct"/>
                  <w:vMerge w:val="restart"/>
                  <w:tcBorders>
                    <w:tl2br w:val="nil"/>
                    <w:tr2bl w:val="nil"/>
                  </w:tcBorders>
                  <w:shd w:val="clear" w:color="auto" w:fill="auto"/>
                  <w:vAlign w:val="center"/>
                </w:tcPr>
                <w:p w14:paraId="00FCCB6C">
                  <w:pPr>
                    <w:spacing w:line="240" w:lineRule="exact"/>
                    <w:jc w:val="center"/>
                    <w:rPr>
                      <w:rFonts w:hint="eastAsia" w:eastAsia="宋体" w:cs="Times New Roman"/>
                      <w:bCs/>
                      <w:color w:val="auto"/>
                      <w:kern w:val="0"/>
                      <w:szCs w:val="21"/>
                      <w:lang w:eastAsia="zh-CN"/>
                    </w:rPr>
                  </w:pPr>
                  <w:r>
                    <w:rPr>
                      <w:rFonts w:cs="Times New Roman"/>
                      <w:bCs/>
                      <w:color w:val="auto"/>
                      <w:szCs w:val="21"/>
                    </w:rPr>
                    <w:t>废气</w:t>
                  </w:r>
                  <w:r>
                    <w:rPr>
                      <w:rFonts w:hint="eastAsia" w:cs="Times New Roman"/>
                      <w:bCs/>
                      <w:color w:val="auto"/>
                      <w:szCs w:val="21"/>
                      <w:lang w:eastAsia="zh-CN"/>
                    </w:rPr>
                    <w:t>处理</w:t>
                  </w:r>
                </w:p>
              </w:tc>
              <w:tc>
                <w:tcPr>
                  <w:tcW w:w="266" w:type="pct"/>
                  <w:tcBorders>
                    <w:tl2br w:val="nil"/>
                    <w:tr2bl w:val="nil"/>
                  </w:tcBorders>
                  <w:shd w:val="clear" w:color="auto" w:fill="auto"/>
                  <w:vAlign w:val="center"/>
                </w:tcPr>
                <w:p w14:paraId="0C0D933F">
                  <w:pPr>
                    <w:adjustRightInd w:val="0"/>
                    <w:snapToGrid w:val="0"/>
                    <w:spacing w:line="240" w:lineRule="exact"/>
                    <w:ind w:left="-48" w:leftChars="-23" w:right="-36" w:rightChars="-17"/>
                    <w:jc w:val="center"/>
                    <w:rPr>
                      <w:rFonts w:cs="Times New Roman"/>
                      <w:snapToGrid w:val="0"/>
                      <w:color w:val="auto"/>
                      <w:kern w:val="0"/>
                      <w:szCs w:val="21"/>
                    </w:rPr>
                  </w:pPr>
                  <w:r>
                    <w:rPr>
                      <w:rFonts w:cs="Times New Roman"/>
                      <w:snapToGrid w:val="0"/>
                      <w:color w:val="auto"/>
                      <w:kern w:val="0"/>
                      <w:szCs w:val="21"/>
                    </w:rPr>
                    <w:t>石材加工粉尘</w:t>
                  </w:r>
                </w:p>
              </w:tc>
              <w:tc>
                <w:tcPr>
                  <w:tcW w:w="2566" w:type="pct"/>
                  <w:tcBorders>
                    <w:tl2br w:val="nil"/>
                    <w:tr2bl w:val="nil"/>
                  </w:tcBorders>
                  <w:shd w:val="clear" w:color="auto" w:fill="auto"/>
                  <w:vAlign w:val="center"/>
                </w:tcPr>
                <w:p w14:paraId="3CB6A57B">
                  <w:pPr>
                    <w:spacing w:line="240" w:lineRule="exact"/>
                    <w:jc w:val="left"/>
                    <w:rPr>
                      <w:rFonts w:cs="Times New Roman"/>
                      <w:bCs/>
                      <w:color w:val="auto"/>
                      <w:szCs w:val="21"/>
                    </w:rPr>
                  </w:pPr>
                  <w:r>
                    <w:rPr>
                      <w:rFonts w:hint="eastAsia" w:cs="Times New Roman"/>
                      <w:bCs/>
                      <w:color w:val="auto"/>
                      <w:kern w:val="0"/>
                      <w:szCs w:val="21"/>
                      <w:lang w:eastAsia="zh-CN"/>
                    </w:rPr>
                    <w:t>生产</w:t>
                  </w:r>
                  <w:r>
                    <w:rPr>
                      <w:rFonts w:cs="Times New Roman"/>
                      <w:bCs/>
                      <w:color w:val="auto"/>
                      <w:kern w:val="0"/>
                      <w:szCs w:val="21"/>
                    </w:rPr>
                    <w:t>车间为全封闭</w:t>
                  </w:r>
                  <w:r>
                    <w:rPr>
                      <w:rFonts w:hint="eastAsia" w:cs="Times New Roman"/>
                      <w:bCs/>
                      <w:color w:val="auto"/>
                      <w:kern w:val="0"/>
                      <w:szCs w:val="21"/>
                      <w:lang w:eastAsia="zh-CN"/>
                    </w:rPr>
                    <w:t>钢结构厂房</w:t>
                  </w:r>
                  <w:r>
                    <w:rPr>
                      <w:rFonts w:cs="Times New Roman"/>
                      <w:bCs/>
                      <w:color w:val="auto"/>
                      <w:kern w:val="0"/>
                      <w:szCs w:val="21"/>
                    </w:rPr>
                    <w:t>（只留车辆出入口），各</w:t>
                  </w:r>
                  <w:r>
                    <w:rPr>
                      <w:rFonts w:hint="eastAsia" w:cs="Times New Roman"/>
                      <w:bCs/>
                      <w:color w:val="auto"/>
                      <w:kern w:val="0"/>
                      <w:szCs w:val="21"/>
                      <w:lang w:eastAsia="zh-CN"/>
                    </w:rPr>
                    <w:t>生产</w:t>
                  </w:r>
                  <w:r>
                    <w:rPr>
                      <w:rFonts w:cs="Times New Roman"/>
                      <w:color w:val="auto"/>
                      <w:szCs w:val="21"/>
                    </w:rPr>
                    <w:t>设备均布置于厂房内。切割、雕刻、</w:t>
                  </w:r>
                  <w:r>
                    <w:rPr>
                      <w:rFonts w:hint="eastAsia" w:cs="Times New Roman"/>
                      <w:color w:val="auto"/>
                      <w:szCs w:val="21"/>
                      <w:lang w:eastAsia="zh-CN"/>
                    </w:rPr>
                    <w:t>抛磨</w:t>
                  </w:r>
                  <w:r>
                    <w:rPr>
                      <w:rFonts w:cs="Times New Roman"/>
                      <w:color w:val="auto"/>
                      <w:szCs w:val="21"/>
                    </w:rPr>
                    <w:t>处理工序均采取设置自动喷水设施，采取湿法作业。</w:t>
                  </w:r>
                </w:p>
              </w:tc>
              <w:tc>
                <w:tcPr>
                  <w:tcW w:w="598" w:type="pct"/>
                  <w:vMerge w:val="continue"/>
                  <w:tcBorders>
                    <w:tl2br w:val="nil"/>
                    <w:tr2bl w:val="nil"/>
                  </w:tcBorders>
                  <w:shd w:val="clear" w:color="auto" w:fill="auto"/>
                  <w:vAlign w:val="center"/>
                </w:tcPr>
                <w:p w14:paraId="68EC6644">
                  <w:pPr>
                    <w:spacing w:line="240" w:lineRule="exact"/>
                    <w:jc w:val="center"/>
                    <w:rPr>
                      <w:rFonts w:cs="Times New Roman"/>
                      <w:color w:val="auto"/>
                      <w:szCs w:val="21"/>
                    </w:rPr>
                  </w:pPr>
                </w:p>
              </w:tc>
              <w:tc>
                <w:tcPr>
                  <w:tcW w:w="528" w:type="pct"/>
                  <w:tcBorders>
                    <w:tl2br w:val="nil"/>
                    <w:tr2bl w:val="nil"/>
                  </w:tcBorders>
                  <w:shd w:val="clear" w:color="auto" w:fill="auto"/>
                  <w:vAlign w:val="center"/>
                </w:tcPr>
                <w:p w14:paraId="6EB9FD20">
                  <w:pPr>
                    <w:adjustRightInd w:val="0"/>
                    <w:snapToGrid w:val="0"/>
                    <w:spacing w:line="240" w:lineRule="exact"/>
                    <w:ind w:left="-48" w:leftChars="-23" w:right="-36" w:rightChars="-17"/>
                    <w:jc w:val="center"/>
                    <w:rPr>
                      <w:rFonts w:cs="Times New Roman"/>
                      <w:snapToGrid w:val="0"/>
                      <w:color w:val="auto"/>
                      <w:kern w:val="0"/>
                      <w:szCs w:val="21"/>
                    </w:rPr>
                  </w:pPr>
                  <w:r>
                    <w:rPr>
                      <w:rFonts w:cs="Times New Roman"/>
                      <w:snapToGrid w:val="0"/>
                      <w:color w:val="auto"/>
                      <w:kern w:val="0"/>
                      <w:szCs w:val="21"/>
                    </w:rPr>
                    <w:t>/</w:t>
                  </w:r>
                </w:p>
              </w:tc>
              <w:tc>
                <w:tcPr>
                  <w:tcW w:w="369" w:type="pct"/>
                  <w:tcBorders>
                    <w:tl2br w:val="nil"/>
                    <w:tr2bl w:val="nil"/>
                  </w:tcBorders>
                  <w:shd w:val="clear" w:color="auto" w:fill="auto"/>
                  <w:vAlign w:val="center"/>
                </w:tcPr>
                <w:p w14:paraId="68C86BE9">
                  <w:pPr>
                    <w:adjustRightInd w:val="0"/>
                    <w:snapToGrid w:val="0"/>
                    <w:spacing w:line="240" w:lineRule="exact"/>
                    <w:ind w:left="-48" w:leftChars="-23" w:right="-36" w:rightChars="-17"/>
                    <w:jc w:val="center"/>
                    <w:rPr>
                      <w:rFonts w:cs="Times New Roman"/>
                      <w:snapToGrid w:val="0"/>
                      <w:color w:val="auto"/>
                      <w:kern w:val="0"/>
                      <w:szCs w:val="21"/>
                    </w:rPr>
                  </w:pPr>
                  <w:r>
                    <w:rPr>
                      <w:rFonts w:hint="eastAsia" w:cs="Times New Roman"/>
                      <w:color w:val="auto"/>
                      <w:szCs w:val="21"/>
                      <w:lang w:eastAsia="zh-CN"/>
                    </w:rPr>
                    <w:t>新建</w:t>
                  </w:r>
                </w:p>
              </w:tc>
            </w:tr>
            <w:tr w14:paraId="377E35F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768" w:hRule="atLeast"/>
                <w:jc w:val="center"/>
              </w:trPr>
              <w:tc>
                <w:tcPr>
                  <w:tcW w:w="362" w:type="pct"/>
                  <w:vMerge w:val="continue"/>
                  <w:tcBorders>
                    <w:tl2br w:val="nil"/>
                    <w:tr2bl w:val="nil"/>
                  </w:tcBorders>
                  <w:shd w:val="clear" w:color="auto" w:fill="auto"/>
                  <w:vAlign w:val="center"/>
                </w:tcPr>
                <w:p w14:paraId="09E660F0">
                  <w:pPr>
                    <w:spacing w:line="240" w:lineRule="exact"/>
                    <w:jc w:val="center"/>
                    <w:rPr>
                      <w:rFonts w:cs="Times New Roman"/>
                      <w:color w:val="auto"/>
                      <w:szCs w:val="21"/>
                    </w:rPr>
                  </w:pPr>
                </w:p>
              </w:tc>
              <w:tc>
                <w:tcPr>
                  <w:tcW w:w="307" w:type="pct"/>
                  <w:vMerge w:val="continue"/>
                  <w:tcBorders>
                    <w:tl2br w:val="nil"/>
                    <w:tr2bl w:val="nil"/>
                  </w:tcBorders>
                  <w:shd w:val="clear" w:color="auto" w:fill="auto"/>
                  <w:vAlign w:val="center"/>
                </w:tcPr>
                <w:p w14:paraId="14CC30BC">
                  <w:pPr>
                    <w:spacing w:line="240" w:lineRule="exact"/>
                    <w:jc w:val="center"/>
                    <w:rPr>
                      <w:rFonts w:cs="Times New Roman"/>
                      <w:bCs/>
                      <w:color w:val="auto"/>
                      <w:szCs w:val="21"/>
                    </w:rPr>
                  </w:pPr>
                </w:p>
              </w:tc>
              <w:tc>
                <w:tcPr>
                  <w:tcW w:w="266" w:type="pct"/>
                  <w:tcBorders>
                    <w:tl2br w:val="nil"/>
                    <w:tr2bl w:val="nil"/>
                  </w:tcBorders>
                  <w:shd w:val="clear" w:color="auto" w:fill="auto"/>
                  <w:vAlign w:val="center"/>
                </w:tcPr>
                <w:p w14:paraId="252A637E">
                  <w:pPr>
                    <w:adjustRightInd w:val="0"/>
                    <w:snapToGrid w:val="0"/>
                    <w:spacing w:line="240" w:lineRule="exact"/>
                    <w:ind w:left="-48" w:leftChars="-23" w:right="-36" w:rightChars="-17"/>
                    <w:jc w:val="center"/>
                    <w:rPr>
                      <w:rFonts w:cs="Times New Roman"/>
                      <w:snapToGrid w:val="0"/>
                      <w:color w:val="auto"/>
                      <w:kern w:val="0"/>
                      <w:szCs w:val="21"/>
                    </w:rPr>
                  </w:pPr>
                  <w:r>
                    <w:rPr>
                      <w:rFonts w:hint="eastAsia" w:cs="Times New Roman"/>
                      <w:snapToGrid w:val="0"/>
                      <w:color w:val="auto"/>
                      <w:kern w:val="0"/>
                      <w:szCs w:val="21"/>
                    </w:rPr>
                    <w:t>石材喷砂粉尘</w:t>
                  </w:r>
                </w:p>
              </w:tc>
              <w:tc>
                <w:tcPr>
                  <w:tcW w:w="2566" w:type="pct"/>
                  <w:tcBorders>
                    <w:tl2br w:val="nil"/>
                    <w:tr2bl w:val="nil"/>
                  </w:tcBorders>
                  <w:shd w:val="clear" w:color="auto" w:fill="auto"/>
                  <w:vAlign w:val="center"/>
                </w:tcPr>
                <w:p w14:paraId="22EA51BA">
                  <w:pPr>
                    <w:spacing w:line="240" w:lineRule="exact"/>
                    <w:jc w:val="left"/>
                    <w:rPr>
                      <w:rFonts w:cs="Times New Roman"/>
                      <w:bCs/>
                      <w:color w:val="auto"/>
                      <w:kern w:val="0"/>
                      <w:szCs w:val="21"/>
                    </w:rPr>
                  </w:pPr>
                  <w:r>
                    <w:rPr>
                      <w:rFonts w:cs="Times New Roman"/>
                      <w:color w:val="auto"/>
                      <w:szCs w:val="21"/>
                    </w:rPr>
                    <w:t>喷砂粉尘经设备自带布袋除尘装置处理后，在厂房内无组织排放。</w:t>
                  </w:r>
                </w:p>
              </w:tc>
              <w:tc>
                <w:tcPr>
                  <w:tcW w:w="598" w:type="pct"/>
                  <w:vMerge w:val="continue"/>
                  <w:tcBorders>
                    <w:tl2br w:val="nil"/>
                    <w:tr2bl w:val="nil"/>
                  </w:tcBorders>
                  <w:shd w:val="clear" w:color="auto" w:fill="auto"/>
                  <w:vAlign w:val="center"/>
                </w:tcPr>
                <w:p w14:paraId="22145054">
                  <w:pPr>
                    <w:spacing w:line="240" w:lineRule="exact"/>
                    <w:jc w:val="center"/>
                    <w:rPr>
                      <w:rFonts w:cs="Times New Roman"/>
                      <w:color w:val="auto"/>
                      <w:szCs w:val="21"/>
                    </w:rPr>
                  </w:pPr>
                </w:p>
              </w:tc>
              <w:tc>
                <w:tcPr>
                  <w:tcW w:w="528" w:type="pct"/>
                  <w:tcBorders>
                    <w:tl2br w:val="nil"/>
                    <w:tr2bl w:val="nil"/>
                  </w:tcBorders>
                  <w:shd w:val="clear" w:color="auto" w:fill="auto"/>
                  <w:vAlign w:val="center"/>
                </w:tcPr>
                <w:p w14:paraId="6719393D">
                  <w:pPr>
                    <w:spacing w:line="240" w:lineRule="exact"/>
                    <w:jc w:val="center"/>
                    <w:rPr>
                      <w:rFonts w:cs="Times New Roman"/>
                      <w:color w:val="auto"/>
                      <w:szCs w:val="21"/>
                    </w:rPr>
                  </w:pPr>
                  <w:r>
                    <w:rPr>
                      <w:rFonts w:cs="Times New Roman"/>
                      <w:snapToGrid w:val="0"/>
                      <w:color w:val="auto"/>
                      <w:kern w:val="0"/>
                      <w:szCs w:val="21"/>
                    </w:rPr>
                    <w:t>/</w:t>
                  </w:r>
                </w:p>
              </w:tc>
              <w:tc>
                <w:tcPr>
                  <w:tcW w:w="369" w:type="pct"/>
                  <w:tcBorders>
                    <w:tl2br w:val="nil"/>
                    <w:tr2bl w:val="nil"/>
                  </w:tcBorders>
                  <w:shd w:val="clear" w:color="auto" w:fill="auto"/>
                  <w:vAlign w:val="center"/>
                </w:tcPr>
                <w:p w14:paraId="3B6C5417">
                  <w:pPr>
                    <w:spacing w:line="240" w:lineRule="exact"/>
                    <w:jc w:val="center"/>
                    <w:rPr>
                      <w:rFonts w:cs="Times New Roman"/>
                      <w:snapToGrid w:val="0"/>
                      <w:color w:val="auto"/>
                      <w:kern w:val="0"/>
                      <w:szCs w:val="21"/>
                    </w:rPr>
                  </w:pPr>
                  <w:r>
                    <w:rPr>
                      <w:rFonts w:hint="eastAsia" w:cs="Times New Roman"/>
                      <w:color w:val="auto"/>
                      <w:szCs w:val="21"/>
                      <w:lang w:eastAsia="zh-CN"/>
                    </w:rPr>
                    <w:t>新建</w:t>
                  </w:r>
                </w:p>
              </w:tc>
            </w:tr>
            <w:tr w14:paraId="5FE8C07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768" w:hRule="atLeast"/>
                <w:jc w:val="center"/>
              </w:trPr>
              <w:tc>
                <w:tcPr>
                  <w:tcW w:w="362" w:type="pct"/>
                  <w:vMerge w:val="continue"/>
                  <w:tcBorders>
                    <w:tl2br w:val="nil"/>
                    <w:tr2bl w:val="nil"/>
                  </w:tcBorders>
                  <w:shd w:val="clear" w:color="auto" w:fill="auto"/>
                  <w:vAlign w:val="center"/>
                </w:tcPr>
                <w:p w14:paraId="24E480D1">
                  <w:pPr>
                    <w:spacing w:line="240" w:lineRule="exact"/>
                    <w:jc w:val="center"/>
                    <w:rPr>
                      <w:rFonts w:cs="Times New Roman"/>
                      <w:color w:val="auto"/>
                      <w:szCs w:val="21"/>
                    </w:rPr>
                  </w:pPr>
                </w:p>
              </w:tc>
              <w:tc>
                <w:tcPr>
                  <w:tcW w:w="307" w:type="pct"/>
                  <w:vMerge w:val="continue"/>
                  <w:tcBorders>
                    <w:tl2br w:val="nil"/>
                    <w:tr2bl w:val="nil"/>
                  </w:tcBorders>
                  <w:shd w:val="clear" w:color="auto" w:fill="auto"/>
                  <w:vAlign w:val="center"/>
                </w:tcPr>
                <w:p w14:paraId="0F5DA313">
                  <w:pPr>
                    <w:tabs>
                      <w:tab w:val="left" w:pos="993"/>
                      <w:tab w:val="left" w:pos="1134"/>
                    </w:tabs>
                    <w:spacing w:line="240" w:lineRule="exact"/>
                    <w:jc w:val="center"/>
                    <w:rPr>
                      <w:rFonts w:cs="Times New Roman"/>
                      <w:bCs/>
                      <w:color w:val="auto"/>
                      <w:szCs w:val="21"/>
                    </w:rPr>
                  </w:pPr>
                </w:p>
              </w:tc>
              <w:tc>
                <w:tcPr>
                  <w:tcW w:w="266" w:type="pct"/>
                  <w:tcBorders>
                    <w:tl2br w:val="nil"/>
                    <w:tr2bl w:val="nil"/>
                  </w:tcBorders>
                  <w:shd w:val="clear" w:color="auto" w:fill="auto"/>
                  <w:vAlign w:val="center"/>
                </w:tcPr>
                <w:p w14:paraId="36EDCA4D">
                  <w:pPr>
                    <w:adjustRightInd w:val="0"/>
                    <w:snapToGrid w:val="0"/>
                    <w:spacing w:line="240" w:lineRule="exact"/>
                    <w:ind w:left="-48" w:leftChars="-23" w:right="-36" w:rightChars="-17"/>
                    <w:jc w:val="center"/>
                    <w:rPr>
                      <w:rFonts w:cs="Times New Roman"/>
                      <w:snapToGrid w:val="0"/>
                      <w:color w:val="auto"/>
                      <w:kern w:val="0"/>
                      <w:szCs w:val="21"/>
                    </w:rPr>
                  </w:pPr>
                  <w:r>
                    <w:rPr>
                      <w:rFonts w:cs="Times New Roman"/>
                      <w:snapToGrid w:val="0"/>
                      <w:color w:val="auto"/>
                      <w:kern w:val="0"/>
                      <w:szCs w:val="21"/>
                    </w:rPr>
                    <w:t>车辆运输扬尘</w:t>
                  </w:r>
                </w:p>
              </w:tc>
              <w:tc>
                <w:tcPr>
                  <w:tcW w:w="2566" w:type="pct"/>
                  <w:tcBorders>
                    <w:tl2br w:val="nil"/>
                    <w:tr2bl w:val="nil"/>
                  </w:tcBorders>
                  <w:shd w:val="clear" w:color="auto" w:fill="auto"/>
                  <w:vAlign w:val="center"/>
                </w:tcPr>
                <w:p w14:paraId="11BF51E0">
                  <w:pPr>
                    <w:tabs>
                      <w:tab w:val="left" w:pos="993"/>
                      <w:tab w:val="left" w:pos="1134"/>
                    </w:tabs>
                    <w:spacing w:line="240" w:lineRule="exact"/>
                    <w:jc w:val="left"/>
                    <w:rPr>
                      <w:rFonts w:cs="Times New Roman"/>
                      <w:bCs/>
                      <w:color w:val="auto"/>
                      <w:szCs w:val="21"/>
                    </w:rPr>
                  </w:pPr>
                  <w:r>
                    <w:rPr>
                      <w:rFonts w:cs="Times New Roman"/>
                      <w:bCs/>
                      <w:color w:val="auto"/>
                      <w:szCs w:val="21"/>
                    </w:rPr>
                    <w:t>厂区路面</w:t>
                  </w:r>
                  <w:r>
                    <w:rPr>
                      <w:rFonts w:hint="eastAsia" w:cs="Times New Roman"/>
                      <w:bCs/>
                      <w:color w:val="auto"/>
                      <w:szCs w:val="21"/>
                      <w:lang w:eastAsia="zh-CN"/>
                    </w:rPr>
                    <w:t>水泥</w:t>
                  </w:r>
                  <w:r>
                    <w:rPr>
                      <w:rFonts w:cs="Times New Roman"/>
                      <w:bCs/>
                      <w:color w:val="auto"/>
                      <w:szCs w:val="21"/>
                    </w:rPr>
                    <w:t>硬化，</w:t>
                  </w:r>
                  <w:r>
                    <w:rPr>
                      <w:rFonts w:hint="eastAsia" w:cs="Times New Roman"/>
                      <w:bCs/>
                      <w:color w:val="auto"/>
                      <w:szCs w:val="21"/>
                      <w:lang w:eastAsia="zh-CN"/>
                    </w:rPr>
                    <w:t>禁止超速，安排专人定期清扫、</w:t>
                  </w:r>
                  <w:r>
                    <w:rPr>
                      <w:rFonts w:cs="Times New Roman"/>
                      <w:bCs/>
                      <w:color w:val="auto"/>
                      <w:szCs w:val="21"/>
                    </w:rPr>
                    <w:t>洒水降尘。</w:t>
                  </w:r>
                </w:p>
              </w:tc>
              <w:tc>
                <w:tcPr>
                  <w:tcW w:w="598" w:type="pct"/>
                  <w:vMerge w:val="continue"/>
                  <w:tcBorders>
                    <w:tl2br w:val="nil"/>
                    <w:tr2bl w:val="nil"/>
                  </w:tcBorders>
                  <w:shd w:val="clear" w:color="auto" w:fill="auto"/>
                  <w:vAlign w:val="center"/>
                </w:tcPr>
                <w:p w14:paraId="1476F76E">
                  <w:pPr>
                    <w:spacing w:line="240" w:lineRule="exact"/>
                    <w:jc w:val="center"/>
                    <w:rPr>
                      <w:rFonts w:cs="Times New Roman"/>
                      <w:color w:val="auto"/>
                      <w:szCs w:val="21"/>
                    </w:rPr>
                  </w:pPr>
                </w:p>
              </w:tc>
              <w:tc>
                <w:tcPr>
                  <w:tcW w:w="528" w:type="pct"/>
                  <w:tcBorders>
                    <w:tl2br w:val="nil"/>
                    <w:tr2bl w:val="nil"/>
                  </w:tcBorders>
                  <w:shd w:val="clear" w:color="auto" w:fill="auto"/>
                  <w:vAlign w:val="center"/>
                </w:tcPr>
                <w:p w14:paraId="58064C50">
                  <w:pPr>
                    <w:spacing w:line="240" w:lineRule="exact"/>
                    <w:jc w:val="center"/>
                    <w:rPr>
                      <w:rFonts w:cs="Times New Roman"/>
                      <w:color w:val="auto"/>
                      <w:szCs w:val="21"/>
                    </w:rPr>
                  </w:pPr>
                  <w:r>
                    <w:rPr>
                      <w:rFonts w:cs="Times New Roman"/>
                      <w:snapToGrid w:val="0"/>
                      <w:color w:val="auto"/>
                      <w:kern w:val="0"/>
                      <w:szCs w:val="21"/>
                    </w:rPr>
                    <w:t>/</w:t>
                  </w:r>
                </w:p>
              </w:tc>
              <w:tc>
                <w:tcPr>
                  <w:tcW w:w="369" w:type="pct"/>
                  <w:tcBorders>
                    <w:tl2br w:val="nil"/>
                    <w:tr2bl w:val="nil"/>
                  </w:tcBorders>
                  <w:shd w:val="clear" w:color="auto" w:fill="auto"/>
                  <w:vAlign w:val="center"/>
                </w:tcPr>
                <w:p w14:paraId="0AEAF8E8">
                  <w:pPr>
                    <w:spacing w:line="240" w:lineRule="exact"/>
                    <w:jc w:val="center"/>
                    <w:rPr>
                      <w:rFonts w:cs="Times New Roman"/>
                      <w:snapToGrid w:val="0"/>
                      <w:color w:val="auto"/>
                      <w:kern w:val="0"/>
                      <w:szCs w:val="21"/>
                    </w:rPr>
                  </w:pPr>
                  <w:r>
                    <w:rPr>
                      <w:rFonts w:hint="eastAsia" w:cs="Times New Roman"/>
                      <w:color w:val="auto"/>
                      <w:szCs w:val="21"/>
                      <w:lang w:eastAsia="zh-CN"/>
                    </w:rPr>
                    <w:t>新建</w:t>
                  </w:r>
                </w:p>
              </w:tc>
            </w:tr>
            <w:tr w14:paraId="63A3CBB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524" w:hRule="atLeast"/>
                <w:jc w:val="center"/>
              </w:trPr>
              <w:tc>
                <w:tcPr>
                  <w:tcW w:w="362" w:type="pct"/>
                  <w:vMerge w:val="continue"/>
                  <w:tcBorders>
                    <w:tl2br w:val="nil"/>
                    <w:tr2bl w:val="nil"/>
                  </w:tcBorders>
                  <w:shd w:val="clear" w:color="auto" w:fill="auto"/>
                  <w:vAlign w:val="center"/>
                </w:tcPr>
                <w:p w14:paraId="5A7B0252">
                  <w:pPr>
                    <w:spacing w:line="240" w:lineRule="exact"/>
                    <w:jc w:val="center"/>
                    <w:rPr>
                      <w:rFonts w:cs="Times New Roman"/>
                      <w:color w:val="auto"/>
                      <w:szCs w:val="21"/>
                    </w:rPr>
                  </w:pPr>
                </w:p>
              </w:tc>
              <w:tc>
                <w:tcPr>
                  <w:tcW w:w="307" w:type="pct"/>
                  <w:vMerge w:val="continue"/>
                  <w:tcBorders>
                    <w:tl2br w:val="nil"/>
                    <w:tr2bl w:val="nil"/>
                  </w:tcBorders>
                  <w:shd w:val="clear" w:color="auto" w:fill="auto"/>
                  <w:vAlign w:val="center"/>
                </w:tcPr>
                <w:p w14:paraId="51BAD864">
                  <w:pPr>
                    <w:tabs>
                      <w:tab w:val="left" w:pos="993"/>
                      <w:tab w:val="left" w:pos="1134"/>
                    </w:tabs>
                    <w:spacing w:line="240" w:lineRule="exact"/>
                    <w:jc w:val="center"/>
                    <w:rPr>
                      <w:rFonts w:cs="Times New Roman"/>
                      <w:bCs/>
                      <w:color w:val="auto"/>
                      <w:szCs w:val="21"/>
                    </w:rPr>
                  </w:pPr>
                </w:p>
              </w:tc>
              <w:tc>
                <w:tcPr>
                  <w:tcW w:w="266" w:type="pct"/>
                  <w:tcBorders>
                    <w:tl2br w:val="nil"/>
                    <w:tr2bl w:val="nil"/>
                  </w:tcBorders>
                  <w:shd w:val="clear" w:color="auto" w:fill="auto"/>
                  <w:vAlign w:val="center"/>
                </w:tcPr>
                <w:p w14:paraId="30C7F2A3">
                  <w:pPr>
                    <w:adjustRightInd w:val="0"/>
                    <w:snapToGrid w:val="0"/>
                    <w:spacing w:line="240" w:lineRule="exact"/>
                    <w:ind w:left="-48" w:leftChars="-23" w:right="-36" w:rightChars="-17"/>
                    <w:jc w:val="center"/>
                    <w:rPr>
                      <w:rFonts w:cs="Times New Roman"/>
                      <w:snapToGrid w:val="0"/>
                      <w:color w:val="auto"/>
                      <w:kern w:val="0"/>
                      <w:szCs w:val="21"/>
                    </w:rPr>
                  </w:pPr>
                  <w:r>
                    <w:rPr>
                      <w:rFonts w:cs="Times New Roman"/>
                      <w:snapToGrid w:val="0"/>
                      <w:color w:val="auto"/>
                      <w:kern w:val="0"/>
                      <w:szCs w:val="21"/>
                    </w:rPr>
                    <w:t>食堂油烟</w:t>
                  </w:r>
                </w:p>
              </w:tc>
              <w:tc>
                <w:tcPr>
                  <w:tcW w:w="2566" w:type="pct"/>
                  <w:tcBorders>
                    <w:tl2br w:val="nil"/>
                    <w:tr2bl w:val="nil"/>
                  </w:tcBorders>
                  <w:shd w:val="clear" w:color="auto" w:fill="auto"/>
                  <w:vAlign w:val="center"/>
                </w:tcPr>
                <w:p w14:paraId="6B4571BC">
                  <w:pPr>
                    <w:tabs>
                      <w:tab w:val="left" w:pos="993"/>
                      <w:tab w:val="left" w:pos="1134"/>
                    </w:tabs>
                    <w:spacing w:line="240" w:lineRule="exact"/>
                    <w:jc w:val="left"/>
                    <w:rPr>
                      <w:rFonts w:cs="Times New Roman"/>
                      <w:bCs/>
                      <w:color w:val="auto"/>
                      <w:szCs w:val="21"/>
                    </w:rPr>
                  </w:pPr>
                  <w:r>
                    <w:rPr>
                      <w:rFonts w:cs="Times New Roman"/>
                      <w:color w:val="auto"/>
                      <w:szCs w:val="21"/>
                      <w:lang w:bidi="ar"/>
                    </w:rPr>
                    <w:t>安装1套自带油烟净化功能的抽油烟机</w:t>
                  </w:r>
                  <w:r>
                    <w:rPr>
                      <w:rFonts w:cs="Times New Roman"/>
                      <w:bCs/>
                      <w:color w:val="auto"/>
                      <w:szCs w:val="21"/>
                    </w:rPr>
                    <w:t>处理食堂油烟，处理后外排</w:t>
                  </w:r>
                  <w:r>
                    <w:rPr>
                      <w:rFonts w:cs="Times New Roman"/>
                      <w:bCs/>
                      <w:color w:val="auto"/>
                      <w:szCs w:val="21"/>
                      <w:lang w:bidi="ar"/>
                    </w:rPr>
                    <w:t>。</w:t>
                  </w:r>
                </w:p>
              </w:tc>
              <w:tc>
                <w:tcPr>
                  <w:tcW w:w="598" w:type="pct"/>
                  <w:vMerge w:val="continue"/>
                  <w:tcBorders>
                    <w:tl2br w:val="nil"/>
                    <w:tr2bl w:val="nil"/>
                  </w:tcBorders>
                  <w:shd w:val="clear" w:color="auto" w:fill="auto"/>
                  <w:vAlign w:val="center"/>
                </w:tcPr>
                <w:p w14:paraId="6BD177DC">
                  <w:pPr>
                    <w:spacing w:line="240" w:lineRule="exact"/>
                    <w:jc w:val="center"/>
                    <w:rPr>
                      <w:rFonts w:cs="Times New Roman"/>
                      <w:color w:val="auto"/>
                      <w:szCs w:val="21"/>
                    </w:rPr>
                  </w:pPr>
                </w:p>
              </w:tc>
              <w:tc>
                <w:tcPr>
                  <w:tcW w:w="528" w:type="pct"/>
                  <w:tcBorders>
                    <w:tl2br w:val="nil"/>
                    <w:tr2bl w:val="nil"/>
                  </w:tcBorders>
                  <w:shd w:val="clear" w:color="auto" w:fill="auto"/>
                  <w:vAlign w:val="center"/>
                </w:tcPr>
                <w:p w14:paraId="261E6724">
                  <w:pPr>
                    <w:spacing w:line="240" w:lineRule="exact"/>
                    <w:jc w:val="center"/>
                    <w:rPr>
                      <w:rFonts w:cs="Times New Roman"/>
                      <w:color w:val="auto"/>
                      <w:szCs w:val="21"/>
                    </w:rPr>
                  </w:pPr>
                  <w:r>
                    <w:rPr>
                      <w:rFonts w:cs="Times New Roman"/>
                      <w:snapToGrid w:val="0"/>
                      <w:color w:val="auto"/>
                      <w:kern w:val="0"/>
                      <w:szCs w:val="21"/>
                    </w:rPr>
                    <w:t>/</w:t>
                  </w:r>
                </w:p>
              </w:tc>
              <w:tc>
                <w:tcPr>
                  <w:tcW w:w="369" w:type="pct"/>
                  <w:tcBorders>
                    <w:tl2br w:val="nil"/>
                    <w:tr2bl w:val="nil"/>
                  </w:tcBorders>
                  <w:shd w:val="clear" w:color="auto" w:fill="auto"/>
                  <w:vAlign w:val="center"/>
                </w:tcPr>
                <w:p w14:paraId="56888242">
                  <w:pPr>
                    <w:spacing w:line="240" w:lineRule="exact"/>
                    <w:jc w:val="center"/>
                    <w:rPr>
                      <w:rFonts w:cs="Times New Roman"/>
                      <w:snapToGrid w:val="0"/>
                      <w:color w:val="auto"/>
                      <w:kern w:val="0"/>
                      <w:szCs w:val="21"/>
                    </w:rPr>
                  </w:pPr>
                  <w:r>
                    <w:rPr>
                      <w:rFonts w:hint="eastAsia" w:cs="Times New Roman"/>
                      <w:color w:val="auto"/>
                      <w:szCs w:val="21"/>
                      <w:lang w:eastAsia="zh-CN"/>
                    </w:rPr>
                    <w:t>新建</w:t>
                  </w:r>
                </w:p>
              </w:tc>
            </w:tr>
            <w:tr w14:paraId="6DC3CF6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1482" w:hRule="atLeast"/>
                <w:jc w:val="center"/>
              </w:trPr>
              <w:tc>
                <w:tcPr>
                  <w:tcW w:w="362" w:type="pct"/>
                  <w:vMerge w:val="continue"/>
                  <w:tcBorders>
                    <w:tl2br w:val="nil"/>
                    <w:tr2bl w:val="nil"/>
                  </w:tcBorders>
                  <w:shd w:val="clear" w:color="auto" w:fill="auto"/>
                  <w:vAlign w:val="center"/>
                </w:tcPr>
                <w:p w14:paraId="16FA0CA2">
                  <w:pPr>
                    <w:spacing w:line="240" w:lineRule="exact"/>
                    <w:jc w:val="center"/>
                    <w:rPr>
                      <w:rFonts w:cs="Times New Roman"/>
                      <w:color w:val="auto"/>
                      <w:szCs w:val="21"/>
                    </w:rPr>
                  </w:pPr>
                </w:p>
              </w:tc>
              <w:tc>
                <w:tcPr>
                  <w:tcW w:w="307" w:type="pct"/>
                  <w:vMerge w:val="restart"/>
                  <w:tcBorders>
                    <w:tl2br w:val="nil"/>
                    <w:tr2bl w:val="nil"/>
                  </w:tcBorders>
                  <w:shd w:val="clear" w:color="auto" w:fill="auto"/>
                  <w:vAlign w:val="center"/>
                </w:tcPr>
                <w:p w14:paraId="5AE46BBF">
                  <w:pPr>
                    <w:adjustRightInd w:val="0"/>
                    <w:snapToGrid w:val="0"/>
                    <w:spacing w:line="240" w:lineRule="exact"/>
                    <w:ind w:left="-48" w:leftChars="-23" w:right="-36" w:rightChars="-17"/>
                    <w:jc w:val="center"/>
                    <w:rPr>
                      <w:rFonts w:hint="eastAsia" w:eastAsia="宋体" w:cs="Times New Roman"/>
                      <w:snapToGrid w:val="0"/>
                      <w:color w:val="auto"/>
                      <w:kern w:val="0"/>
                      <w:szCs w:val="21"/>
                      <w:lang w:eastAsia="zh-CN"/>
                    </w:rPr>
                  </w:pPr>
                  <w:r>
                    <w:rPr>
                      <w:rFonts w:cs="Times New Roman"/>
                      <w:bCs/>
                      <w:color w:val="auto"/>
                      <w:szCs w:val="21"/>
                    </w:rPr>
                    <w:t>废水</w:t>
                  </w:r>
                  <w:r>
                    <w:rPr>
                      <w:rFonts w:hint="eastAsia" w:cs="Times New Roman"/>
                      <w:bCs/>
                      <w:color w:val="auto"/>
                      <w:szCs w:val="21"/>
                      <w:lang w:eastAsia="zh-CN"/>
                    </w:rPr>
                    <w:t>处理</w:t>
                  </w:r>
                </w:p>
              </w:tc>
              <w:tc>
                <w:tcPr>
                  <w:tcW w:w="266" w:type="pct"/>
                  <w:tcBorders>
                    <w:tl2br w:val="nil"/>
                    <w:tr2bl w:val="nil"/>
                  </w:tcBorders>
                  <w:shd w:val="clear" w:color="auto" w:fill="auto"/>
                  <w:vAlign w:val="center"/>
                </w:tcPr>
                <w:p w14:paraId="5AD6C655">
                  <w:pPr>
                    <w:adjustRightInd w:val="0"/>
                    <w:snapToGrid w:val="0"/>
                    <w:spacing w:line="240" w:lineRule="exact"/>
                    <w:ind w:left="-48" w:leftChars="-23" w:right="-36" w:rightChars="-17"/>
                    <w:jc w:val="center"/>
                    <w:rPr>
                      <w:rFonts w:cs="Times New Roman"/>
                      <w:snapToGrid w:val="0"/>
                      <w:color w:val="auto"/>
                      <w:kern w:val="0"/>
                      <w:szCs w:val="21"/>
                    </w:rPr>
                  </w:pPr>
                  <w:r>
                    <w:rPr>
                      <w:rFonts w:cs="Times New Roman"/>
                      <w:snapToGrid w:val="0"/>
                      <w:color w:val="auto"/>
                      <w:kern w:val="0"/>
                      <w:szCs w:val="21"/>
                    </w:rPr>
                    <w:t>生产废水</w:t>
                  </w:r>
                </w:p>
              </w:tc>
              <w:tc>
                <w:tcPr>
                  <w:tcW w:w="2566" w:type="pct"/>
                  <w:tcBorders>
                    <w:tl2br w:val="nil"/>
                    <w:tr2bl w:val="nil"/>
                  </w:tcBorders>
                  <w:shd w:val="clear" w:color="auto" w:fill="auto"/>
                  <w:vAlign w:val="center"/>
                </w:tcPr>
                <w:p w14:paraId="2F56A90C">
                  <w:pPr>
                    <w:spacing w:line="240" w:lineRule="exact"/>
                    <w:rPr>
                      <w:rFonts w:cs="Times New Roman"/>
                      <w:color w:val="auto"/>
                      <w:szCs w:val="21"/>
                    </w:rPr>
                  </w:pPr>
                  <w:r>
                    <w:rPr>
                      <w:rFonts w:hint="eastAsia" w:cs="Times New Roman"/>
                      <w:color w:val="auto"/>
                      <w:kern w:val="2"/>
                      <w:sz w:val="21"/>
                      <w:szCs w:val="21"/>
                      <w:highlight w:val="none"/>
                      <w:lang w:val="en-US" w:eastAsia="zh-CN" w:bidi="ar-SA"/>
                    </w:rPr>
                    <w:t>生产车间东侧</w:t>
                  </w:r>
                  <w:r>
                    <w:rPr>
                      <w:rFonts w:hint="default" w:ascii="Times New Roman" w:hAnsi="Times New Roman" w:cs="Times New Roman"/>
                      <w:color w:val="auto"/>
                      <w:kern w:val="2"/>
                      <w:sz w:val="21"/>
                      <w:szCs w:val="21"/>
                      <w:highlight w:val="none"/>
                      <w:lang w:val="en-US" w:eastAsia="zh-CN" w:bidi="ar-SA"/>
                    </w:rPr>
                    <w:t>修建一个三级沉淀池（</w:t>
                  </w:r>
                  <w:r>
                    <w:rPr>
                      <w:rFonts w:hint="eastAsia" w:cs="Times New Roman"/>
                      <w:color w:val="auto"/>
                      <w:kern w:val="2"/>
                      <w:sz w:val="21"/>
                      <w:szCs w:val="21"/>
                      <w:highlight w:val="none"/>
                      <w:lang w:val="en-US" w:eastAsia="zh-CN" w:bidi="ar-SA"/>
                    </w:rPr>
                    <w:t>总容积</w:t>
                  </w:r>
                  <w:r>
                    <w:rPr>
                      <w:rFonts w:hint="eastAsia" w:cs="Times New Roman"/>
                      <w:color w:val="auto"/>
                      <w:kern w:val="24"/>
                      <w:sz w:val="21"/>
                      <w:szCs w:val="21"/>
                      <w:highlight w:val="none"/>
                      <w:lang w:val="en-US" w:eastAsia="zh-CN"/>
                    </w:rPr>
                    <w:t>405</w:t>
                  </w:r>
                  <w:r>
                    <w:rPr>
                      <w:rFonts w:hint="default" w:ascii="Times New Roman" w:hAnsi="Times New Roman" w:cs="Times New Roman"/>
                      <w:color w:val="auto"/>
                      <w:kern w:val="24"/>
                      <w:sz w:val="21"/>
                      <w:szCs w:val="21"/>
                      <w:highlight w:val="none"/>
                      <w:lang w:val="en-US" w:eastAsia="zh-CN"/>
                    </w:rPr>
                    <w:t>m</w:t>
                  </w:r>
                  <w:r>
                    <w:rPr>
                      <w:rFonts w:hint="default" w:ascii="Times New Roman" w:hAnsi="Times New Roman" w:cs="Times New Roman"/>
                      <w:color w:val="auto"/>
                      <w:kern w:val="24"/>
                      <w:sz w:val="21"/>
                      <w:szCs w:val="21"/>
                      <w:highlight w:val="none"/>
                      <w:vertAlign w:val="superscript"/>
                      <w:lang w:val="en-US" w:eastAsia="zh-CN"/>
                    </w:rPr>
                    <w:t>3</w:t>
                  </w:r>
                  <w:r>
                    <w:rPr>
                      <w:rFonts w:hint="default" w:ascii="Times New Roman" w:hAnsi="Times New Roman" w:cs="Times New Roman"/>
                      <w:color w:val="auto"/>
                      <w:kern w:val="2"/>
                      <w:sz w:val="21"/>
                      <w:szCs w:val="21"/>
                      <w:highlight w:val="none"/>
                      <w:lang w:val="en-US" w:eastAsia="zh-CN" w:bidi="ar-SA"/>
                    </w:rPr>
                    <w:t>），长×宽×高=</w:t>
                  </w:r>
                  <w:r>
                    <w:rPr>
                      <w:rFonts w:hint="eastAsia" w:cs="Times New Roman"/>
                      <w:color w:val="auto"/>
                      <w:kern w:val="2"/>
                      <w:sz w:val="21"/>
                      <w:szCs w:val="21"/>
                      <w:highlight w:val="none"/>
                      <w:lang w:val="en-US" w:eastAsia="zh-CN" w:bidi="ar-SA"/>
                    </w:rPr>
                    <w:t>18</w:t>
                  </w:r>
                  <w:r>
                    <w:rPr>
                      <w:rFonts w:hint="eastAsia" w:ascii="Times New Roman" w:hAnsi="Times New Roman" w:cs="Times New Roman"/>
                      <w:color w:val="auto"/>
                      <w:kern w:val="2"/>
                      <w:sz w:val="21"/>
                      <w:szCs w:val="21"/>
                      <w:highlight w:val="none"/>
                      <w:lang w:val="en-US" w:eastAsia="zh-CN" w:bidi="ar-SA"/>
                    </w:rPr>
                    <w:t>m</w:t>
                  </w:r>
                  <w:r>
                    <w:rPr>
                      <w:rFonts w:hint="default" w:ascii="Times New Roman" w:hAnsi="Times New Roman" w:cs="Times New Roman"/>
                      <w:color w:val="auto"/>
                      <w:kern w:val="2"/>
                      <w:sz w:val="21"/>
                      <w:szCs w:val="21"/>
                      <w:highlight w:val="none"/>
                      <w:lang w:val="en-US" w:eastAsia="zh-CN" w:bidi="ar-SA"/>
                    </w:rPr>
                    <w:t>×</w:t>
                  </w:r>
                  <w:r>
                    <w:rPr>
                      <w:rFonts w:hint="eastAsia" w:cs="Times New Roman"/>
                      <w:color w:val="auto"/>
                      <w:kern w:val="2"/>
                      <w:sz w:val="21"/>
                      <w:szCs w:val="21"/>
                      <w:highlight w:val="none"/>
                      <w:lang w:val="en-US" w:eastAsia="zh-CN" w:bidi="ar-SA"/>
                    </w:rPr>
                    <w:t>5</w:t>
                  </w:r>
                  <w:r>
                    <w:rPr>
                      <w:rFonts w:hint="eastAsia" w:ascii="Times New Roman" w:hAnsi="Times New Roman" w:cs="Times New Roman"/>
                      <w:color w:val="auto"/>
                      <w:kern w:val="2"/>
                      <w:sz w:val="21"/>
                      <w:szCs w:val="21"/>
                      <w:highlight w:val="none"/>
                      <w:lang w:val="en-US" w:eastAsia="zh-CN" w:bidi="ar-SA"/>
                    </w:rPr>
                    <w:t>m</w:t>
                  </w:r>
                  <w:r>
                    <w:rPr>
                      <w:rFonts w:hint="default" w:ascii="Times New Roman" w:hAnsi="Times New Roman" w:cs="Times New Roman"/>
                      <w:color w:val="auto"/>
                      <w:kern w:val="2"/>
                      <w:sz w:val="21"/>
                      <w:szCs w:val="21"/>
                      <w:highlight w:val="none"/>
                      <w:lang w:val="en-US" w:eastAsia="zh-CN" w:bidi="ar-SA"/>
                    </w:rPr>
                    <w:t>×</w:t>
                  </w:r>
                  <w:r>
                    <w:rPr>
                      <w:rFonts w:hint="eastAsia" w:cs="Times New Roman"/>
                      <w:color w:val="auto"/>
                      <w:kern w:val="2"/>
                      <w:sz w:val="21"/>
                      <w:szCs w:val="21"/>
                      <w:highlight w:val="none"/>
                      <w:lang w:val="en-US" w:eastAsia="zh-CN" w:bidi="ar-SA"/>
                    </w:rPr>
                    <w:t>4</w:t>
                  </w:r>
                  <w:r>
                    <w:rPr>
                      <w:rFonts w:hint="default" w:ascii="Times New Roman" w:hAnsi="Times New Roman" w:cs="Times New Roman"/>
                      <w:color w:val="auto"/>
                      <w:kern w:val="2"/>
                      <w:sz w:val="21"/>
                      <w:szCs w:val="21"/>
                      <w:highlight w:val="none"/>
                      <w:lang w:val="en-US" w:eastAsia="zh-CN" w:bidi="ar-SA"/>
                    </w:rPr>
                    <w:t>.5</w:t>
                  </w:r>
                  <w:r>
                    <w:rPr>
                      <w:rFonts w:hint="eastAsia" w:ascii="Times New Roman" w:hAnsi="Times New Roman" w:cs="Times New Roman"/>
                      <w:color w:val="auto"/>
                      <w:kern w:val="2"/>
                      <w:sz w:val="21"/>
                      <w:szCs w:val="21"/>
                      <w:highlight w:val="none"/>
                      <w:lang w:val="en-US" w:eastAsia="zh-CN" w:bidi="ar-SA"/>
                    </w:rPr>
                    <w:t>m</w:t>
                  </w:r>
                  <w:r>
                    <w:rPr>
                      <w:rFonts w:hint="default" w:ascii="Times New Roman" w:hAnsi="Times New Roman" w:cs="Times New Roman"/>
                      <w:color w:val="auto"/>
                      <w:kern w:val="2"/>
                      <w:sz w:val="21"/>
                      <w:szCs w:val="21"/>
                      <w:highlight w:val="none"/>
                      <w:lang w:val="en-US" w:eastAsia="zh-CN" w:bidi="ar-SA"/>
                    </w:rPr>
                    <w:t>，</w:t>
                  </w:r>
                  <w:r>
                    <w:rPr>
                      <w:rFonts w:hint="eastAsia" w:cs="Times New Roman"/>
                      <w:color w:val="auto"/>
                      <w:kern w:val="2"/>
                      <w:sz w:val="21"/>
                      <w:szCs w:val="21"/>
                      <w:highlight w:val="none"/>
                      <w:lang w:val="en-US" w:eastAsia="zh-CN" w:bidi="ar-SA"/>
                    </w:rPr>
                    <w:t>设置1台螺旋绞砂机和1台压滤机；生产废水经设备</w:t>
                  </w:r>
                  <w:r>
                    <w:rPr>
                      <w:rFonts w:hint="default" w:ascii="Times New Roman" w:hAnsi="Times New Roman" w:cs="Times New Roman"/>
                      <w:color w:val="auto"/>
                      <w:kern w:val="2"/>
                      <w:sz w:val="21"/>
                      <w:szCs w:val="21"/>
                      <w:highlight w:val="none"/>
                      <w:lang w:val="en-US" w:eastAsia="zh-CN" w:bidi="ar-SA"/>
                    </w:rPr>
                    <w:t>下方废水收集</w:t>
                  </w:r>
                  <w:r>
                    <w:rPr>
                      <w:rFonts w:hint="eastAsia" w:cs="Times New Roman"/>
                      <w:color w:val="auto"/>
                      <w:kern w:val="2"/>
                      <w:sz w:val="21"/>
                      <w:szCs w:val="21"/>
                      <w:highlight w:val="none"/>
                      <w:lang w:val="en-US" w:eastAsia="zh-CN" w:bidi="ar-SA"/>
                    </w:rPr>
                    <w:t>沟进入沉砂池（10m</w:t>
                  </w:r>
                  <w:r>
                    <w:rPr>
                      <w:rFonts w:hint="eastAsia" w:cs="Times New Roman"/>
                      <w:color w:val="auto"/>
                      <w:kern w:val="2"/>
                      <w:sz w:val="21"/>
                      <w:szCs w:val="21"/>
                      <w:highlight w:val="none"/>
                      <w:vertAlign w:val="superscript"/>
                      <w:lang w:val="en-US" w:eastAsia="zh-CN" w:bidi="ar-SA"/>
                    </w:rPr>
                    <w:t>3</w:t>
                  </w:r>
                  <w:r>
                    <w:rPr>
                      <w:rFonts w:hint="eastAsia" w:cs="Times New Roman"/>
                      <w:color w:val="auto"/>
                      <w:kern w:val="2"/>
                      <w:sz w:val="21"/>
                      <w:szCs w:val="21"/>
                      <w:highlight w:val="none"/>
                      <w:lang w:val="en-US" w:eastAsia="zh-CN" w:bidi="ar-SA"/>
                    </w:rPr>
                    <w:t>），</w:t>
                  </w:r>
                  <w:r>
                    <w:rPr>
                      <w:rFonts w:hint="default" w:ascii="Times New Roman" w:hAnsi="Times New Roman" w:cs="Times New Roman"/>
                      <w:color w:val="auto"/>
                      <w:sz w:val="21"/>
                      <w:szCs w:val="21"/>
                      <w:highlight w:val="none"/>
                      <w:lang w:val="en-US" w:eastAsia="zh-CN"/>
                    </w:rPr>
                    <w:t>螺旋绞砂机</w:t>
                  </w:r>
                  <w:r>
                    <w:rPr>
                      <w:rFonts w:hint="eastAsia" w:cs="Times New Roman"/>
                      <w:color w:val="auto"/>
                      <w:sz w:val="21"/>
                      <w:szCs w:val="21"/>
                      <w:highlight w:val="none"/>
                      <w:lang w:val="en-US" w:eastAsia="zh-CN"/>
                    </w:rPr>
                    <w:t>将粗砂进行分离</w:t>
                  </w:r>
                  <w:r>
                    <w:rPr>
                      <w:rFonts w:hint="default" w:ascii="Times New Roman" w:hAnsi="Times New Roman" w:cs="Times New Roman"/>
                      <w:color w:val="auto"/>
                      <w:sz w:val="21"/>
                      <w:szCs w:val="21"/>
                      <w:highlight w:val="none"/>
                      <w:lang w:val="en-US" w:eastAsia="zh-CN"/>
                    </w:rPr>
                    <w:t>后</w:t>
                  </w:r>
                  <w:r>
                    <w:rPr>
                      <w:rFonts w:hint="eastAsia" w:cs="Times New Roman"/>
                      <w:color w:val="auto"/>
                      <w:sz w:val="21"/>
                      <w:szCs w:val="21"/>
                      <w:highlight w:val="none"/>
                      <w:lang w:val="en-US" w:eastAsia="zh-CN"/>
                    </w:rPr>
                    <w:t>，废水进入三级沉淀池处理</w:t>
                  </w:r>
                  <w:r>
                    <w:rPr>
                      <w:rFonts w:hint="default" w:ascii="Times New Roman" w:hAnsi="Times New Roman" w:cs="Times New Roman"/>
                      <w:color w:val="auto"/>
                      <w:kern w:val="2"/>
                      <w:sz w:val="21"/>
                      <w:szCs w:val="21"/>
                      <w:highlight w:val="none"/>
                      <w:lang w:val="en-US" w:eastAsia="zh-CN" w:bidi="ar-SA"/>
                    </w:rPr>
                    <w:t>后循环使用，不外排。</w:t>
                  </w:r>
                </w:p>
              </w:tc>
              <w:tc>
                <w:tcPr>
                  <w:tcW w:w="598" w:type="pct"/>
                  <w:vMerge w:val="continue"/>
                  <w:tcBorders>
                    <w:tl2br w:val="nil"/>
                    <w:tr2bl w:val="nil"/>
                  </w:tcBorders>
                  <w:shd w:val="clear" w:color="auto" w:fill="auto"/>
                  <w:vAlign w:val="center"/>
                </w:tcPr>
                <w:p w14:paraId="6DE717DA">
                  <w:pPr>
                    <w:spacing w:line="240" w:lineRule="exact"/>
                    <w:jc w:val="center"/>
                    <w:rPr>
                      <w:rFonts w:cs="Times New Roman"/>
                      <w:color w:val="auto"/>
                      <w:szCs w:val="21"/>
                    </w:rPr>
                  </w:pPr>
                </w:p>
              </w:tc>
              <w:tc>
                <w:tcPr>
                  <w:tcW w:w="528" w:type="pct"/>
                  <w:tcBorders>
                    <w:tl2br w:val="nil"/>
                    <w:tr2bl w:val="nil"/>
                  </w:tcBorders>
                  <w:shd w:val="clear" w:color="auto" w:fill="auto"/>
                  <w:vAlign w:val="center"/>
                </w:tcPr>
                <w:p w14:paraId="1DE6D06B">
                  <w:pPr>
                    <w:adjustRightInd w:val="0"/>
                    <w:snapToGrid w:val="0"/>
                    <w:spacing w:line="240" w:lineRule="exact"/>
                    <w:ind w:left="-48" w:leftChars="-23" w:right="-36" w:rightChars="-17"/>
                    <w:jc w:val="center"/>
                    <w:rPr>
                      <w:rFonts w:cs="Times New Roman"/>
                      <w:snapToGrid w:val="0"/>
                      <w:color w:val="auto"/>
                      <w:kern w:val="0"/>
                      <w:szCs w:val="21"/>
                    </w:rPr>
                  </w:pPr>
                  <w:r>
                    <w:rPr>
                      <w:rFonts w:cs="Times New Roman"/>
                      <w:snapToGrid w:val="0"/>
                      <w:color w:val="auto"/>
                      <w:kern w:val="0"/>
                      <w:szCs w:val="21"/>
                    </w:rPr>
                    <w:t>粗砂、</w:t>
                  </w:r>
                </w:p>
                <w:p w14:paraId="35DA621A">
                  <w:pPr>
                    <w:adjustRightInd w:val="0"/>
                    <w:snapToGrid w:val="0"/>
                    <w:spacing w:line="240" w:lineRule="exact"/>
                    <w:ind w:left="-48" w:leftChars="-23" w:right="-36" w:rightChars="-17"/>
                    <w:jc w:val="center"/>
                    <w:rPr>
                      <w:rFonts w:cs="Times New Roman"/>
                      <w:snapToGrid w:val="0"/>
                      <w:color w:val="auto"/>
                      <w:kern w:val="0"/>
                      <w:szCs w:val="21"/>
                    </w:rPr>
                  </w:pPr>
                  <w:r>
                    <w:rPr>
                      <w:rFonts w:hint="eastAsia" w:cs="Times New Roman"/>
                      <w:snapToGrid w:val="0"/>
                      <w:color w:val="auto"/>
                      <w:kern w:val="0"/>
                      <w:szCs w:val="21"/>
                      <w:lang w:eastAsia="zh-CN"/>
                    </w:rPr>
                    <w:t>泥沙</w:t>
                  </w:r>
                </w:p>
              </w:tc>
              <w:tc>
                <w:tcPr>
                  <w:tcW w:w="369" w:type="pct"/>
                  <w:tcBorders>
                    <w:tl2br w:val="nil"/>
                    <w:tr2bl w:val="nil"/>
                  </w:tcBorders>
                  <w:shd w:val="clear" w:color="auto" w:fill="auto"/>
                  <w:vAlign w:val="center"/>
                </w:tcPr>
                <w:p w14:paraId="464837A4">
                  <w:pPr>
                    <w:adjustRightInd w:val="0"/>
                    <w:snapToGrid w:val="0"/>
                    <w:spacing w:line="240" w:lineRule="exact"/>
                    <w:ind w:left="-48" w:leftChars="-23" w:right="-36" w:rightChars="-17"/>
                    <w:jc w:val="center"/>
                    <w:rPr>
                      <w:rFonts w:hint="eastAsia" w:cs="Times New Roman"/>
                      <w:snapToGrid w:val="0"/>
                      <w:color w:val="auto"/>
                      <w:kern w:val="0"/>
                      <w:szCs w:val="21"/>
                      <w:lang w:eastAsia="zh-CN"/>
                    </w:rPr>
                  </w:pPr>
                  <w:r>
                    <w:rPr>
                      <w:rFonts w:hint="eastAsia" w:cs="Times New Roman"/>
                      <w:color w:val="auto"/>
                      <w:szCs w:val="21"/>
                      <w:lang w:eastAsia="zh-CN"/>
                    </w:rPr>
                    <w:t>新建</w:t>
                  </w:r>
                </w:p>
              </w:tc>
            </w:tr>
            <w:tr w14:paraId="1DFA9AF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83" w:hRule="atLeast"/>
                <w:jc w:val="center"/>
              </w:trPr>
              <w:tc>
                <w:tcPr>
                  <w:tcW w:w="362" w:type="pct"/>
                  <w:vMerge w:val="continue"/>
                  <w:tcBorders>
                    <w:tl2br w:val="nil"/>
                    <w:tr2bl w:val="nil"/>
                  </w:tcBorders>
                  <w:shd w:val="clear" w:color="auto" w:fill="auto"/>
                  <w:vAlign w:val="center"/>
                </w:tcPr>
                <w:p w14:paraId="6D8535E0">
                  <w:pPr>
                    <w:spacing w:line="240" w:lineRule="exact"/>
                    <w:jc w:val="center"/>
                    <w:rPr>
                      <w:rFonts w:cs="Times New Roman"/>
                      <w:color w:val="auto"/>
                      <w:szCs w:val="21"/>
                    </w:rPr>
                  </w:pPr>
                </w:p>
              </w:tc>
              <w:tc>
                <w:tcPr>
                  <w:tcW w:w="307" w:type="pct"/>
                  <w:vMerge w:val="continue"/>
                  <w:tcBorders>
                    <w:tl2br w:val="nil"/>
                    <w:tr2bl w:val="nil"/>
                  </w:tcBorders>
                  <w:shd w:val="clear" w:color="auto" w:fill="auto"/>
                  <w:vAlign w:val="center"/>
                </w:tcPr>
                <w:p w14:paraId="649130B3">
                  <w:pPr>
                    <w:adjustRightInd w:val="0"/>
                    <w:snapToGrid w:val="0"/>
                    <w:spacing w:line="240" w:lineRule="exact"/>
                    <w:ind w:left="-48" w:leftChars="-23" w:right="-36" w:rightChars="-17"/>
                    <w:jc w:val="center"/>
                    <w:rPr>
                      <w:rFonts w:cs="Times New Roman"/>
                      <w:bCs/>
                      <w:color w:val="auto"/>
                      <w:szCs w:val="21"/>
                    </w:rPr>
                  </w:pPr>
                </w:p>
              </w:tc>
              <w:tc>
                <w:tcPr>
                  <w:tcW w:w="266" w:type="pct"/>
                  <w:tcBorders>
                    <w:tl2br w:val="nil"/>
                    <w:tr2bl w:val="nil"/>
                  </w:tcBorders>
                  <w:shd w:val="clear" w:color="auto" w:fill="auto"/>
                  <w:vAlign w:val="center"/>
                </w:tcPr>
                <w:p w14:paraId="7847F55B">
                  <w:pPr>
                    <w:adjustRightInd w:val="0"/>
                    <w:snapToGrid w:val="0"/>
                    <w:spacing w:line="240" w:lineRule="exact"/>
                    <w:ind w:left="-48" w:leftChars="-23" w:right="-36" w:rightChars="-17"/>
                    <w:jc w:val="center"/>
                    <w:rPr>
                      <w:rFonts w:cs="Times New Roman"/>
                      <w:bCs/>
                      <w:color w:val="auto"/>
                      <w:szCs w:val="21"/>
                    </w:rPr>
                  </w:pPr>
                  <w:r>
                    <w:rPr>
                      <w:rFonts w:cs="Times New Roman"/>
                      <w:color w:val="auto"/>
                      <w:szCs w:val="21"/>
                    </w:rPr>
                    <w:t>生活污水</w:t>
                  </w:r>
                </w:p>
              </w:tc>
              <w:tc>
                <w:tcPr>
                  <w:tcW w:w="2566" w:type="pct"/>
                  <w:tcBorders>
                    <w:tl2br w:val="nil"/>
                    <w:tr2bl w:val="nil"/>
                  </w:tcBorders>
                  <w:shd w:val="clear" w:color="auto" w:fill="auto"/>
                  <w:vAlign w:val="center"/>
                </w:tcPr>
                <w:p w14:paraId="2B29294B">
                  <w:pPr>
                    <w:spacing w:line="240" w:lineRule="exact"/>
                    <w:rPr>
                      <w:rFonts w:hint="eastAsia" w:eastAsia="宋体" w:cs="Times New Roman"/>
                      <w:snapToGrid w:val="0"/>
                      <w:color w:val="auto"/>
                      <w:kern w:val="0"/>
                      <w:szCs w:val="21"/>
                      <w:lang w:eastAsia="zh-CN"/>
                    </w:rPr>
                  </w:pPr>
                  <w:r>
                    <w:rPr>
                      <w:rFonts w:cs="Times New Roman"/>
                      <w:color w:val="auto"/>
                      <w:szCs w:val="21"/>
                    </w:rPr>
                    <w:t>食堂废水经</w:t>
                  </w:r>
                  <w:r>
                    <w:rPr>
                      <w:rFonts w:hint="eastAsia" w:cs="Times New Roman"/>
                      <w:color w:val="auto"/>
                      <w:szCs w:val="21"/>
                      <w:lang w:eastAsia="zh-CN"/>
                    </w:rPr>
                    <w:t>隔油</w:t>
                  </w:r>
                  <w:r>
                    <w:rPr>
                      <w:rFonts w:cs="Times New Roman"/>
                      <w:color w:val="auto"/>
                      <w:szCs w:val="21"/>
                    </w:rPr>
                    <w:t>后同生活污水一同排入半挂车项目</w:t>
                  </w:r>
                  <w:r>
                    <w:rPr>
                      <w:rFonts w:hint="eastAsia" w:cs="Times New Roman"/>
                      <w:color w:val="auto"/>
                      <w:szCs w:val="21"/>
                      <w:lang w:eastAsia="zh-CN"/>
                    </w:rPr>
                    <w:t>在本车间内已建</w:t>
                  </w:r>
                  <w:r>
                    <w:rPr>
                      <w:rFonts w:cs="Times New Roman"/>
                      <w:color w:val="auto"/>
                      <w:szCs w:val="21"/>
                    </w:rPr>
                    <w:t>的化粪池处理后，</w:t>
                  </w:r>
                  <w:r>
                    <w:rPr>
                      <w:rFonts w:hint="default" w:cs="Times New Roman"/>
                      <w:color w:val="auto"/>
                      <w:szCs w:val="21"/>
                      <w:lang w:val="en-US" w:eastAsia="zh-CN"/>
                    </w:rPr>
                    <w:t>定期经罐车拉运至东岳镇生活污水处理厂处理达《城镇污水处理厂污染物排放标准》（GB18918-2002）一级 A 标准后通过污水管网排入双龙河，待东岳镇污水处理厂及配套管网建成后，通过市政污水管网排入东岳镇工业园区污水处理厂处理</w:t>
                  </w:r>
                  <w:r>
                    <w:rPr>
                      <w:rFonts w:hint="eastAsia" w:cs="Times New Roman"/>
                      <w:color w:val="auto"/>
                      <w:szCs w:val="21"/>
                      <w:lang w:eastAsia="zh-CN"/>
                    </w:rPr>
                    <w:t>。</w:t>
                  </w:r>
                </w:p>
              </w:tc>
              <w:tc>
                <w:tcPr>
                  <w:tcW w:w="598" w:type="pct"/>
                  <w:vMerge w:val="continue"/>
                  <w:tcBorders>
                    <w:tl2br w:val="nil"/>
                    <w:tr2bl w:val="nil"/>
                  </w:tcBorders>
                  <w:shd w:val="clear" w:color="auto" w:fill="auto"/>
                  <w:vAlign w:val="center"/>
                </w:tcPr>
                <w:p w14:paraId="4D7BA1C3">
                  <w:pPr>
                    <w:spacing w:line="240" w:lineRule="exact"/>
                    <w:jc w:val="center"/>
                    <w:rPr>
                      <w:rFonts w:cs="Times New Roman"/>
                      <w:color w:val="auto"/>
                      <w:szCs w:val="21"/>
                    </w:rPr>
                  </w:pPr>
                </w:p>
              </w:tc>
              <w:tc>
                <w:tcPr>
                  <w:tcW w:w="528" w:type="pct"/>
                  <w:tcBorders>
                    <w:tl2br w:val="nil"/>
                    <w:tr2bl w:val="nil"/>
                  </w:tcBorders>
                  <w:shd w:val="clear" w:color="auto" w:fill="auto"/>
                  <w:vAlign w:val="center"/>
                </w:tcPr>
                <w:p w14:paraId="791B7B54">
                  <w:pPr>
                    <w:adjustRightInd w:val="0"/>
                    <w:snapToGrid w:val="0"/>
                    <w:spacing w:line="240" w:lineRule="exact"/>
                    <w:ind w:left="-48" w:leftChars="-23" w:right="-36" w:rightChars="-17"/>
                    <w:jc w:val="center"/>
                    <w:rPr>
                      <w:rFonts w:cs="Times New Roman"/>
                      <w:snapToGrid w:val="0"/>
                      <w:color w:val="auto"/>
                      <w:kern w:val="0"/>
                      <w:szCs w:val="21"/>
                    </w:rPr>
                  </w:pPr>
                  <w:r>
                    <w:rPr>
                      <w:rFonts w:cs="Times New Roman"/>
                      <w:snapToGrid w:val="0"/>
                      <w:color w:val="auto"/>
                      <w:kern w:val="0"/>
                      <w:szCs w:val="21"/>
                    </w:rPr>
                    <w:t>/</w:t>
                  </w:r>
                </w:p>
              </w:tc>
              <w:tc>
                <w:tcPr>
                  <w:tcW w:w="369" w:type="pct"/>
                  <w:tcBorders>
                    <w:tl2br w:val="nil"/>
                    <w:tr2bl w:val="nil"/>
                  </w:tcBorders>
                  <w:shd w:val="clear" w:color="auto" w:fill="auto"/>
                  <w:vAlign w:val="center"/>
                </w:tcPr>
                <w:p w14:paraId="7E153D25">
                  <w:pPr>
                    <w:adjustRightInd w:val="0"/>
                    <w:snapToGrid w:val="0"/>
                    <w:spacing w:line="240" w:lineRule="exact"/>
                    <w:ind w:left="-48" w:leftChars="-23" w:right="-36" w:rightChars="-17"/>
                    <w:jc w:val="center"/>
                    <w:rPr>
                      <w:rFonts w:cs="Times New Roman"/>
                      <w:snapToGrid w:val="0"/>
                      <w:color w:val="auto"/>
                      <w:kern w:val="0"/>
                      <w:szCs w:val="21"/>
                    </w:rPr>
                  </w:pPr>
                  <w:r>
                    <w:rPr>
                      <w:rFonts w:hint="eastAsia" w:cs="Times New Roman"/>
                      <w:color w:val="auto"/>
                      <w:szCs w:val="21"/>
                      <w:lang w:eastAsia="zh-CN"/>
                    </w:rPr>
                    <w:t>新建</w:t>
                  </w:r>
                </w:p>
              </w:tc>
            </w:tr>
            <w:tr w14:paraId="7A0522A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524" w:hRule="atLeast"/>
                <w:jc w:val="center"/>
              </w:trPr>
              <w:tc>
                <w:tcPr>
                  <w:tcW w:w="362" w:type="pct"/>
                  <w:vMerge w:val="continue"/>
                  <w:tcBorders>
                    <w:tl2br w:val="nil"/>
                    <w:tr2bl w:val="nil"/>
                  </w:tcBorders>
                  <w:shd w:val="clear" w:color="auto" w:fill="auto"/>
                  <w:vAlign w:val="center"/>
                </w:tcPr>
                <w:p w14:paraId="5D9ED9A8">
                  <w:pPr>
                    <w:spacing w:line="240" w:lineRule="exact"/>
                    <w:jc w:val="center"/>
                    <w:rPr>
                      <w:rFonts w:cs="Times New Roman"/>
                      <w:color w:val="auto"/>
                      <w:szCs w:val="21"/>
                    </w:rPr>
                  </w:pPr>
                </w:p>
              </w:tc>
              <w:tc>
                <w:tcPr>
                  <w:tcW w:w="307" w:type="pct"/>
                  <w:vMerge w:val="restart"/>
                  <w:tcBorders>
                    <w:tl2br w:val="nil"/>
                    <w:tr2bl w:val="nil"/>
                  </w:tcBorders>
                  <w:shd w:val="clear" w:color="auto" w:fill="auto"/>
                  <w:vAlign w:val="center"/>
                </w:tcPr>
                <w:p w14:paraId="5FCEAA51">
                  <w:pPr>
                    <w:tabs>
                      <w:tab w:val="left" w:pos="993"/>
                      <w:tab w:val="left" w:pos="1134"/>
                    </w:tabs>
                    <w:spacing w:line="240" w:lineRule="exact"/>
                    <w:jc w:val="center"/>
                    <w:rPr>
                      <w:rFonts w:hint="eastAsia" w:eastAsia="宋体" w:cs="Times New Roman"/>
                      <w:color w:val="auto"/>
                      <w:szCs w:val="21"/>
                      <w:lang w:eastAsia="zh-CN"/>
                    </w:rPr>
                  </w:pPr>
                  <w:r>
                    <w:rPr>
                      <w:rFonts w:cs="Times New Roman"/>
                      <w:color w:val="auto"/>
                      <w:szCs w:val="21"/>
                    </w:rPr>
                    <w:t>固废</w:t>
                  </w:r>
                  <w:r>
                    <w:rPr>
                      <w:rFonts w:hint="eastAsia" w:cs="Times New Roman"/>
                      <w:color w:val="auto"/>
                      <w:szCs w:val="21"/>
                      <w:lang w:eastAsia="zh-CN"/>
                    </w:rPr>
                    <w:t>处置</w:t>
                  </w:r>
                </w:p>
              </w:tc>
              <w:tc>
                <w:tcPr>
                  <w:tcW w:w="266" w:type="pct"/>
                  <w:vMerge w:val="restart"/>
                  <w:tcBorders>
                    <w:tl2br w:val="nil"/>
                    <w:tr2bl w:val="nil"/>
                  </w:tcBorders>
                  <w:shd w:val="clear" w:color="auto" w:fill="auto"/>
                  <w:vAlign w:val="center"/>
                </w:tcPr>
                <w:p w14:paraId="4227EEA4">
                  <w:pPr>
                    <w:tabs>
                      <w:tab w:val="left" w:pos="993"/>
                      <w:tab w:val="left" w:pos="1134"/>
                    </w:tabs>
                    <w:spacing w:line="240" w:lineRule="exact"/>
                    <w:jc w:val="center"/>
                    <w:rPr>
                      <w:rFonts w:cs="Times New Roman"/>
                      <w:color w:val="auto"/>
                      <w:szCs w:val="21"/>
                    </w:rPr>
                  </w:pPr>
                  <w:r>
                    <w:rPr>
                      <w:rFonts w:cs="Times New Roman"/>
                      <w:color w:val="auto"/>
                      <w:szCs w:val="21"/>
                    </w:rPr>
                    <w:t>一般固废</w:t>
                  </w:r>
                </w:p>
              </w:tc>
              <w:tc>
                <w:tcPr>
                  <w:tcW w:w="2566" w:type="pct"/>
                  <w:tcBorders>
                    <w:tl2br w:val="nil"/>
                    <w:tr2bl w:val="nil"/>
                  </w:tcBorders>
                  <w:shd w:val="clear" w:color="auto" w:fill="auto"/>
                  <w:vAlign w:val="center"/>
                </w:tcPr>
                <w:p w14:paraId="01AACE67">
                  <w:pPr>
                    <w:tabs>
                      <w:tab w:val="left" w:pos="993"/>
                      <w:tab w:val="left" w:pos="1134"/>
                    </w:tabs>
                    <w:spacing w:line="240" w:lineRule="exact"/>
                    <w:jc w:val="left"/>
                    <w:rPr>
                      <w:rFonts w:cs="Times New Roman"/>
                      <w:color w:val="auto"/>
                      <w:szCs w:val="21"/>
                    </w:rPr>
                  </w:pPr>
                  <w:r>
                    <w:rPr>
                      <w:rFonts w:cs="Times New Roman"/>
                      <w:color w:val="auto"/>
                      <w:szCs w:val="21"/>
                    </w:rPr>
                    <w:t>生活垃圾：经袋装收集后定期交由环卫部门统一清运。</w:t>
                  </w:r>
                </w:p>
              </w:tc>
              <w:tc>
                <w:tcPr>
                  <w:tcW w:w="598" w:type="pct"/>
                  <w:vMerge w:val="continue"/>
                  <w:tcBorders>
                    <w:tl2br w:val="nil"/>
                    <w:tr2bl w:val="nil"/>
                  </w:tcBorders>
                  <w:shd w:val="clear" w:color="auto" w:fill="auto"/>
                  <w:vAlign w:val="center"/>
                </w:tcPr>
                <w:p w14:paraId="6E9A3F30">
                  <w:pPr>
                    <w:spacing w:line="240" w:lineRule="exact"/>
                    <w:jc w:val="center"/>
                    <w:rPr>
                      <w:rFonts w:cs="Times New Roman"/>
                      <w:color w:val="auto"/>
                      <w:szCs w:val="21"/>
                    </w:rPr>
                  </w:pPr>
                </w:p>
              </w:tc>
              <w:tc>
                <w:tcPr>
                  <w:tcW w:w="528" w:type="pct"/>
                  <w:tcBorders>
                    <w:tl2br w:val="nil"/>
                    <w:tr2bl w:val="nil"/>
                  </w:tcBorders>
                  <w:shd w:val="clear" w:color="auto" w:fill="auto"/>
                  <w:vAlign w:val="center"/>
                </w:tcPr>
                <w:p w14:paraId="5F991E26">
                  <w:pPr>
                    <w:spacing w:line="240" w:lineRule="exact"/>
                    <w:jc w:val="center"/>
                    <w:rPr>
                      <w:rFonts w:cs="Times New Roman"/>
                      <w:color w:val="auto"/>
                      <w:szCs w:val="21"/>
                    </w:rPr>
                  </w:pPr>
                  <w:r>
                    <w:rPr>
                      <w:rFonts w:cs="Times New Roman"/>
                      <w:color w:val="auto"/>
                      <w:szCs w:val="21"/>
                    </w:rPr>
                    <w:t>/</w:t>
                  </w:r>
                </w:p>
              </w:tc>
              <w:tc>
                <w:tcPr>
                  <w:tcW w:w="369" w:type="pct"/>
                  <w:tcBorders>
                    <w:tl2br w:val="nil"/>
                    <w:tr2bl w:val="nil"/>
                  </w:tcBorders>
                  <w:shd w:val="clear" w:color="auto" w:fill="auto"/>
                  <w:vAlign w:val="center"/>
                </w:tcPr>
                <w:p w14:paraId="6072642B">
                  <w:pPr>
                    <w:spacing w:line="240" w:lineRule="exact"/>
                    <w:jc w:val="center"/>
                    <w:rPr>
                      <w:rFonts w:hint="eastAsia" w:eastAsia="宋体" w:cs="Times New Roman"/>
                      <w:color w:val="auto"/>
                      <w:szCs w:val="21"/>
                      <w:lang w:val="en-US" w:eastAsia="zh-CN"/>
                    </w:rPr>
                  </w:pPr>
                  <w:r>
                    <w:rPr>
                      <w:rFonts w:hint="eastAsia" w:cs="Times New Roman"/>
                      <w:color w:val="auto"/>
                      <w:szCs w:val="21"/>
                      <w:lang w:val="en-US" w:eastAsia="zh-CN"/>
                    </w:rPr>
                    <w:t>依托</w:t>
                  </w:r>
                </w:p>
              </w:tc>
            </w:tr>
            <w:tr w14:paraId="23BF5B0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965" w:hRule="atLeast"/>
                <w:jc w:val="center"/>
              </w:trPr>
              <w:tc>
                <w:tcPr>
                  <w:tcW w:w="362" w:type="pct"/>
                  <w:vMerge w:val="continue"/>
                  <w:tcBorders>
                    <w:tl2br w:val="nil"/>
                    <w:tr2bl w:val="nil"/>
                  </w:tcBorders>
                  <w:shd w:val="clear" w:color="auto" w:fill="auto"/>
                  <w:vAlign w:val="center"/>
                </w:tcPr>
                <w:p w14:paraId="05ADBE23">
                  <w:pPr>
                    <w:spacing w:line="240" w:lineRule="exact"/>
                    <w:jc w:val="center"/>
                    <w:rPr>
                      <w:rFonts w:cs="Times New Roman"/>
                      <w:color w:val="auto"/>
                      <w:szCs w:val="21"/>
                    </w:rPr>
                  </w:pPr>
                </w:p>
              </w:tc>
              <w:tc>
                <w:tcPr>
                  <w:tcW w:w="307" w:type="pct"/>
                  <w:vMerge w:val="continue"/>
                  <w:tcBorders>
                    <w:tl2br w:val="nil"/>
                    <w:tr2bl w:val="nil"/>
                  </w:tcBorders>
                  <w:shd w:val="clear" w:color="auto" w:fill="auto"/>
                  <w:vAlign w:val="center"/>
                </w:tcPr>
                <w:p w14:paraId="72DD843B">
                  <w:pPr>
                    <w:tabs>
                      <w:tab w:val="left" w:pos="993"/>
                      <w:tab w:val="left" w:pos="1134"/>
                    </w:tabs>
                    <w:spacing w:line="240" w:lineRule="exact"/>
                    <w:jc w:val="center"/>
                    <w:rPr>
                      <w:rFonts w:cs="Times New Roman"/>
                      <w:color w:val="auto"/>
                      <w:szCs w:val="21"/>
                    </w:rPr>
                  </w:pPr>
                </w:p>
              </w:tc>
              <w:tc>
                <w:tcPr>
                  <w:tcW w:w="266" w:type="pct"/>
                  <w:vMerge w:val="continue"/>
                  <w:tcBorders>
                    <w:tl2br w:val="nil"/>
                    <w:tr2bl w:val="nil"/>
                  </w:tcBorders>
                  <w:shd w:val="clear" w:color="auto" w:fill="auto"/>
                  <w:vAlign w:val="center"/>
                </w:tcPr>
                <w:p w14:paraId="1AB4DA59">
                  <w:pPr>
                    <w:tabs>
                      <w:tab w:val="left" w:pos="993"/>
                      <w:tab w:val="left" w:pos="1134"/>
                    </w:tabs>
                    <w:spacing w:line="240" w:lineRule="exact"/>
                    <w:jc w:val="center"/>
                    <w:rPr>
                      <w:rFonts w:cs="Times New Roman"/>
                      <w:color w:val="auto"/>
                      <w:szCs w:val="21"/>
                    </w:rPr>
                  </w:pPr>
                </w:p>
              </w:tc>
              <w:tc>
                <w:tcPr>
                  <w:tcW w:w="2566" w:type="pct"/>
                  <w:tcBorders>
                    <w:tl2br w:val="nil"/>
                    <w:tr2bl w:val="nil"/>
                  </w:tcBorders>
                  <w:shd w:val="clear" w:color="auto" w:fill="auto"/>
                  <w:vAlign w:val="center"/>
                </w:tcPr>
                <w:p w14:paraId="5D0B888C">
                  <w:pPr>
                    <w:tabs>
                      <w:tab w:val="left" w:pos="993"/>
                      <w:tab w:val="left" w:pos="1134"/>
                    </w:tabs>
                    <w:spacing w:line="240" w:lineRule="exact"/>
                    <w:jc w:val="left"/>
                    <w:rPr>
                      <w:rFonts w:hint="eastAsia" w:eastAsia="宋体" w:cs="Times New Roman"/>
                      <w:color w:val="auto"/>
                      <w:szCs w:val="21"/>
                      <w:lang w:eastAsia="zh-CN"/>
                    </w:rPr>
                  </w:pPr>
                  <w:r>
                    <w:rPr>
                      <w:rFonts w:cs="Times New Roman"/>
                      <w:color w:val="auto"/>
                      <w:szCs w:val="21"/>
                    </w:rPr>
                    <w:t>沉淀池</w:t>
                  </w:r>
                  <w:r>
                    <w:rPr>
                      <w:rFonts w:hint="eastAsia" w:cs="Times New Roman"/>
                      <w:color w:val="auto"/>
                      <w:szCs w:val="21"/>
                      <w:lang w:eastAsia="zh-CN"/>
                    </w:rPr>
                    <w:t>泥沙</w:t>
                  </w:r>
                  <w:r>
                    <w:rPr>
                      <w:rFonts w:cs="Times New Roman"/>
                      <w:color w:val="auto"/>
                      <w:szCs w:val="21"/>
                    </w:rPr>
                    <w:t>：在压滤机下方设置1处三面墙体的泥饼暂存区（</w:t>
                  </w:r>
                  <w:r>
                    <w:rPr>
                      <w:rFonts w:cs="Times New Roman"/>
                      <w:color w:val="auto"/>
                      <w:szCs w:val="21"/>
                      <w:lang w:bidi="ar"/>
                    </w:rPr>
                    <w:t>面积</w:t>
                  </w:r>
                  <w:r>
                    <w:rPr>
                      <w:rFonts w:hint="eastAsia" w:cs="Times New Roman"/>
                      <w:color w:val="auto"/>
                      <w:szCs w:val="21"/>
                      <w:lang w:val="en-US" w:eastAsia="zh-CN" w:bidi="ar"/>
                    </w:rPr>
                    <w:t>1</w:t>
                  </w:r>
                  <w:r>
                    <w:rPr>
                      <w:rFonts w:cs="Times New Roman"/>
                      <w:color w:val="auto"/>
                      <w:szCs w:val="21"/>
                      <w:lang w:bidi="ar"/>
                    </w:rPr>
                    <w:t>0m</w:t>
                  </w:r>
                  <w:r>
                    <w:rPr>
                      <w:rFonts w:cs="Times New Roman"/>
                      <w:color w:val="auto"/>
                      <w:szCs w:val="21"/>
                      <w:vertAlign w:val="superscript"/>
                      <w:lang w:bidi="ar"/>
                    </w:rPr>
                    <w:t>2</w:t>
                  </w:r>
                  <w:r>
                    <w:rPr>
                      <w:rFonts w:cs="Times New Roman"/>
                      <w:color w:val="auto"/>
                      <w:szCs w:val="21"/>
                    </w:rPr>
                    <w:t>），经压滤机压滤后的泥饼直接掉入下方暂存区后外售制砖</w:t>
                  </w:r>
                  <w:r>
                    <w:rPr>
                      <w:rFonts w:hint="eastAsia" w:cs="Times New Roman"/>
                      <w:color w:val="auto"/>
                      <w:szCs w:val="21"/>
                      <w:lang w:eastAsia="zh-CN"/>
                    </w:rPr>
                    <w:t>，其</w:t>
                  </w:r>
                  <w:r>
                    <w:rPr>
                      <w:color w:val="auto"/>
                      <w:spacing w:val="9"/>
                    </w:rPr>
                    <w:t>贮存过程应满足相应防渗漏、防雨淋、防扬尘</w:t>
                  </w:r>
                  <w:r>
                    <w:rPr>
                      <w:rFonts w:hint="eastAsia"/>
                      <w:color w:val="auto"/>
                      <w:spacing w:val="9"/>
                      <w:lang w:eastAsia="zh-CN"/>
                    </w:rPr>
                    <w:t>等要求。</w:t>
                  </w:r>
                </w:p>
              </w:tc>
              <w:tc>
                <w:tcPr>
                  <w:tcW w:w="598" w:type="pct"/>
                  <w:vMerge w:val="continue"/>
                  <w:tcBorders>
                    <w:tl2br w:val="nil"/>
                    <w:tr2bl w:val="nil"/>
                  </w:tcBorders>
                  <w:shd w:val="clear" w:color="auto" w:fill="auto"/>
                  <w:vAlign w:val="center"/>
                </w:tcPr>
                <w:p w14:paraId="5693E7D5">
                  <w:pPr>
                    <w:spacing w:line="240" w:lineRule="exact"/>
                    <w:jc w:val="center"/>
                    <w:rPr>
                      <w:rFonts w:cs="Times New Roman"/>
                      <w:color w:val="auto"/>
                      <w:szCs w:val="21"/>
                    </w:rPr>
                  </w:pPr>
                </w:p>
              </w:tc>
              <w:tc>
                <w:tcPr>
                  <w:tcW w:w="528" w:type="pct"/>
                  <w:tcBorders>
                    <w:tl2br w:val="nil"/>
                    <w:tr2bl w:val="nil"/>
                  </w:tcBorders>
                  <w:shd w:val="clear" w:color="auto" w:fill="auto"/>
                  <w:vAlign w:val="center"/>
                </w:tcPr>
                <w:p w14:paraId="3252CC23">
                  <w:pPr>
                    <w:spacing w:line="240" w:lineRule="exact"/>
                    <w:jc w:val="center"/>
                    <w:rPr>
                      <w:rFonts w:hint="eastAsia" w:eastAsia="宋体" w:cs="Times New Roman"/>
                      <w:color w:val="auto"/>
                      <w:szCs w:val="21"/>
                      <w:lang w:eastAsia="zh-CN"/>
                    </w:rPr>
                  </w:pPr>
                  <w:r>
                    <w:rPr>
                      <w:rFonts w:hint="eastAsia" w:cs="Times New Roman"/>
                      <w:color w:val="auto"/>
                      <w:szCs w:val="21"/>
                      <w:lang w:val="en-US" w:eastAsia="zh-CN"/>
                    </w:rPr>
                    <w:t>/</w:t>
                  </w:r>
                </w:p>
              </w:tc>
              <w:tc>
                <w:tcPr>
                  <w:tcW w:w="369" w:type="pct"/>
                  <w:tcBorders>
                    <w:tl2br w:val="nil"/>
                    <w:tr2bl w:val="nil"/>
                  </w:tcBorders>
                  <w:shd w:val="clear" w:color="auto" w:fill="auto"/>
                  <w:vAlign w:val="center"/>
                </w:tcPr>
                <w:p w14:paraId="433CC012">
                  <w:pPr>
                    <w:spacing w:line="240" w:lineRule="exact"/>
                    <w:jc w:val="center"/>
                    <w:rPr>
                      <w:rFonts w:hint="eastAsia" w:cs="Times New Roman"/>
                      <w:color w:val="auto"/>
                      <w:szCs w:val="21"/>
                      <w:lang w:val="en-US" w:eastAsia="zh-CN"/>
                    </w:rPr>
                  </w:pPr>
                  <w:r>
                    <w:rPr>
                      <w:rFonts w:hint="eastAsia" w:cs="Times New Roman"/>
                      <w:color w:val="auto"/>
                      <w:szCs w:val="21"/>
                      <w:lang w:eastAsia="zh-CN"/>
                    </w:rPr>
                    <w:t>新建</w:t>
                  </w:r>
                </w:p>
              </w:tc>
            </w:tr>
            <w:tr w14:paraId="7618EC9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768" w:hRule="atLeast"/>
                <w:jc w:val="center"/>
              </w:trPr>
              <w:tc>
                <w:tcPr>
                  <w:tcW w:w="362" w:type="pct"/>
                  <w:vMerge w:val="continue"/>
                  <w:tcBorders>
                    <w:tl2br w:val="nil"/>
                    <w:tr2bl w:val="nil"/>
                  </w:tcBorders>
                  <w:shd w:val="clear" w:color="auto" w:fill="auto"/>
                  <w:vAlign w:val="center"/>
                </w:tcPr>
                <w:p w14:paraId="7D8CEE07">
                  <w:pPr>
                    <w:spacing w:line="240" w:lineRule="exact"/>
                    <w:jc w:val="center"/>
                    <w:rPr>
                      <w:rFonts w:cs="Times New Roman"/>
                      <w:color w:val="auto"/>
                      <w:szCs w:val="21"/>
                    </w:rPr>
                  </w:pPr>
                </w:p>
              </w:tc>
              <w:tc>
                <w:tcPr>
                  <w:tcW w:w="307" w:type="pct"/>
                  <w:vMerge w:val="continue"/>
                  <w:tcBorders>
                    <w:tl2br w:val="nil"/>
                    <w:tr2bl w:val="nil"/>
                  </w:tcBorders>
                  <w:shd w:val="clear" w:color="auto" w:fill="auto"/>
                  <w:vAlign w:val="center"/>
                </w:tcPr>
                <w:p w14:paraId="503BB456">
                  <w:pPr>
                    <w:tabs>
                      <w:tab w:val="left" w:pos="993"/>
                      <w:tab w:val="left" w:pos="1134"/>
                    </w:tabs>
                    <w:spacing w:line="240" w:lineRule="exact"/>
                    <w:jc w:val="center"/>
                    <w:rPr>
                      <w:rFonts w:cs="Times New Roman"/>
                      <w:color w:val="auto"/>
                      <w:szCs w:val="21"/>
                    </w:rPr>
                  </w:pPr>
                </w:p>
              </w:tc>
              <w:tc>
                <w:tcPr>
                  <w:tcW w:w="266" w:type="pct"/>
                  <w:vMerge w:val="continue"/>
                  <w:tcBorders>
                    <w:tl2br w:val="nil"/>
                    <w:tr2bl w:val="nil"/>
                  </w:tcBorders>
                  <w:shd w:val="clear" w:color="auto" w:fill="auto"/>
                  <w:vAlign w:val="center"/>
                </w:tcPr>
                <w:p w14:paraId="27A27993">
                  <w:pPr>
                    <w:tabs>
                      <w:tab w:val="left" w:pos="993"/>
                      <w:tab w:val="left" w:pos="1134"/>
                    </w:tabs>
                    <w:spacing w:line="240" w:lineRule="exact"/>
                    <w:jc w:val="center"/>
                    <w:rPr>
                      <w:rFonts w:cs="Times New Roman"/>
                      <w:color w:val="auto"/>
                      <w:szCs w:val="21"/>
                    </w:rPr>
                  </w:pPr>
                </w:p>
              </w:tc>
              <w:tc>
                <w:tcPr>
                  <w:tcW w:w="2566" w:type="pct"/>
                  <w:tcBorders>
                    <w:tl2br w:val="nil"/>
                    <w:tr2bl w:val="nil"/>
                  </w:tcBorders>
                  <w:shd w:val="clear" w:color="auto" w:fill="auto"/>
                  <w:vAlign w:val="center"/>
                </w:tcPr>
                <w:p w14:paraId="5FAD8594">
                  <w:pPr>
                    <w:tabs>
                      <w:tab w:val="left" w:pos="993"/>
                      <w:tab w:val="left" w:pos="1134"/>
                    </w:tabs>
                    <w:spacing w:line="240" w:lineRule="exact"/>
                    <w:jc w:val="left"/>
                    <w:rPr>
                      <w:rFonts w:cs="Times New Roman"/>
                      <w:color w:val="auto"/>
                      <w:szCs w:val="21"/>
                    </w:rPr>
                  </w:pPr>
                  <w:r>
                    <w:rPr>
                      <w:rFonts w:hint="eastAsia" w:cs="Times New Roman"/>
                      <w:color w:val="auto"/>
                      <w:szCs w:val="21"/>
                    </w:rPr>
                    <w:t>废</w:t>
                  </w:r>
                  <w:r>
                    <w:rPr>
                      <w:rFonts w:cs="Times New Roman"/>
                      <w:color w:val="auto"/>
                      <w:szCs w:val="21"/>
                    </w:rPr>
                    <w:t>边角料：在</w:t>
                  </w:r>
                  <w:r>
                    <w:rPr>
                      <w:rFonts w:hint="eastAsia" w:cs="Times New Roman"/>
                      <w:color w:val="auto"/>
                      <w:szCs w:val="21"/>
                      <w:lang w:eastAsia="zh-CN"/>
                    </w:rPr>
                    <w:t>成品堆场西北侧</w:t>
                  </w:r>
                  <w:r>
                    <w:rPr>
                      <w:rFonts w:cs="Times New Roman"/>
                      <w:color w:val="auto"/>
                      <w:szCs w:val="21"/>
                    </w:rPr>
                    <w:t>设置1个</w:t>
                  </w:r>
                  <w:r>
                    <w:rPr>
                      <w:rFonts w:hint="eastAsia" w:cs="Times New Roman"/>
                      <w:color w:val="auto"/>
                      <w:szCs w:val="21"/>
                      <w:lang w:eastAsia="zh-CN"/>
                    </w:rPr>
                    <w:t>固废堆放</w:t>
                  </w:r>
                  <w:r>
                    <w:rPr>
                      <w:rFonts w:cs="Times New Roman"/>
                      <w:color w:val="auto"/>
                      <w:szCs w:val="21"/>
                    </w:rPr>
                    <w:t>区（</w:t>
                  </w:r>
                  <w:r>
                    <w:rPr>
                      <w:rFonts w:cs="Times New Roman"/>
                      <w:color w:val="auto"/>
                      <w:szCs w:val="21"/>
                      <w:lang w:bidi="ar"/>
                    </w:rPr>
                    <w:t>面积</w:t>
                  </w:r>
                  <w:r>
                    <w:rPr>
                      <w:rFonts w:hint="eastAsia" w:cs="Times New Roman"/>
                      <w:color w:val="auto"/>
                      <w:szCs w:val="21"/>
                      <w:lang w:bidi="ar"/>
                    </w:rPr>
                    <w:t>5</w:t>
                  </w:r>
                  <w:r>
                    <w:rPr>
                      <w:rFonts w:cs="Times New Roman"/>
                      <w:color w:val="auto"/>
                      <w:szCs w:val="21"/>
                      <w:lang w:bidi="ar"/>
                    </w:rPr>
                    <w:t>0m</w:t>
                  </w:r>
                  <w:r>
                    <w:rPr>
                      <w:rFonts w:cs="Times New Roman"/>
                      <w:color w:val="auto"/>
                      <w:szCs w:val="21"/>
                      <w:vertAlign w:val="superscript"/>
                      <w:lang w:bidi="ar"/>
                    </w:rPr>
                    <w:t>2</w:t>
                  </w:r>
                  <w:r>
                    <w:rPr>
                      <w:rFonts w:cs="Times New Roman"/>
                      <w:color w:val="auto"/>
                      <w:szCs w:val="21"/>
                    </w:rPr>
                    <w:t>），用于暂存生产过程产生的石材</w:t>
                  </w:r>
                  <w:r>
                    <w:rPr>
                      <w:rFonts w:hint="eastAsia" w:cs="Times New Roman"/>
                      <w:color w:val="auto"/>
                      <w:szCs w:val="21"/>
                    </w:rPr>
                    <w:t>废</w:t>
                  </w:r>
                  <w:r>
                    <w:rPr>
                      <w:rFonts w:cs="Times New Roman"/>
                      <w:color w:val="auto"/>
                      <w:szCs w:val="21"/>
                    </w:rPr>
                    <w:t>边角料，定期外运砂厂制砂。</w:t>
                  </w:r>
                </w:p>
              </w:tc>
              <w:tc>
                <w:tcPr>
                  <w:tcW w:w="598" w:type="pct"/>
                  <w:vMerge w:val="continue"/>
                  <w:tcBorders>
                    <w:tl2br w:val="nil"/>
                    <w:tr2bl w:val="nil"/>
                  </w:tcBorders>
                  <w:shd w:val="clear" w:color="auto" w:fill="auto"/>
                  <w:vAlign w:val="center"/>
                </w:tcPr>
                <w:p w14:paraId="15BC97C9">
                  <w:pPr>
                    <w:spacing w:line="240" w:lineRule="exact"/>
                    <w:jc w:val="center"/>
                    <w:rPr>
                      <w:rFonts w:cs="Times New Roman"/>
                      <w:color w:val="auto"/>
                      <w:szCs w:val="21"/>
                    </w:rPr>
                  </w:pPr>
                </w:p>
              </w:tc>
              <w:tc>
                <w:tcPr>
                  <w:tcW w:w="528" w:type="pct"/>
                  <w:tcBorders>
                    <w:tl2br w:val="nil"/>
                    <w:tr2bl w:val="nil"/>
                  </w:tcBorders>
                  <w:shd w:val="clear" w:color="auto" w:fill="auto"/>
                  <w:vAlign w:val="center"/>
                </w:tcPr>
                <w:p w14:paraId="43CE1437">
                  <w:pPr>
                    <w:spacing w:line="240" w:lineRule="exact"/>
                    <w:jc w:val="center"/>
                    <w:rPr>
                      <w:rFonts w:cs="Times New Roman"/>
                      <w:color w:val="auto"/>
                      <w:szCs w:val="21"/>
                    </w:rPr>
                  </w:pPr>
                  <w:r>
                    <w:rPr>
                      <w:rFonts w:cs="Times New Roman"/>
                      <w:color w:val="auto"/>
                      <w:szCs w:val="21"/>
                    </w:rPr>
                    <w:t>/</w:t>
                  </w:r>
                </w:p>
              </w:tc>
              <w:tc>
                <w:tcPr>
                  <w:tcW w:w="369" w:type="pct"/>
                  <w:tcBorders>
                    <w:tl2br w:val="nil"/>
                    <w:tr2bl w:val="nil"/>
                  </w:tcBorders>
                  <w:shd w:val="clear" w:color="auto" w:fill="auto"/>
                  <w:vAlign w:val="center"/>
                </w:tcPr>
                <w:p w14:paraId="5442ECBA">
                  <w:pPr>
                    <w:spacing w:line="240" w:lineRule="exact"/>
                    <w:jc w:val="center"/>
                    <w:rPr>
                      <w:rFonts w:cs="Times New Roman"/>
                      <w:color w:val="auto"/>
                      <w:szCs w:val="21"/>
                    </w:rPr>
                  </w:pPr>
                  <w:r>
                    <w:rPr>
                      <w:rFonts w:hint="eastAsia" w:cs="Times New Roman"/>
                      <w:color w:val="auto"/>
                      <w:szCs w:val="21"/>
                      <w:lang w:eastAsia="zh-CN"/>
                    </w:rPr>
                    <w:t>新建</w:t>
                  </w:r>
                </w:p>
              </w:tc>
            </w:tr>
            <w:tr w14:paraId="206DC8C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801" w:hRule="atLeast"/>
                <w:jc w:val="center"/>
              </w:trPr>
              <w:tc>
                <w:tcPr>
                  <w:tcW w:w="362" w:type="pct"/>
                  <w:vMerge w:val="continue"/>
                  <w:tcBorders>
                    <w:tl2br w:val="nil"/>
                    <w:tr2bl w:val="nil"/>
                  </w:tcBorders>
                  <w:shd w:val="clear" w:color="auto" w:fill="auto"/>
                  <w:vAlign w:val="center"/>
                </w:tcPr>
                <w:p w14:paraId="4241B76E">
                  <w:pPr>
                    <w:spacing w:line="240" w:lineRule="exact"/>
                    <w:jc w:val="center"/>
                    <w:rPr>
                      <w:rFonts w:cs="Times New Roman"/>
                      <w:color w:val="auto"/>
                      <w:szCs w:val="21"/>
                    </w:rPr>
                  </w:pPr>
                </w:p>
              </w:tc>
              <w:tc>
                <w:tcPr>
                  <w:tcW w:w="307" w:type="pct"/>
                  <w:vMerge w:val="continue"/>
                  <w:tcBorders>
                    <w:tl2br w:val="nil"/>
                    <w:tr2bl w:val="nil"/>
                  </w:tcBorders>
                  <w:shd w:val="clear" w:color="auto" w:fill="auto"/>
                  <w:vAlign w:val="center"/>
                </w:tcPr>
                <w:p w14:paraId="3B2572C7">
                  <w:pPr>
                    <w:tabs>
                      <w:tab w:val="left" w:pos="993"/>
                      <w:tab w:val="left" w:pos="1134"/>
                    </w:tabs>
                    <w:spacing w:line="240" w:lineRule="exact"/>
                    <w:jc w:val="center"/>
                    <w:rPr>
                      <w:rFonts w:cs="Times New Roman"/>
                      <w:color w:val="auto"/>
                      <w:szCs w:val="21"/>
                    </w:rPr>
                  </w:pPr>
                </w:p>
              </w:tc>
              <w:tc>
                <w:tcPr>
                  <w:tcW w:w="266" w:type="pct"/>
                  <w:vMerge w:val="continue"/>
                  <w:tcBorders>
                    <w:tl2br w:val="nil"/>
                    <w:tr2bl w:val="nil"/>
                  </w:tcBorders>
                  <w:shd w:val="clear" w:color="auto" w:fill="auto"/>
                  <w:vAlign w:val="center"/>
                </w:tcPr>
                <w:p w14:paraId="2E80E396">
                  <w:pPr>
                    <w:tabs>
                      <w:tab w:val="left" w:pos="993"/>
                      <w:tab w:val="left" w:pos="1134"/>
                    </w:tabs>
                    <w:spacing w:line="240" w:lineRule="exact"/>
                    <w:jc w:val="center"/>
                    <w:rPr>
                      <w:rFonts w:cs="Times New Roman"/>
                      <w:color w:val="auto"/>
                      <w:szCs w:val="21"/>
                    </w:rPr>
                  </w:pPr>
                </w:p>
              </w:tc>
              <w:tc>
                <w:tcPr>
                  <w:tcW w:w="2566" w:type="pct"/>
                  <w:tcBorders>
                    <w:tl2br w:val="nil"/>
                    <w:tr2bl w:val="nil"/>
                  </w:tcBorders>
                  <w:shd w:val="clear" w:color="auto" w:fill="auto"/>
                  <w:vAlign w:val="center"/>
                </w:tcPr>
                <w:p w14:paraId="1131B95A">
                  <w:pPr>
                    <w:tabs>
                      <w:tab w:val="left" w:pos="993"/>
                      <w:tab w:val="left" w:pos="1134"/>
                    </w:tabs>
                    <w:spacing w:line="240" w:lineRule="exact"/>
                    <w:jc w:val="left"/>
                    <w:rPr>
                      <w:rFonts w:cs="Times New Roman"/>
                      <w:color w:val="auto"/>
                      <w:szCs w:val="21"/>
                    </w:rPr>
                  </w:pPr>
                  <w:r>
                    <w:rPr>
                      <w:rFonts w:cs="Times New Roman"/>
                      <w:color w:val="auto"/>
                      <w:szCs w:val="21"/>
                    </w:rPr>
                    <w:t>粗砂：在</w:t>
                  </w:r>
                  <w:r>
                    <w:rPr>
                      <w:rFonts w:hint="eastAsia" w:cs="Times New Roman"/>
                      <w:color w:val="auto"/>
                      <w:szCs w:val="21"/>
                      <w:lang w:eastAsia="zh-CN"/>
                    </w:rPr>
                    <w:t>生产车间外</w:t>
                  </w:r>
                  <w:r>
                    <w:rPr>
                      <w:rFonts w:cs="Times New Roman"/>
                      <w:color w:val="auto"/>
                      <w:szCs w:val="21"/>
                    </w:rPr>
                    <w:t>设置1个沉砂池（容积</w:t>
                  </w:r>
                  <w:r>
                    <w:rPr>
                      <w:rFonts w:hint="eastAsia" w:cs="Times New Roman"/>
                      <w:color w:val="auto"/>
                      <w:szCs w:val="21"/>
                      <w:lang w:val="en-US" w:eastAsia="zh-CN"/>
                    </w:rPr>
                    <w:t>1</w:t>
                  </w:r>
                  <w:r>
                    <w:rPr>
                      <w:rFonts w:cs="Times New Roman"/>
                      <w:color w:val="auto"/>
                      <w:szCs w:val="21"/>
                    </w:rPr>
                    <w:t>0m</w:t>
                  </w:r>
                  <w:r>
                    <w:rPr>
                      <w:rFonts w:cs="Times New Roman"/>
                      <w:color w:val="auto"/>
                      <w:szCs w:val="21"/>
                      <w:vertAlign w:val="superscript"/>
                    </w:rPr>
                    <w:t>3</w:t>
                  </w:r>
                  <w:r>
                    <w:rPr>
                      <w:rFonts w:cs="Times New Roman"/>
                      <w:color w:val="auto"/>
                      <w:szCs w:val="21"/>
                    </w:rPr>
                    <w:t>）、1台螺旋绞砂机，将生产废水中粗砂用螺旋绞砂机筛选出后外售。</w:t>
                  </w:r>
                </w:p>
              </w:tc>
              <w:tc>
                <w:tcPr>
                  <w:tcW w:w="598" w:type="pct"/>
                  <w:vMerge w:val="continue"/>
                  <w:tcBorders>
                    <w:tl2br w:val="nil"/>
                    <w:tr2bl w:val="nil"/>
                  </w:tcBorders>
                  <w:shd w:val="clear" w:color="auto" w:fill="auto"/>
                  <w:vAlign w:val="center"/>
                </w:tcPr>
                <w:p w14:paraId="5E9B1736">
                  <w:pPr>
                    <w:spacing w:line="240" w:lineRule="exact"/>
                    <w:jc w:val="center"/>
                    <w:rPr>
                      <w:rFonts w:cs="Times New Roman"/>
                      <w:color w:val="auto"/>
                      <w:szCs w:val="21"/>
                    </w:rPr>
                  </w:pPr>
                </w:p>
              </w:tc>
              <w:tc>
                <w:tcPr>
                  <w:tcW w:w="528" w:type="pct"/>
                  <w:tcBorders>
                    <w:tl2br w:val="nil"/>
                    <w:tr2bl w:val="nil"/>
                  </w:tcBorders>
                  <w:shd w:val="clear" w:color="auto" w:fill="auto"/>
                  <w:vAlign w:val="center"/>
                </w:tcPr>
                <w:p w14:paraId="3BC39E14">
                  <w:pPr>
                    <w:spacing w:line="240" w:lineRule="exact"/>
                    <w:jc w:val="center"/>
                    <w:rPr>
                      <w:rFonts w:cs="Times New Roman"/>
                      <w:color w:val="auto"/>
                      <w:szCs w:val="21"/>
                    </w:rPr>
                  </w:pPr>
                  <w:r>
                    <w:rPr>
                      <w:rFonts w:cs="Times New Roman"/>
                      <w:color w:val="auto"/>
                      <w:szCs w:val="21"/>
                    </w:rPr>
                    <w:t>/</w:t>
                  </w:r>
                </w:p>
              </w:tc>
              <w:tc>
                <w:tcPr>
                  <w:tcW w:w="369" w:type="pct"/>
                  <w:tcBorders>
                    <w:tl2br w:val="nil"/>
                    <w:tr2bl w:val="nil"/>
                  </w:tcBorders>
                  <w:shd w:val="clear" w:color="auto" w:fill="auto"/>
                  <w:vAlign w:val="center"/>
                </w:tcPr>
                <w:p w14:paraId="3C5B94D0">
                  <w:pPr>
                    <w:spacing w:line="240" w:lineRule="exact"/>
                    <w:jc w:val="center"/>
                    <w:rPr>
                      <w:rFonts w:cs="Times New Roman"/>
                      <w:color w:val="auto"/>
                      <w:szCs w:val="21"/>
                    </w:rPr>
                  </w:pPr>
                  <w:r>
                    <w:rPr>
                      <w:rFonts w:hint="eastAsia" w:cs="Times New Roman"/>
                      <w:color w:val="auto"/>
                      <w:szCs w:val="21"/>
                      <w:lang w:eastAsia="zh-CN"/>
                    </w:rPr>
                    <w:t>新建</w:t>
                  </w:r>
                </w:p>
              </w:tc>
            </w:tr>
            <w:tr w14:paraId="35B6429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1911" w:hRule="atLeast"/>
                <w:jc w:val="center"/>
              </w:trPr>
              <w:tc>
                <w:tcPr>
                  <w:tcW w:w="362" w:type="pct"/>
                  <w:vMerge w:val="continue"/>
                  <w:tcBorders>
                    <w:tl2br w:val="nil"/>
                    <w:tr2bl w:val="nil"/>
                  </w:tcBorders>
                  <w:shd w:val="clear" w:color="auto" w:fill="auto"/>
                  <w:vAlign w:val="center"/>
                </w:tcPr>
                <w:p w14:paraId="4AA5454A">
                  <w:pPr>
                    <w:spacing w:line="240" w:lineRule="exact"/>
                    <w:jc w:val="center"/>
                    <w:rPr>
                      <w:rFonts w:cs="Times New Roman"/>
                      <w:color w:val="auto"/>
                      <w:szCs w:val="21"/>
                    </w:rPr>
                  </w:pPr>
                </w:p>
              </w:tc>
              <w:tc>
                <w:tcPr>
                  <w:tcW w:w="307" w:type="pct"/>
                  <w:vMerge w:val="continue"/>
                  <w:tcBorders>
                    <w:tl2br w:val="nil"/>
                    <w:tr2bl w:val="nil"/>
                  </w:tcBorders>
                  <w:shd w:val="clear" w:color="auto" w:fill="auto"/>
                  <w:vAlign w:val="center"/>
                </w:tcPr>
                <w:p w14:paraId="376037D8">
                  <w:pPr>
                    <w:tabs>
                      <w:tab w:val="left" w:pos="993"/>
                      <w:tab w:val="left" w:pos="1134"/>
                    </w:tabs>
                    <w:spacing w:line="240" w:lineRule="exact"/>
                    <w:jc w:val="center"/>
                    <w:rPr>
                      <w:rFonts w:cs="Times New Roman"/>
                      <w:color w:val="auto"/>
                      <w:szCs w:val="21"/>
                    </w:rPr>
                  </w:pPr>
                </w:p>
              </w:tc>
              <w:tc>
                <w:tcPr>
                  <w:tcW w:w="266" w:type="pct"/>
                  <w:tcBorders>
                    <w:tl2br w:val="nil"/>
                    <w:tr2bl w:val="nil"/>
                  </w:tcBorders>
                  <w:shd w:val="clear" w:color="auto" w:fill="auto"/>
                  <w:vAlign w:val="center"/>
                </w:tcPr>
                <w:p w14:paraId="2520414F">
                  <w:pPr>
                    <w:tabs>
                      <w:tab w:val="left" w:pos="993"/>
                      <w:tab w:val="left" w:pos="1134"/>
                    </w:tabs>
                    <w:spacing w:line="240" w:lineRule="exact"/>
                    <w:jc w:val="center"/>
                    <w:rPr>
                      <w:rFonts w:cs="Times New Roman"/>
                      <w:color w:val="auto"/>
                      <w:szCs w:val="21"/>
                    </w:rPr>
                  </w:pPr>
                  <w:r>
                    <w:rPr>
                      <w:rFonts w:cs="Times New Roman"/>
                      <w:color w:val="auto"/>
                      <w:szCs w:val="21"/>
                    </w:rPr>
                    <w:t>危险废物</w:t>
                  </w:r>
                </w:p>
              </w:tc>
              <w:tc>
                <w:tcPr>
                  <w:tcW w:w="2566" w:type="pct"/>
                  <w:tcBorders>
                    <w:tl2br w:val="nil"/>
                    <w:tr2bl w:val="nil"/>
                  </w:tcBorders>
                  <w:shd w:val="clear" w:color="auto" w:fill="auto"/>
                  <w:vAlign w:val="center"/>
                </w:tcPr>
                <w:p w14:paraId="1399866D">
                  <w:pPr>
                    <w:tabs>
                      <w:tab w:val="left" w:pos="993"/>
                      <w:tab w:val="left" w:pos="1134"/>
                    </w:tabs>
                    <w:spacing w:line="240" w:lineRule="exact"/>
                    <w:jc w:val="left"/>
                    <w:rPr>
                      <w:rFonts w:hint="eastAsia" w:eastAsia="宋体" w:cs="Times New Roman"/>
                      <w:color w:val="auto"/>
                      <w:szCs w:val="21"/>
                      <w:lang w:eastAsia="zh-CN"/>
                    </w:rPr>
                  </w:pPr>
                  <w:r>
                    <w:rPr>
                      <w:rFonts w:cs="Times New Roman"/>
                      <w:color w:val="auto"/>
                      <w:szCs w:val="21"/>
                      <w:lang w:bidi="ar"/>
                    </w:rPr>
                    <w:t>按照《</w:t>
                  </w:r>
                  <w:r>
                    <w:rPr>
                      <w:rFonts w:hint="eastAsia" w:cs="Times New Roman"/>
                      <w:color w:val="auto"/>
                      <w:szCs w:val="21"/>
                      <w:lang w:eastAsia="zh-CN" w:bidi="ar"/>
                    </w:rPr>
                    <w:t>危险废物贮存污染控制标准</w:t>
                  </w:r>
                  <w:r>
                    <w:rPr>
                      <w:rFonts w:cs="Times New Roman"/>
                      <w:color w:val="auto"/>
                      <w:szCs w:val="21"/>
                      <w:lang w:bidi="ar"/>
                    </w:rPr>
                    <w:t>》</w:t>
                  </w:r>
                  <w:r>
                    <w:rPr>
                      <w:rFonts w:hint="eastAsia" w:cs="Times New Roman"/>
                      <w:color w:val="auto"/>
                      <w:szCs w:val="21"/>
                      <w:lang w:val="en-US" w:eastAsia="zh-CN" w:bidi="ar"/>
                    </w:rPr>
                    <w:t>（</w:t>
                  </w:r>
                  <w:r>
                    <w:rPr>
                      <w:rFonts w:cs="Times New Roman"/>
                      <w:color w:val="auto"/>
                      <w:szCs w:val="21"/>
                      <w:lang w:bidi="ar"/>
                    </w:rPr>
                    <w:t>GB18597-2023</w:t>
                  </w:r>
                  <w:r>
                    <w:rPr>
                      <w:rFonts w:hint="eastAsia" w:cs="Times New Roman"/>
                      <w:color w:val="auto"/>
                      <w:szCs w:val="21"/>
                      <w:lang w:eastAsia="zh-CN" w:bidi="ar"/>
                    </w:rPr>
                    <w:t>）</w:t>
                  </w:r>
                  <w:r>
                    <w:rPr>
                      <w:rFonts w:cs="Times New Roman"/>
                      <w:color w:val="auto"/>
                      <w:szCs w:val="21"/>
                      <w:lang w:bidi="ar"/>
                    </w:rPr>
                    <w:t>的最新要求，设置规范的危废间，建筑面积5m</w:t>
                  </w:r>
                  <w:r>
                    <w:rPr>
                      <w:rFonts w:cs="Times New Roman"/>
                      <w:color w:val="auto"/>
                      <w:szCs w:val="21"/>
                      <w:vertAlign w:val="superscript"/>
                      <w:lang w:bidi="ar"/>
                    </w:rPr>
                    <w:t>2</w:t>
                  </w:r>
                  <w:r>
                    <w:rPr>
                      <w:rFonts w:cs="Times New Roman"/>
                      <w:color w:val="auto"/>
                      <w:szCs w:val="21"/>
                      <w:lang w:bidi="ar"/>
                    </w:rPr>
                    <w:t>， 用于设备检修过程产生的少量废机油暂存</w:t>
                  </w:r>
                  <w:r>
                    <w:rPr>
                      <w:rFonts w:hint="eastAsia" w:cs="Times New Roman"/>
                      <w:color w:val="auto"/>
                      <w:szCs w:val="21"/>
                      <w:lang w:eastAsia="zh-CN" w:bidi="ar"/>
                    </w:rPr>
                    <w:t>，并</w:t>
                  </w:r>
                  <w:r>
                    <w:rPr>
                      <w:rFonts w:cs="Times New Roman"/>
                      <w:color w:val="auto"/>
                      <w:szCs w:val="21"/>
                      <w:lang w:bidi="ar"/>
                    </w:rPr>
                    <w:t>落实防风、防雨、防晒、防渗、防漏、 防腐等环境污染防治措施，并按《危险废物识别标志设置技术规范》</w:t>
                  </w:r>
                  <w:r>
                    <w:rPr>
                      <w:rFonts w:hint="eastAsia" w:cs="Times New Roman"/>
                      <w:color w:val="auto"/>
                      <w:szCs w:val="21"/>
                      <w:lang w:val="en-US" w:eastAsia="zh-CN" w:bidi="ar"/>
                    </w:rPr>
                    <w:t>（</w:t>
                  </w:r>
                  <w:r>
                    <w:rPr>
                      <w:rFonts w:cs="Times New Roman"/>
                      <w:color w:val="auto"/>
                      <w:szCs w:val="21"/>
                      <w:lang w:bidi="ar"/>
                    </w:rPr>
                    <w:t>HJ</w:t>
                  </w:r>
                  <w:r>
                    <w:rPr>
                      <w:rFonts w:hint="eastAsia" w:cs="Times New Roman"/>
                      <w:color w:val="auto"/>
                      <w:szCs w:val="21"/>
                      <w:lang w:val="en-US" w:eastAsia="zh-CN" w:bidi="ar"/>
                    </w:rPr>
                    <w:t xml:space="preserve"> </w:t>
                  </w:r>
                  <w:r>
                    <w:rPr>
                      <w:rFonts w:cs="Times New Roman"/>
                      <w:color w:val="auto"/>
                      <w:szCs w:val="21"/>
                      <w:lang w:bidi="ar"/>
                    </w:rPr>
                    <w:t>1276-2022</w:t>
                  </w:r>
                  <w:r>
                    <w:rPr>
                      <w:rFonts w:hint="eastAsia" w:cs="Times New Roman"/>
                      <w:color w:val="auto"/>
                      <w:szCs w:val="21"/>
                      <w:lang w:eastAsia="zh-CN" w:bidi="ar"/>
                    </w:rPr>
                    <w:t>）</w:t>
                  </w:r>
                  <w:r>
                    <w:rPr>
                      <w:rFonts w:cs="Times New Roman"/>
                      <w:color w:val="auto"/>
                      <w:szCs w:val="21"/>
                      <w:lang w:bidi="ar"/>
                    </w:rPr>
                    <w:t>的要求张贴标识标牌等，建立危废台账，委托有资质的单位</w:t>
                  </w:r>
                  <w:r>
                    <w:rPr>
                      <w:rFonts w:hint="eastAsia" w:cs="Times New Roman"/>
                      <w:color w:val="auto"/>
                      <w:szCs w:val="21"/>
                      <w:lang w:eastAsia="zh-CN" w:bidi="ar"/>
                    </w:rPr>
                    <w:t>进行</w:t>
                  </w:r>
                  <w:r>
                    <w:rPr>
                      <w:rFonts w:cs="Times New Roman"/>
                      <w:color w:val="auto"/>
                      <w:szCs w:val="21"/>
                      <w:lang w:bidi="ar"/>
                    </w:rPr>
                    <w:t>处理</w:t>
                  </w:r>
                  <w:r>
                    <w:rPr>
                      <w:rFonts w:hint="eastAsia" w:cs="Times New Roman"/>
                      <w:color w:val="auto"/>
                      <w:szCs w:val="21"/>
                      <w:lang w:eastAsia="zh-CN" w:bidi="ar"/>
                    </w:rPr>
                    <w:t>。</w:t>
                  </w:r>
                </w:p>
              </w:tc>
              <w:tc>
                <w:tcPr>
                  <w:tcW w:w="598" w:type="pct"/>
                  <w:vMerge w:val="continue"/>
                  <w:tcBorders>
                    <w:tl2br w:val="nil"/>
                    <w:tr2bl w:val="nil"/>
                  </w:tcBorders>
                  <w:shd w:val="clear" w:color="auto" w:fill="auto"/>
                  <w:vAlign w:val="center"/>
                </w:tcPr>
                <w:p w14:paraId="5CCFF044">
                  <w:pPr>
                    <w:tabs>
                      <w:tab w:val="left" w:pos="993"/>
                      <w:tab w:val="left" w:pos="1134"/>
                    </w:tabs>
                    <w:spacing w:line="240" w:lineRule="exact"/>
                    <w:jc w:val="center"/>
                    <w:rPr>
                      <w:rFonts w:cs="Times New Roman"/>
                      <w:color w:val="auto"/>
                      <w:szCs w:val="21"/>
                      <w:lang w:bidi="ar"/>
                    </w:rPr>
                  </w:pPr>
                </w:p>
              </w:tc>
              <w:tc>
                <w:tcPr>
                  <w:tcW w:w="528" w:type="pct"/>
                  <w:tcBorders>
                    <w:tl2br w:val="nil"/>
                    <w:tr2bl w:val="nil"/>
                  </w:tcBorders>
                  <w:shd w:val="clear" w:color="auto" w:fill="auto"/>
                  <w:vAlign w:val="center"/>
                </w:tcPr>
                <w:p w14:paraId="517C73E2">
                  <w:pPr>
                    <w:spacing w:line="240" w:lineRule="exact"/>
                    <w:jc w:val="center"/>
                    <w:rPr>
                      <w:rFonts w:cs="Times New Roman"/>
                      <w:color w:val="auto"/>
                      <w:szCs w:val="21"/>
                    </w:rPr>
                  </w:pPr>
                  <w:r>
                    <w:rPr>
                      <w:rFonts w:cs="Times New Roman"/>
                      <w:color w:val="auto"/>
                      <w:szCs w:val="21"/>
                    </w:rPr>
                    <w:t>环境风险</w:t>
                  </w:r>
                </w:p>
              </w:tc>
              <w:tc>
                <w:tcPr>
                  <w:tcW w:w="369" w:type="pct"/>
                  <w:tcBorders>
                    <w:tl2br w:val="nil"/>
                    <w:tr2bl w:val="nil"/>
                  </w:tcBorders>
                  <w:shd w:val="clear" w:color="auto" w:fill="auto"/>
                  <w:vAlign w:val="center"/>
                </w:tcPr>
                <w:p w14:paraId="0BC3C702">
                  <w:pPr>
                    <w:spacing w:line="240" w:lineRule="exact"/>
                    <w:jc w:val="center"/>
                    <w:rPr>
                      <w:rFonts w:cs="Times New Roman"/>
                      <w:color w:val="auto"/>
                      <w:szCs w:val="21"/>
                    </w:rPr>
                  </w:pPr>
                  <w:r>
                    <w:rPr>
                      <w:rFonts w:hint="eastAsia" w:cs="Times New Roman"/>
                      <w:color w:val="auto"/>
                      <w:szCs w:val="21"/>
                      <w:lang w:eastAsia="zh-CN"/>
                    </w:rPr>
                    <w:t>新建</w:t>
                  </w:r>
                </w:p>
              </w:tc>
            </w:tr>
            <w:tr w14:paraId="1CA6CC6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524" w:hRule="atLeast"/>
                <w:jc w:val="center"/>
              </w:trPr>
              <w:tc>
                <w:tcPr>
                  <w:tcW w:w="362" w:type="pct"/>
                  <w:vMerge w:val="continue"/>
                  <w:tcBorders>
                    <w:tl2br w:val="nil"/>
                    <w:tr2bl w:val="nil"/>
                  </w:tcBorders>
                  <w:shd w:val="clear" w:color="auto" w:fill="auto"/>
                  <w:vAlign w:val="center"/>
                </w:tcPr>
                <w:p w14:paraId="692CD011">
                  <w:pPr>
                    <w:spacing w:line="240" w:lineRule="exact"/>
                    <w:jc w:val="center"/>
                    <w:rPr>
                      <w:rFonts w:cs="Times New Roman"/>
                      <w:color w:val="auto"/>
                      <w:szCs w:val="21"/>
                    </w:rPr>
                  </w:pPr>
                </w:p>
              </w:tc>
              <w:tc>
                <w:tcPr>
                  <w:tcW w:w="573" w:type="pct"/>
                  <w:gridSpan w:val="2"/>
                  <w:tcBorders>
                    <w:tl2br w:val="nil"/>
                    <w:tr2bl w:val="nil"/>
                  </w:tcBorders>
                  <w:shd w:val="clear" w:color="auto" w:fill="auto"/>
                  <w:vAlign w:val="center"/>
                </w:tcPr>
                <w:p w14:paraId="36C52A32">
                  <w:pPr>
                    <w:tabs>
                      <w:tab w:val="left" w:pos="993"/>
                      <w:tab w:val="left" w:pos="1134"/>
                    </w:tabs>
                    <w:spacing w:line="240" w:lineRule="exact"/>
                    <w:jc w:val="center"/>
                    <w:rPr>
                      <w:rFonts w:hint="eastAsia" w:eastAsia="宋体" w:cs="Times New Roman"/>
                      <w:color w:val="auto"/>
                      <w:szCs w:val="21"/>
                      <w:lang w:eastAsia="zh-CN"/>
                    </w:rPr>
                  </w:pPr>
                  <w:r>
                    <w:rPr>
                      <w:rFonts w:cs="Times New Roman"/>
                      <w:color w:val="auto"/>
                      <w:szCs w:val="21"/>
                    </w:rPr>
                    <w:t>噪声</w:t>
                  </w:r>
                  <w:r>
                    <w:rPr>
                      <w:rFonts w:hint="eastAsia" w:cs="Times New Roman"/>
                      <w:color w:val="auto"/>
                      <w:szCs w:val="21"/>
                      <w:lang w:eastAsia="zh-CN"/>
                    </w:rPr>
                    <w:t>治理</w:t>
                  </w:r>
                </w:p>
              </w:tc>
              <w:tc>
                <w:tcPr>
                  <w:tcW w:w="2566" w:type="pct"/>
                  <w:tcBorders>
                    <w:tl2br w:val="nil"/>
                    <w:tr2bl w:val="nil"/>
                  </w:tcBorders>
                  <w:shd w:val="clear" w:color="auto" w:fill="auto"/>
                  <w:vAlign w:val="center"/>
                </w:tcPr>
                <w:p w14:paraId="33088319">
                  <w:pPr>
                    <w:tabs>
                      <w:tab w:val="left" w:pos="993"/>
                      <w:tab w:val="left" w:pos="1134"/>
                    </w:tabs>
                    <w:spacing w:line="240" w:lineRule="exact"/>
                    <w:jc w:val="left"/>
                    <w:rPr>
                      <w:rFonts w:cs="Times New Roman"/>
                      <w:color w:val="auto"/>
                      <w:szCs w:val="21"/>
                      <w:lang w:bidi="ar"/>
                    </w:rPr>
                  </w:pPr>
                  <w:r>
                    <w:rPr>
                      <w:rFonts w:cs="Times New Roman"/>
                      <w:color w:val="auto"/>
                      <w:szCs w:val="21"/>
                    </w:rPr>
                    <w:t>采取建筑物隔声，选用低噪声设备，设备基础减振，合理布局及采取减震等措施</w:t>
                  </w:r>
                </w:p>
              </w:tc>
              <w:tc>
                <w:tcPr>
                  <w:tcW w:w="598" w:type="pct"/>
                  <w:vMerge w:val="continue"/>
                  <w:tcBorders>
                    <w:tl2br w:val="nil"/>
                    <w:tr2bl w:val="nil"/>
                  </w:tcBorders>
                  <w:shd w:val="clear" w:color="auto" w:fill="auto"/>
                  <w:vAlign w:val="center"/>
                </w:tcPr>
                <w:p w14:paraId="7D4458EB">
                  <w:pPr>
                    <w:spacing w:line="240" w:lineRule="exact"/>
                    <w:jc w:val="center"/>
                    <w:rPr>
                      <w:rFonts w:cs="Times New Roman"/>
                      <w:color w:val="auto"/>
                      <w:szCs w:val="21"/>
                    </w:rPr>
                  </w:pPr>
                </w:p>
              </w:tc>
              <w:tc>
                <w:tcPr>
                  <w:tcW w:w="528" w:type="pct"/>
                  <w:tcBorders>
                    <w:tl2br w:val="nil"/>
                    <w:tr2bl w:val="nil"/>
                  </w:tcBorders>
                  <w:shd w:val="clear" w:color="auto" w:fill="auto"/>
                  <w:vAlign w:val="center"/>
                </w:tcPr>
                <w:p w14:paraId="642D7C29">
                  <w:pPr>
                    <w:spacing w:line="240" w:lineRule="exact"/>
                    <w:jc w:val="center"/>
                    <w:rPr>
                      <w:rFonts w:cs="Times New Roman"/>
                      <w:color w:val="auto"/>
                      <w:szCs w:val="21"/>
                    </w:rPr>
                  </w:pPr>
                  <w:r>
                    <w:rPr>
                      <w:rFonts w:cs="Times New Roman"/>
                      <w:color w:val="auto"/>
                      <w:szCs w:val="21"/>
                    </w:rPr>
                    <w:t>/</w:t>
                  </w:r>
                </w:p>
              </w:tc>
              <w:tc>
                <w:tcPr>
                  <w:tcW w:w="369" w:type="pct"/>
                  <w:tcBorders>
                    <w:tl2br w:val="nil"/>
                    <w:tr2bl w:val="nil"/>
                  </w:tcBorders>
                  <w:shd w:val="clear" w:color="auto" w:fill="auto"/>
                  <w:vAlign w:val="center"/>
                </w:tcPr>
                <w:p w14:paraId="32DE3720">
                  <w:pPr>
                    <w:spacing w:line="240" w:lineRule="exact"/>
                    <w:jc w:val="center"/>
                    <w:rPr>
                      <w:rFonts w:cs="Times New Roman"/>
                      <w:color w:val="auto"/>
                      <w:szCs w:val="21"/>
                    </w:rPr>
                  </w:pPr>
                  <w:r>
                    <w:rPr>
                      <w:rFonts w:hint="eastAsia" w:cs="Times New Roman"/>
                      <w:color w:val="auto"/>
                      <w:szCs w:val="21"/>
                      <w:lang w:eastAsia="zh-CN"/>
                    </w:rPr>
                    <w:t>新建</w:t>
                  </w:r>
                </w:p>
              </w:tc>
            </w:tr>
            <w:tr w14:paraId="452C7A2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729" w:hRule="atLeast"/>
                <w:jc w:val="center"/>
              </w:trPr>
              <w:tc>
                <w:tcPr>
                  <w:tcW w:w="362" w:type="pct"/>
                  <w:vMerge w:val="continue"/>
                  <w:tcBorders>
                    <w:tl2br w:val="nil"/>
                    <w:tr2bl w:val="nil"/>
                  </w:tcBorders>
                  <w:shd w:val="clear" w:color="auto" w:fill="auto"/>
                  <w:vAlign w:val="center"/>
                </w:tcPr>
                <w:p w14:paraId="15A05E0A">
                  <w:pPr>
                    <w:spacing w:line="240" w:lineRule="exact"/>
                    <w:jc w:val="center"/>
                    <w:rPr>
                      <w:rFonts w:cs="Times New Roman"/>
                      <w:color w:val="auto"/>
                      <w:szCs w:val="21"/>
                    </w:rPr>
                  </w:pPr>
                </w:p>
              </w:tc>
              <w:tc>
                <w:tcPr>
                  <w:tcW w:w="573" w:type="pct"/>
                  <w:gridSpan w:val="2"/>
                  <w:vMerge w:val="restart"/>
                  <w:tcBorders>
                    <w:tl2br w:val="nil"/>
                    <w:tr2bl w:val="nil"/>
                  </w:tcBorders>
                  <w:shd w:val="clear" w:color="auto" w:fill="auto"/>
                  <w:vAlign w:val="center"/>
                </w:tcPr>
                <w:p w14:paraId="188C3D2B">
                  <w:pPr>
                    <w:tabs>
                      <w:tab w:val="left" w:pos="993"/>
                      <w:tab w:val="left" w:pos="1134"/>
                    </w:tabs>
                    <w:spacing w:line="240" w:lineRule="exact"/>
                    <w:jc w:val="center"/>
                    <w:rPr>
                      <w:rFonts w:cs="Times New Roman"/>
                      <w:bCs/>
                      <w:color w:val="auto"/>
                      <w:szCs w:val="21"/>
                    </w:rPr>
                  </w:pPr>
                  <w:r>
                    <w:rPr>
                      <w:rFonts w:hint="eastAsia" w:cs="Times New Roman"/>
                      <w:bCs/>
                      <w:color w:val="auto"/>
                      <w:szCs w:val="21"/>
                    </w:rPr>
                    <w:t>环境风险</w:t>
                  </w:r>
                </w:p>
              </w:tc>
              <w:tc>
                <w:tcPr>
                  <w:tcW w:w="2566" w:type="pct"/>
                  <w:tcBorders>
                    <w:tl2br w:val="nil"/>
                    <w:tr2bl w:val="nil"/>
                  </w:tcBorders>
                  <w:shd w:val="clear" w:color="auto" w:fill="auto"/>
                  <w:vAlign w:val="center"/>
                </w:tcPr>
                <w:p w14:paraId="6D3424C4">
                  <w:pPr>
                    <w:tabs>
                      <w:tab w:val="left" w:pos="993"/>
                      <w:tab w:val="left" w:pos="1134"/>
                    </w:tabs>
                    <w:spacing w:line="240" w:lineRule="exact"/>
                    <w:jc w:val="left"/>
                    <w:rPr>
                      <w:rFonts w:hint="eastAsia" w:eastAsia="宋体" w:cs="Times New Roman"/>
                      <w:color w:val="auto"/>
                      <w:szCs w:val="21"/>
                      <w:lang w:eastAsia="zh-CN"/>
                    </w:rPr>
                  </w:pPr>
                  <w:r>
                    <w:rPr>
                      <w:rFonts w:hint="eastAsia" w:cs="Times New Roman"/>
                      <w:bCs/>
                      <w:color w:val="auto"/>
                      <w:szCs w:val="21"/>
                      <w:lang w:eastAsia="zh-CN"/>
                    </w:rPr>
                    <w:t>重点防渗区：维修间、</w:t>
                  </w:r>
                  <w:r>
                    <w:rPr>
                      <w:rFonts w:hint="eastAsia" w:cs="Times New Roman"/>
                      <w:bCs/>
                      <w:color w:val="auto"/>
                      <w:szCs w:val="21"/>
                      <w:lang w:val="en-US" w:eastAsia="zh-CN"/>
                    </w:rPr>
                    <w:t>危废暂存间地面</w:t>
                  </w:r>
                  <w:r>
                    <w:rPr>
                      <w:rFonts w:hint="eastAsia" w:cs="Times New Roman"/>
                      <w:bCs/>
                      <w:color w:val="auto"/>
                      <w:szCs w:val="21"/>
                      <w:lang w:eastAsia="zh-CN"/>
                    </w:rPr>
                    <w:t>采用15mm厚的防渗混凝土+高密度聚乙烯膜</w:t>
                  </w:r>
                  <w:r>
                    <w:rPr>
                      <w:rFonts w:hint="eastAsia" w:cs="Times New Roman"/>
                      <w:bCs/>
                      <w:color w:val="auto"/>
                      <w:szCs w:val="21"/>
                      <w:lang w:val="en-US" w:eastAsia="zh-CN"/>
                    </w:rPr>
                    <w:t>进行防渗。</w:t>
                  </w:r>
                </w:p>
              </w:tc>
              <w:tc>
                <w:tcPr>
                  <w:tcW w:w="598" w:type="pct"/>
                  <w:vMerge w:val="continue"/>
                  <w:tcBorders>
                    <w:tl2br w:val="nil"/>
                    <w:tr2bl w:val="nil"/>
                  </w:tcBorders>
                  <w:shd w:val="clear" w:color="auto" w:fill="auto"/>
                  <w:vAlign w:val="center"/>
                </w:tcPr>
                <w:p w14:paraId="18C7E8D3">
                  <w:pPr>
                    <w:spacing w:line="240" w:lineRule="exact"/>
                    <w:jc w:val="center"/>
                    <w:rPr>
                      <w:rFonts w:cs="Times New Roman"/>
                      <w:color w:val="auto"/>
                      <w:szCs w:val="21"/>
                    </w:rPr>
                  </w:pPr>
                </w:p>
              </w:tc>
              <w:tc>
                <w:tcPr>
                  <w:tcW w:w="528" w:type="pct"/>
                  <w:vMerge w:val="restart"/>
                  <w:tcBorders>
                    <w:tl2br w:val="nil"/>
                    <w:tr2bl w:val="nil"/>
                  </w:tcBorders>
                  <w:shd w:val="clear" w:color="auto" w:fill="auto"/>
                  <w:vAlign w:val="center"/>
                </w:tcPr>
                <w:p w14:paraId="7F943D44">
                  <w:pPr>
                    <w:spacing w:line="240" w:lineRule="exact"/>
                    <w:jc w:val="center"/>
                    <w:rPr>
                      <w:rFonts w:cs="Times New Roman"/>
                      <w:color w:val="auto"/>
                      <w:szCs w:val="21"/>
                    </w:rPr>
                  </w:pPr>
                  <w:r>
                    <w:rPr>
                      <w:rFonts w:cs="Times New Roman"/>
                      <w:color w:val="auto"/>
                      <w:szCs w:val="21"/>
                    </w:rPr>
                    <w:t>/</w:t>
                  </w:r>
                </w:p>
              </w:tc>
              <w:tc>
                <w:tcPr>
                  <w:tcW w:w="369" w:type="pct"/>
                  <w:vMerge w:val="restart"/>
                  <w:tcBorders>
                    <w:tl2br w:val="nil"/>
                    <w:tr2bl w:val="nil"/>
                  </w:tcBorders>
                  <w:shd w:val="clear" w:color="auto" w:fill="auto"/>
                  <w:vAlign w:val="center"/>
                </w:tcPr>
                <w:p w14:paraId="772F1697">
                  <w:pPr>
                    <w:spacing w:line="240" w:lineRule="exact"/>
                    <w:jc w:val="center"/>
                    <w:rPr>
                      <w:rFonts w:cs="Times New Roman"/>
                      <w:color w:val="auto"/>
                      <w:szCs w:val="21"/>
                    </w:rPr>
                  </w:pPr>
                  <w:r>
                    <w:rPr>
                      <w:rFonts w:hint="eastAsia" w:cs="Times New Roman"/>
                      <w:color w:val="auto"/>
                      <w:szCs w:val="21"/>
                      <w:lang w:eastAsia="zh-CN"/>
                    </w:rPr>
                    <w:t>新建</w:t>
                  </w:r>
                </w:p>
              </w:tc>
            </w:tr>
            <w:tr w14:paraId="28175C4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92" w:hRule="atLeast"/>
                <w:jc w:val="center"/>
              </w:trPr>
              <w:tc>
                <w:tcPr>
                  <w:tcW w:w="362" w:type="pct"/>
                  <w:vMerge w:val="continue"/>
                  <w:tcBorders>
                    <w:tl2br w:val="nil"/>
                    <w:tr2bl w:val="nil"/>
                  </w:tcBorders>
                  <w:shd w:val="clear" w:color="auto" w:fill="auto"/>
                  <w:vAlign w:val="center"/>
                </w:tcPr>
                <w:p w14:paraId="40FB09E9">
                  <w:pPr>
                    <w:spacing w:line="240" w:lineRule="exact"/>
                    <w:jc w:val="center"/>
                    <w:rPr>
                      <w:rFonts w:cs="Times New Roman"/>
                      <w:color w:val="auto"/>
                      <w:szCs w:val="21"/>
                    </w:rPr>
                  </w:pPr>
                </w:p>
              </w:tc>
              <w:tc>
                <w:tcPr>
                  <w:tcW w:w="573" w:type="pct"/>
                  <w:gridSpan w:val="2"/>
                  <w:vMerge w:val="continue"/>
                  <w:tcBorders>
                    <w:tl2br w:val="nil"/>
                    <w:tr2bl w:val="nil"/>
                  </w:tcBorders>
                  <w:shd w:val="clear" w:color="auto" w:fill="auto"/>
                  <w:vAlign w:val="center"/>
                </w:tcPr>
                <w:p w14:paraId="6B31F9CC">
                  <w:pPr>
                    <w:tabs>
                      <w:tab w:val="left" w:pos="993"/>
                      <w:tab w:val="left" w:pos="1134"/>
                    </w:tabs>
                    <w:spacing w:line="240" w:lineRule="exact"/>
                    <w:jc w:val="center"/>
                    <w:rPr>
                      <w:rFonts w:hint="eastAsia" w:cs="Times New Roman"/>
                      <w:bCs/>
                      <w:color w:val="auto"/>
                      <w:szCs w:val="21"/>
                    </w:rPr>
                  </w:pPr>
                </w:p>
              </w:tc>
              <w:tc>
                <w:tcPr>
                  <w:tcW w:w="2566" w:type="pct"/>
                  <w:tcBorders>
                    <w:tl2br w:val="nil"/>
                    <w:tr2bl w:val="nil"/>
                  </w:tcBorders>
                  <w:shd w:val="clear" w:color="auto" w:fill="auto"/>
                  <w:vAlign w:val="center"/>
                </w:tcPr>
                <w:p w14:paraId="3156A099">
                  <w:pPr>
                    <w:tabs>
                      <w:tab w:val="left" w:pos="993"/>
                      <w:tab w:val="left" w:pos="1134"/>
                    </w:tabs>
                    <w:spacing w:line="240" w:lineRule="exact"/>
                    <w:jc w:val="left"/>
                    <w:rPr>
                      <w:rFonts w:hint="eastAsia" w:cs="Times New Roman"/>
                      <w:bCs/>
                      <w:color w:val="auto"/>
                      <w:szCs w:val="21"/>
                    </w:rPr>
                  </w:pPr>
                  <w:r>
                    <w:rPr>
                      <w:rFonts w:hint="eastAsia" w:cs="Times New Roman"/>
                      <w:color w:val="auto"/>
                      <w:sz w:val="21"/>
                      <w:szCs w:val="21"/>
                      <w:highlight w:val="none"/>
                      <w:lang w:val="en-US" w:eastAsia="zh-CN"/>
                    </w:rPr>
                    <w:t>一般防渗区：生产车间</w:t>
                  </w:r>
                  <w:r>
                    <w:rPr>
                      <w:rFonts w:hint="default" w:ascii="Times New Roman" w:hAnsi="Times New Roman" w:cs="Times New Roman"/>
                      <w:color w:val="auto"/>
                      <w:sz w:val="21"/>
                      <w:szCs w:val="21"/>
                      <w:highlight w:val="none"/>
                      <w:lang w:val="en-US" w:eastAsia="zh-CN"/>
                    </w:rPr>
                    <w:t>、沉淀池、</w:t>
                  </w:r>
                  <w:r>
                    <w:rPr>
                      <w:rFonts w:hint="eastAsia" w:cs="Times New Roman"/>
                      <w:color w:val="auto"/>
                      <w:sz w:val="21"/>
                      <w:szCs w:val="21"/>
                      <w:highlight w:val="none"/>
                      <w:lang w:val="en-US" w:eastAsia="zh-CN"/>
                    </w:rPr>
                    <w:t>泥饼暂存场</w:t>
                  </w:r>
                  <w:r>
                    <w:rPr>
                      <w:rFonts w:hint="default" w:ascii="Times New Roman" w:hAnsi="Times New Roman" w:eastAsia="宋体" w:cs="Times New Roman"/>
                      <w:color w:val="auto"/>
                      <w:sz w:val="21"/>
                      <w:szCs w:val="21"/>
                      <w:highlight w:val="none"/>
                      <w:lang w:val="en-US" w:eastAsia="zh-CN" w:bidi="ar"/>
                    </w:rPr>
                    <w:t>采用25cmC30防渗混凝土防渗</w:t>
                  </w:r>
                  <w:r>
                    <w:rPr>
                      <w:rFonts w:hint="eastAsia" w:cs="Times New Roman"/>
                      <w:color w:val="auto"/>
                      <w:sz w:val="21"/>
                      <w:szCs w:val="21"/>
                      <w:highlight w:val="none"/>
                      <w:lang w:val="en-US" w:eastAsia="zh-CN" w:bidi="ar"/>
                    </w:rPr>
                    <w:t>。</w:t>
                  </w:r>
                </w:p>
              </w:tc>
              <w:tc>
                <w:tcPr>
                  <w:tcW w:w="598" w:type="pct"/>
                  <w:vMerge w:val="continue"/>
                  <w:tcBorders>
                    <w:tl2br w:val="nil"/>
                    <w:tr2bl w:val="nil"/>
                  </w:tcBorders>
                  <w:shd w:val="clear" w:color="auto" w:fill="auto"/>
                  <w:vAlign w:val="center"/>
                </w:tcPr>
                <w:p w14:paraId="796F718F">
                  <w:pPr>
                    <w:spacing w:line="240" w:lineRule="exact"/>
                    <w:jc w:val="center"/>
                    <w:rPr>
                      <w:rFonts w:cs="Times New Roman"/>
                      <w:color w:val="auto"/>
                      <w:szCs w:val="21"/>
                    </w:rPr>
                  </w:pPr>
                </w:p>
              </w:tc>
              <w:tc>
                <w:tcPr>
                  <w:tcW w:w="528" w:type="pct"/>
                  <w:vMerge w:val="continue"/>
                  <w:tcBorders>
                    <w:tl2br w:val="nil"/>
                    <w:tr2bl w:val="nil"/>
                  </w:tcBorders>
                  <w:shd w:val="clear" w:color="auto" w:fill="auto"/>
                  <w:vAlign w:val="center"/>
                </w:tcPr>
                <w:p w14:paraId="496FB7D4">
                  <w:pPr>
                    <w:spacing w:line="240" w:lineRule="exact"/>
                    <w:jc w:val="center"/>
                    <w:rPr>
                      <w:rFonts w:cs="Times New Roman"/>
                      <w:color w:val="auto"/>
                      <w:szCs w:val="21"/>
                    </w:rPr>
                  </w:pPr>
                </w:p>
              </w:tc>
              <w:tc>
                <w:tcPr>
                  <w:tcW w:w="369" w:type="pct"/>
                  <w:vMerge w:val="continue"/>
                  <w:tcBorders>
                    <w:tl2br w:val="nil"/>
                    <w:tr2bl w:val="nil"/>
                  </w:tcBorders>
                  <w:shd w:val="clear" w:color="auto" w:fill="auto"/>
                  <w:vAlign w:val="center"/>
                </w:tcPr>
                <w:p w14:paraId="43D63D58">
                  <w:pPr>
                    <w:spacing w:line="240" w:lineRule="exact"/>
                    <w:jc w:val="center"/>
                    <w:rPr>
                      <w:rFonts w:cs="Times New Roman"/>
                      <w:color w:val="auto"/>
                      <w:szCs w:val="21"/>
                    </w:rPr>
                  </w:pPr>
                </w:p>
              </w:tc>
            </w:tr>
            <w:tr w14:paraId="1550411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551" w:hRule="atLeast"/>
                <w:jc w:val="center"/>
              </w:trPr>
              <w:tc>
                <w:tcPr>
                  <w:tcW w:w="362" w:type="pct"/>
                  <w:vMerge w:val="continue"/>
                  <w:tcBorders>
                    <w:tl2br w:val="nil"/>
                    <w:tr2bl w:val="nil"/>
                  </w:tcBorders>
                  <w:shd w:val="clear" w:color="auto" w:fill="auto"/>
                  <w:vAlign w:val="center"/>
                </w:tcPr>
                <w:p w14:paraId="0B04CF68">
                  <w:pPr>
                    <w:spacing w:line="240" w:lineRule="exact"/>
                    <w:jc w:val="center"/>
                    <w:rPr>
                      <w:rFonts w:cs="Times New Roman"/>
                      <w:color w:val="auto"/>
                      <w:szCs w:val="21"/>
                    </w:rPr>
                  </w:pPr>
                </w:p>
              </w:tc>
              <w:tc>
                <w:tcPr>
                  <w:tcW w:w="573" w:type="pct"/>
                  <w:gridSpan w:val="2"/>
                  <w:vMerge w:val="continue"/>
                  <w:tcBorders>
                    <w:tl2br w:val="nil"/>
                    <w:tr2bl w:val="nil"/>
                  </w:tcBorders>
                  <w:shd w:val="clear" w:color="auto" w:fill="auto"/>
                  <w:vAlign w:val="center"/>
                </w:tcPr>
                <w:p w14:paraId="077B4E14">
                  <w:pPr>
                    <w:tabs>
                      <w:tab w:val="left" w:pos="993"/>
                      <w:tab w:val="left" w:pos="1134"/>
                    </w:tabs>
                    <w:spacing w:line="240" w:lineRule="exact"/>
                    <w:jc w:val="center"/>
                    <w:rPr>
                      <w:rFonts w:hint="eastAsia" w:cs="Times New Roman"/>
                      <w:bCs/>
                      <w:color w:val="auto"/>
                      <w:szCs w:val="21"/>
                    </w:rPr>
                  </w:pPr>
                </w:p>
              </w:tc>
              <w:tc>
                <w:tcPr>
                  <w:tcW w:w="2566" w:type="pct"/>
                  <w:tcBorders>
                    <w:tl2br w:val="nil"/>
                    <w:tr2bl w:val="nil"/>
                  </w:tcBorders>
                  <w:shd w:val="clear" w:color="auto" w:fill="auto"/>
                  <w:vAlign w:val="center"/>
                </w:tcPr>
                <w:p w14:paraId="6DCC3EB8">
                  <w:pPr>
                    <w:tabs>
                      <w:tab w:val="left" w:pos="993"/>
                      <w:tab w:val="left" w:pos="1134"/>
                    </w:tabs>
                    <w:spacing w:line="240" w:lineRule="exact"/>
                    <w:jc w:val="left"/>
                    <w:rPr>
                      <w:rFonts w:hint="eastAsia" w:eastAsia="宋体" w:cs="Times New Roman"/>
                      <w:bCs/>
                      <w:color w:val="auto"/>
                      <w:szCs w:val="21"/>
                      <w:lang w:eastAsia="zh-CN"/>
                    </w:rPr>
                  </w:pPr>
                  <w:r>
                    <w:rPr>
                      <w:rFonts w:hint="eastAsia" w:cs="Times New Roman"/>
                      <w:bCs/>
                      <w:color w:val="auto"/>
                      <w:szCs w:val="21"/>
                      <w:lang w:eastAsia="zh-CN"/>
                    </w:rPr>
                    <w:t>简单防渗区：</w:t>
                  </w:r>
                  <w:r>
                    <w:rPr>
                      <w:rFonts w:hint="default" w:ascii="Times New Roman" w:hAnsi="Times New Roman" w:eastAsia="宋体" w:cs="Times New Roman"/>
                      <w:color w:val="auto"/>
                      <w:sz w:val="21"/>
                      <w:szCs w:val="21"/>
                      <w:highlight w:val="none"/>
                      <w:lang w:val="en-US" w:eastAsia="zh-CN"/>
                    </w:rPr>
                    <w:t>厂区道路、办公区及除重点、一般防渗区以外的区域</w:t>
                  </w:r>
                  <w:r>
                    <w:rPr>
                      <w:rFonts w:hint="default" w:ascii="Times New Roman" w:hAnsi="Times New Roman" w:eastAsia="宋体" w:cs="Times New Roman"/>
                      <w:color w:val="auto"/>
                      <w:sz w:val="21"/>
                      <w:szCs w:val="21"/>
                      <w:highlight w:val="none"/>
                    </w:rPr>
                    <w:t>采用</w:t>
                  </w:r>
                  <w:r>
                    <w:rPr>
                      <w:rFonts w:hint="default" w:ascii="Times New Roman" w:hAnsi="Times New Roman" w:eastAsia="宋体" w:cs="Times New Roman"/>
                      <w:color w:val="auto"/>
                      <w:sz w:val="21"/>
                      <w:szCs w:val="21"/>
                      <w:highlight w:val="none"/>
                      <w:lang w:val="en-US" w:eastAsia="zh-CN"/>
                    </w:rPr>
                    <w:t>水泥硬化</w:t>
                  </w:r>
                  <w:r>
                    <w:rPr>
                      <w:rFonts w:hint="eastAsia" w:cs="Times New Roman"/>
                      <w:color w:val="auto"/>
                      <w:sz w:val="21"/>
                      <w:szCs w:val="21"/>
                      <w:highlight w:val="none"/>
                      <w:lang w:val="en-US" w:eastAsia="zh-CN"/>
                    </w:rPr>
                    <w:t>。</w:t>
                  </w:r>
                </w:p>
              </w:tc>
              <w:tc>
                <w:tcPr>
                  <w:tcW w:w="598" w:type="pct"/>
                  <w:vMerge w:val="continue"/>
                  <w:tcBorders>
                    <w:tl2br w:val="nil"/>
                    <w:tr2bl w:val="nil"/>
                  </w:tcBorders>
                  <w:shd w:val="clear" w:color="auto" w:fill="auto"/>
                  <w:vAlign w:val="center"/>
                </w:tcPr>
                <w:p w14:paraId="28F5D7F8">
                  <w:pPr>
                    <w:spacing w:line="240" w:lineRule="exact"/>
                    <w:jc w:val="center"/>
                    <w:rPr>
                      <w:rFonts w:cs="Times New Roman"/>
                      <w:color w:val="auto"/>
                      <w:szCs w:val="21"/>
                    </w:rPr>
                  </w:pPr>
                </w:p>
              </w:tc>
              <w:tc>
                <w:tcPr>
                  <w:tcW w:w="528" w:type="pct"/>
                  <w:vMerge w:val="continue"/>
                  <w:tcBorders>
                    <w:tl2br w:val="nil"/>
                    <w:tr2bl w:val="nil"/>
                  </w:tcBorders>
                  <w:shd w:val="clear" w:color="auto" w:fill="auto"/>
                  <w:vAlign w:val="center"/>
                </w:tcPr>
                <w:p w14:paraId="7D406C8C">
                  <w:pPr>
                    <w:spacing w:line="240" w:lineRule="exact"/>
                    <w:jc w:val="center"/>
                    <w:rPr>
                      <w:rFonts w:cs="Times New Roman"/>
                      <w:color w:val="auto"/>
                      <w:szCs w:val="21"/>
                    </w:rPr>
                  </w:pPr>
                </w:p>
              </w:tc>
              <w:tc>
                <w:tcPr>
                  <w:tcW w:w="369" w:type="pct"/>
                  <w:vMerge w:val="continue"/>
                  <w:tcBorders>
                    <w:tl2br w:val="nil"/>
                    <w:tr2bl w:val="nil"/>
                  </w:tcBorders>
                  <w:shd w:val="clear" w:color="auto" w:fill="auto"/>
                  <w:vAlign w:val="center"/>
                </w:tcPr>
                <w:p w14:paraId="09DA72EB">
                  <w:pPr>
                    <w:spacing w:line="240" w:lineRule="exact"/>
                    <w:jc w:val="center"/>
                    <w:rPr>
                      <w:rFonts w:cs="Times New Roman"/>
                      <w:color w:val="auto"/>
                      <w:szCs w:val="21"/>
                    </w:rPr>
                  </w:pPr>
                </w:p>
              </w:tc>
            </w:tr>
          </w:tbl>
          <w:p w14:paraId="48906AAE">
            <w:pPr>
              <w:spacing w:line="360" w:lineRule="auto"/>
              <w:ind w:firstLine="482" w:firstLineChars="200"/>
              <w:rPr>
                <w:rFonts w:cs="Times New Roman"/>
                <w:b/>
                <w:bCs/>
                <w:color w:val="auto"/>
                <w:kern w:val="24"/>
                <w:sz w:val="24"/>
                <w:szCs w:val="24"/>
              </w:rPr>
            </w:pPr>
            <w:r>
              <w:rPr>
                <w:rFonts w:hint="eastAsia" w:cs="Times New Roman"/>
                <w:b/>
                <w:bCs/>
                <w:color w:val="auto"/>
                <w:kern w:val="24"/>
                <w:sz w:val="24"/>
                <w:szCs w:val="24"/>
                <w:lang w:val="en-US" w:eastAsia="zh-CN"/>
              </w:rPr>
              <w:t>5</w:t>
            </w:r>
            <w:r>
              <w:rPr>
                <w:rFonts w:cs="Times New Roman"/>
                <w:b/>
                <w:bCs/>
                <w:color w:val="auto"/>
                <w:kern w:val="24"/>
                <w:sz w:val="24"/>
                <w:szCs w:val="24"/>
              </w:rPr>
              <w:t>、主要生产设施信息</w:t>
            </w:r>
          </w:p>
          <w:p w14:paraId="43C358E9">
            <w:pPr>
              <w:spacing w:line="360" w:lineRule="auto"/>
              <w:ind w:firstLine="480" w:firstLineChars="200"/>
              <w:rPr>
                <w:rFonts w:cs="Times New Roman"/>
                <w:color w:val="auto"/>
                <w:kern w:val="24"/>
                <w:sz w:val="24"/>
                <w:szCs w:val="24"/>
              </w:rPr>
            </w:pPr>
            <w:r>
              <w:rPr>
                <w:rFonts w:cs="Times New Roman"/>
                <w:color w:val="auto"/>
                <w:kern w:val="24"/>
                <w:sz w:val="24"/>
                <w:szCs w:val="24"/>
              </w:rPr>
              <w:t>本项目主要生产设施信息见表2-3。</w:t>
            </w:r>
          </w:p>
          <w:p w14:paraId="72CACC6C">
            <w:pPr>
              <w:spacing w:line="360" w:lineRule="auto"/>
              <w:jc w:val="center"/>
              <w:rPr>
                <w:rFonts w:cs="Times New Roman"/>
                <w:b/>
                <w:bCs/>
                <w:color w:val="auto"/>
                <w:sz w:val="24"/>
                <w:szCs w:val="24"/>
              </w:rPr>
            </w:pPr>
            <w:r>
              <w:rPr>
                <w:rFonts w:cs="Times New Roman"/>
                <w:b/>
                <w:bCs/>
                <w:color w:val="auto"/>
                <w:sz w:val="24"/>
                <w:szCs w:val="24"/>
              </w:rPr>
              <w:t>表2-3 主要生产设施信息表</w:t>
            </w:r>
          </w:p>
          <w:tbl>
            <w:tblPr>
              <w:tblStyle w:val="24"/>
              <w:tblW w:w="4976"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2354"/>
              <w:gridCol w:w="3146"/>
              <w:gridCol w:w="1458"/>
              <w:gridCol w:w="1620"/>
            </w:tblGrid>
            <w:tr w14:paraId="4F368AA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8" w:hRule="atLeast"/>
                <w:jc w:val="center"/>
              </w:trPr>
              <w:tc>
                <w:tcPr>
                  <w:tcW w:w="1372" w:type="pct"/>
                  <w:tcBorders>
                    <w:tl2br w:val="nil"/>
                    <w:tr2bl w:val="nil"/>
                  </w:tcBorders>
                  <w:vAlign w:val="center"/>
                </w:tcPr>
                <w:p w14:paraId="7B27DFAF">
                  <w:pPr>
                    <w:jc w:val="center"/>
                    <w:rPr>
                      <w:rFonts w:cs="Times New Roman"/>
                      <w:b/>
                      <w:color w:val="auto"/>
                      <w:szCs w:val="21"/>
                    </w:rPr>
                  </w:pPr>
                  <w:r>
                    <w:rPr>
                      <w:rFonts w:cs="Times New Roman"/>
                      <w:b/>
                      <w:color w:val="auto"/>
                      <w:szCs w:val="21"/>
                    </w:rPr>
                    <w:t>设备名称</w:t>
                  </w:r>
                </w:p>
              </w:tc>
              <w:tc>
                <w:tcPr>
                  <w:tcW w:w="1833" w:type="pct"/>
                  <w:tcBorders>
                    <w:tl2br w:val="nil"/>
                    <w:tr2bl w:val="nil"/>
                  </w:tcBorders>
                  <w:vAlign w:val="center"/>
                </w:tcPr>
                <w:p w14:paraId="7708B515">
                  <w:pPr>
                    <w:jc w:val="center"/>
                    <w:rPr>
                      <w:rFonts w:cs="Times New Roman"/>
                      <w:b/>
                      <w:color w:val="auto"/>
                      <w:szCs w:val="21"/>
                    </w:rPr>
                  </w:pPr>
                  <w:r>
                    <w:rPr>
                      <w:rFonts w:cs="Times New Roman"/>
                      <w:b/>
                      <w:color w:val="auto"/>
                      <w:szCs w:val="21"/>
                    </w:rPr>
                    <w:t>型号</w:t>
                  </w:r>
                </w:p>
              </w:tc>
              <w:tc>
                <w:tcPr>
                  <w:tcW w:w="849" w:type="pct"/>
                  <w:tcBorders>
                    <w:tl2br w:val="nil"/>
                    <w:tr2bl w:val="nil"/>
                  </w:tcBorders>
                  <w:vAlign w:val="center"/>
                </w:tcPr>
                <w:p w14:paraId="0162C35A">
                  <w:pPr>
                    <w:jc w:val="center"/>
                    <w:rPr>
                      <w:rFonts w:cs="Times New Roman"/>
                      <w:b/>
                      <w:color w:val="auto"/>
                      <w:szCs w:val="21"/>
                    </w:rPr>
                  </w:pPr>
                  <w:r>
                    <w:rPr>
                      <w:rFonts w:cs="Times New Roman"/>
                      <w:b/>
                      <w:color w:val="auto"/>
                      <w:szCs w:val="21"/>
                    </w:rPr>
                    <w:t>数量（台）</w:t>
                  </w:r>
                </w:p>
              </w:tc>
              <w:tc>
                <w:tcPr>
                  <w:tcW w:w="944" w:type="pct"/>
                  <w:tcBorders>
                    <w:tl2br w:val="nil"/>
                    <w:tr2bl w:val="nil"/>
                  </w:tcBorders>
                  <w:vAlign w:val="center"/>
                </w:tcPr>
                <w:p w14:paraId="7560A4D6">
                  <w:pPr>
                    <w:jc w:val="center"/>
                    <w:rPr>
                      <w:rFonts w:cs="Times New Roman"/>
                      <w:b/>
                      <w:color w:val="auto"/>
                      <w:szCs w:val="21"/>
                    </w:rPr>
                  </w:pPr>
                  <w:r>
                    <w:rPr>
                      <w:rFonts w:hint="eastAsia" w:cs="Times New Roman"/>
                      <w:b/>
                      <w:color w:val="auto"/>
                      <w:szCs w:val="21"/>
                      <w:lang w:eastAsia="zh-CN"/>
                    </w:rPr>
                    <w:t>作用</w:t>
                  </w:r>
                </w:p>
              </w:tc>
            </w:tr>
            <w:tr w14:paraId="1115255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33" w:hRule="atLeast"/>
                <w:jc w:val="center"/>
              </w:trPr>
              <w:tc>
                <w:tcPr>
                  <w:tcW w:w="1372" w:type="pct"/>
                  <w:tcBorders>
                    <w:tl2br w:val="nil"/>
                    <w:tr2bl w:val="nil"/>
                  </w:tcBorders>
                  <w:vAlign w:val="center"/>
                </w:tcPr>
                <w:p w14:paraId="00F3814A">
                  <w:pPr>
                    <w:snapToGrid w:val="0"/>
                    <w:jc w:val="center"/>
                    <w:rPr>
                      <w:rFonts w:cs="Times New Roman"/>
                      <w:color w:val="auto"/>
                      <w:szCs w:val="21"/>
                    </w:rPr>
                  </w:pPr>
                  <w:r>
                    <w:rPr>
                      <w:rFonts w:cs="Times New Roman"/>
                      <w:color w:val="auto"/>
                      <w:szCs w:val="21"/>
                    </w:rPr>
                    <w:t>大切机</w:t>
                  </w:r>
                </w:p>
              </w:tc>
              <w:tc>
                <w:tcPr>
                  <w:tcW w:w="1833" w:type="pct"/>
                  <w:tcBorders>
                    <w:tl2br w:val="nil"/>
                    <w:tr2bl w:val="nil"/>
                  </w:tcBorders>
                  <w:vAlign w:val="center"/>
                </w:tcPr>
                <w:p w14:paraId="04B42174">
                  <w:pPr>
                    <w:jc w:val="center"/>
                    <w:rPr>
                      <w:rFonts w:cs="Times New Roman"/>
                      <w:color w:val="auto"/>
                      <w:szCs w:val="21"/>
                      <w:highlight w:val="none"/>
                    </w:rPr>
                  </w:pPr>
                  <w:r>
                    <w:rPr>
                      <w:rFonts w:cs="Times New Roman"/>
                      <w:color w:val="auto"/>
                      <w:szCs w:val="21"/>
                      <w:highlight w:val="none"/>
                    </w:rPr>
                    <w:t>DZQ-1600</w:t>
                  </w:r>
                </w:p>
              </w:tc>
              <w:tc>
                <w:tcPr>
                  <w:tcW w:w="849" w:type="pct"/>
                  <w:tcBorders>
                    <w:tl2br w:val="nil"/>
                    <w:tr2bl w:val="nil"/>
                  </w:tcBorders>
                  <w:vAlign w:val="center"/>
                </w:tcPr>
                <w:p w14:paraId="3B8E96E3">
                  <w:pPr>
                    <w:snapToGrid w:val="0"/>
                    <w:jc w:val="center"/>
                    <w:rPr>
                      <w:rFonts w:cs="Times New Roman"/>
                      <w:color w:val="auto"/>
                      <w:szCs w:val="21"/>
                      <w:highlight w:val="none"/>
                    </w:rPr>
                  </w:pPr>
                  <w:r>
                    <w:rPr>
                      <w:rFonts w:cs="Times New Roman"/>
                      <w:color w:val="auto"/>
                      <w:szCs w:val="21"/>
                      <w:highlight w:val="none"/>
                    </w:rPr>
                    <w:t>5</w:t>
                  </w:r>
                </w:p>
              </w:tc>
              <w:tc>
                <w:tcPr>
                  <w:tcW w:w="944" w:type="pct"/>
                  <w:tcBorders>
                    <w:tl2br w:val="nil"/>
                    <w:tr2bl w:val="nil"/>
                  </w:tcBorders>
                  <w:vAlign w:val="center"/>
                </w:tcPr>
                <w:p w14:paraId="287C99CF">
                  <w:pPr>
                    <w:snapToGrid w:val="0"/>
                    <w:jc w:val="center"/>
                    <w:rPr>
                      <w:rFonts w:hint="eastAsia" w:eastAsia="宋体" w:cs="Times New Roman"/>
                      <w:color w:val="auto"/>
                      <w:szCs w:val="21"/>
                      <w:lang w:eastAsia="zh-CN"/>
                    </w:rPr>
                  </w:pPr>
                  <w:r>
                    <w:rPr>
                      <w:rFonts w:hint="eastAsia" w:cs="Times New Roman"/>
                      <w:color w:val="auto"/>
                      <w:szCs w:val="21"/>
                      <w:lang w:eastAsia="zh-CN"/>
                    </w:rPr>
                    <w:t>切割</w:t>
                  </w:r>
                </w:p>
              </w:tc>
            </w:tr>
            <w:tr w14:paraId="682C038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33" w:hRule="atLeast"/>
                <w:jc w:val="center"/>
              </w:trPr>
              <w:tc>
                <w:tcPr>
                  <w:tcW w:w="1372" w:type="pct"/>
                  <w:tcBorders>
                    <w:tl2br w:val="nil"/>
                    <w:tr2bl w:val="nil"/>
                  </w:tcBorders>
                  <w:vAlign w:val="center"/>
                </w:tcPr>
                <w:p w14:paraId="22010813">
                  <w:pPr>
                    <w:snapToGrid w:val="0"/>
                    <w:jc w:val="center"/>
                    <w:rPr>
                      <w:rFonts w:cs="Times New Roman"/>
                      <w:color w:val="auto"/>
                      <w:szCs w:val="21"/>
                    </w:rPr>
                  </w:pPr>
                  <w:r>
                    <w:rPr>
                      <w:rFonts w:cs="Times New Roman"/>
                      <w:color w:val="auto"/>
                      <w:szCs w:val="21"/>
                    </w:rPr>
                    <w:t>中切机</w:t>
                  </w:r>
                </w:p>
              </w:tc>
              <w:tc>
                <w:tcPr>
                  <w:tcW w:w="1833" w:type="pct"/>
                  <w:tcBorders>
                    <w:tl2br w:val="nil"/>
                    <w:tr2bl w:val="nil"/>
                  </w:tcBorders>
                  <w:vAlign w:val="center"/>
                </w:tcPr>
                <w:p w14:paraId="41CE1EAE">
                  <w:pPr>
                    <w:jc w:val="center"/>
                    <w:rPr>
                      <w:rFonts w:hint="default" w:eastAsia="宋体" w:cs="Times New Roman"/>
                      <w:color w:val="auto"/>
                      <w:szCs w:val="21"/>
                      <w:highlight w:val="none"/>
                      <w:lang w:val="en-US" w:eastAsia="zh-CN"/>
                    </w:rPr>
                  </w:pPr>
                  <w:r>
                    <w:rPr>
                      <w:rFonts w:hint="eastAsia" w:cs="Times New Roman"/>
                      <w:color w:val="auto"/>
                      <w:szCs w:val="21"/>
                      <w:highlight w:val="none"/>
                      <w:lang w:val="en-US" w:eastAsia="zh-CN"/>
                    </w:rPr>
                    <w:t>SHQJ-1400</w:t>
                  </w:r>
                </w:p>
              </w:tc>
              <w:tc>
                <w:tcPr>
                  <w:tcW w:w="849" w:type="pct"/>
                  <w:tcBorders>
                    <w:tl2br w:val="nil"/>
                    <w:tr2bl w:val="nil"/>
                  </w:tcBorders>
                  <w:vAlign w:val="center"/>
                </w:tcPr>
                <w:p w14:paraId="40BB07AA">
                  <w:pPr>
                    <w:snapToGrid w:val="0"/>
                    <w:jc w:val="center"/>
                    <w:rPr>
                      <w:rFonts w:cs="Times New Roman"/>
                      <w:color w:val="auto"/>
                      <w:szCs w:val="21"/>
                      <w:highlight w:val="none"/>
                    </w:rPr>
                  </w:pPr>
                  <w:r>
                    <w:rPr>
                      <w:rFonts w:cs="Times New Roman"/>
                      <w:color w:val="auto"/>
                      <w:szCs w:val="21"/>
                      <w:highlight w:val="none"/>
                    </w:rPr>
                    <w:t>4</w:t>
                  </w:r>
                </w:p>
              </w:tc>
              <w:tc>
                <w:tcPr>
                  <w:tcW w:w="944" w:type="pct"/>
                  <w:tcBorders>
                    <w:tl2br w:val="nil"/>
                    <w:tr2bl w:val="nil"/>
                  </w:tcBorders>
                  <w:vAlign w:val="center"/>
                </w:tcPr>
                <w:p w14:paraId="43897A9C">
                  <w:pPr>
                    <w:snapToGrid w:val="0"/>
                    <w:jc w:val="center"/>
                    <w:rPr>
                      <w:rFonts w:cs="Times New Roman"/>
                      <w:color w:val="auto"/>
                      <w:szCs w:val="21"/>
                    </w:rPr>
                  </w:pPr>
                  <w:r>
                    <w:rPr>
                      <w:rFonts w:hint="eastAsia" w:cs="Times New Roman"/>
                      <w:color w:val="auto"/>
                      <w:szCs w:val="21"/>
                      <w:lang w:eastAsia="zh-CN"/>
                    </w:rPr>
                    <w:t>切割</w:t>
                  </w:r>
                </w:p>
              </w:tc>
            </w:tr>
            <w:tr w14:paraId="37698AE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33" w:hRule="atLeast"/>
                <w:jc w:val="center"/>
              </w:trPr>
              <w:tc>
                <w:tcPr>
                  <w:tcW w:w="1372" w:type="pct"/>
                  <w:tcBorders>
                    <w:tl2br w:val="nil"/>
                    <w:tr2bl w:val="nil"/>
                  </w:tcBorders>
                  <w:vAlign w:val="center"/>
                </w:tcPr>
                <w:p w14:paraId="4DE5C4BD">
                  <w:pPr>
                    <w:snapToGrid w:val="0"/>
                    <w:jc w:val="center"/>
                    <w:rPr>
                      <w:rFonts w:cs="Times New Roman"/>
                      <w:color w:val="auto"/>
                      <w:szCs w:val="21"/>
                    </w:rPr>
                  </w:pPr>
                  <w:r>
                    <w:rPr>
                      <w:rFonts w:cs="Times New Roman"/>
                      <w:color w:val="auto"/>
                      <w:szCs w:val="21"/>
                    </w:rPr>
                    <w:t>小切机</w:t>
                  </w:r>
                </w:p>
              </w:tc>
              <w:tc>
                <w:tcPr>
                  <w:tcW w:w="1833" w:type="pct"/>
                  <w:tcBorders>
                    <w:tl2br w:val="nil"/>
                    <w:tr2bl w:val="nil"/>
                  </w:tcBorders>
                  <w:vAlign w:val="center"/>
                </w:tcPr>
                <w:p w14:paraId="324EDE59">
                  <w:pPr>
                    <w:jc w:val="center"/>
                    <w:rPr>
                      <w:rFonts w:cs="Times New Roman"/>
                      <w:color w:val="auto"/>
                      <w:szCs w:val="21"/>
                      <w:highlight w:val="none"/>
                    </w:rPr>
                  </w:pPr>
                  <w:r>
                    <w:rPr>
                      <w:rFonts w:cs="Times New Roman"/>
                      <w:color w:val="auto"/>
                      <w:szCs w:val="21"/>
                      <w:highlight w:val="none"/>
                    </w:rPr>
                    <w:t>LX-ZQJ-1200</w:t>
                  </w:r>
                </w:p>
              </w:tc>
              <w:tc>
                <w:tcPr>
                  <w:tcW w:w="849" w:type="pct"/>
                  <w:tcBorders>
                    <w:tl2br w:val="nil"/>
                    <w:tr2bl w:val="nil"/>
                  </w:tcBorders>
                  <w:vAlign w:val="center"/>
                </w:tcPr>
                <w:p w14:paraId="3704A3C5">
                  <w:pPr>
                    <w:snapToGrid w:val="0"/>
                    <w:jc w:val="center"/>
                    <w:rPr>
                      <w:rFonts w:cs="Times New Roman"/>
                      <w:color w:val="auto"/>
                      <w:szCs w:val="21"/>
                      <w:highlight w:val="none"/>
                    </w:rPr>
                  </w:pPr>
                  <w:r>
                    <w:rPr>
                      <w:rFonts w:cs="Times New Roman"/>
                      <w:color w:val="auto"/>
                      <w:szCs w:val="21"/>
                      <w:highlight w:val="none"/>
                    </w:rPr>
                    <w:t>6</w:t>
                  </w:r>
                </w:p>
              </w:tc>
              <w:tc>
                <w:tcPr>
                  <w:tcW w:w="944" w:type="pct"/>
                  <w:tcBorders>
                    <w:tl2br w:val="nil"/>
                    <w:tr2bl w:val="nil"/>
                  </w:tcBorders>
                  <w:vAlign w:val="center"/>
                </w:tcPr>
                <w:p w14:paraId="438E7D29">
                  <w:pPr>
                    <w:jc w:val="center"/>
                    <w:rPr>
                      <w:rFonts w:cs="Times New Roman"/>
                      <w:color w:val="auto"/>
                      <w:szCs w:val="21"/>
                    </w:rPr>
                  </w:pPr>
                  <w:r>
                    <w:rPr>
                      <w:rFonts w:hint="eastAsia" w:cs="Times New Roman"/>
                      <w:color w:val="auto"/>
                      <w:szCs w:val="21"/>
                      <w:lang w:eastAsia="zh-CN"/>
                    </w:rPr>
                    <w:t>切割</w:t>
                  </w:r>
                </w:p>
              </w:tc>
            </w:tr>
            <w:tr w14:paraId="062492F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33" w:hRule="atLeast"/>
                <w:jc w:val="center"/>
              </w:trPr>
              <w:tc>
                <w:tcPr>
                  <w:tcW w:w="1372" w:type="pct"/>
                  <w:tcBorders>
                    <w:tl2br w:val="nil"/>
                    <w:tr2bl w:val="nil"/>
                  </w:tcBorders>
                  <w:vAlign w:val="center"/>
                </w:tcPr>
                <w:p w14:paraId="2494E700">
                  <w:pPr>
                    <w:snapToGrid w:val="0"/>
                    <w:jc w:val="center"/>
                    <w:rPr>
                      <w:rFonts w:cs="Times New Roman"/>
                      <w:color w:val="auto"/>
                      <w:szCs w:val="21"/>
                    </w:rPr>
                  </w:pPr>
                  <w:r>
                    <w:rPr>
                      <w:rFonts w:cs="Times New Roman"/>
                      <w:color w:val="auto"/>
                      <w:szCs w:val="21"/>
                    </w:rPr>
                    <w:t>雕刻机</w:t>
                  </w:r>
                </w:p>
              </w:tc>
              <w:tc>
                <w:tcPr>
                  <w:tcW w:w="1833" w:type="pct"/>
                  <w:tcBorders>
                    <w:tl2br w:val="nil"/>
                    <w:tr2bl w:val="nil"/>
                  </w:tcBorders>
                  <w:vAlign w:val="center"/>
                </w:tcPr>
                <w:p w14:paraId="53709645">
                  <w:pPr>
                    <w:snapToGrid w:val="0"/>
                    <w:jc w:val="center"/>
                    <w:rPr>
                      <w:rFonts w:cs="Times New Roman"/>
                      <w:color w:val="auto"/>
                      <w:szCs w:val="21"/>
                      <w:highlight w:val="none"/>
                    </w:rPr>
                  </w:pPr>
                  <w:r>
                    <w:rPr>
                      <w:rFonts w:cs="Times New Roman"/>
                      <w:color w:val="auto"/>
                      <w:szCs w:val="21"/>
                      <w:highlight w:val="none"/>
                    </w:rPr>
                    <w:t>/</w:t>
                  </w:r>
                </w:p>
              </w:tc>
              <w:tc>
                <w:tcPr>
                  <w:tcW w:w="849" w:type="pct"/>
                  <w:tcBorders>
                    <w:tl2br w:val="nil"/>
                    <w:tr2bl w:val="nil"/>
                  </w:tcBorders>
                  <w:vAlign w:val="center"/>
                </w:tcPr>
                <w:p w14:paraId="3B275DF9">
                  <w:pPr>
                    <w:snapToGrid w:val="0"/>
                    <w:jc w:val="center"/>
                    <w:rPr>
                      <w:rFonts w:hint="default" w:eastAsia="宋体" w:cs="Times New Roman"/>
                      <w:color w:val="auto"/>
                      <w:szCs w:val="21"/>
                      <w:highlight w:val="none"/>
                      <w:lang w:val="en-US" w:eastAsia="zh-CN"/>
                    </w:rPr>
                  </w:pPr>
                  <w:r>
                    <w:rPr>
                      <w:rFonts w:hint="eastAsia" w:cs="Times New Roman"/>
                      <w:color w:val="auto"/>
                      <w:szCs w:val="21"/>
                      <w:highlight w:val="none"/>
                      <w:lang w:val="en-US" w:eastAsia="zh-CN"/>
                    </w:rPr>
                    <w:t>10</w:t>
                  </w:r>
                </w:p>
              </w:tc>
              <w:tc>
                <w:tcPr>
                  <w:tcW w:w="944" w:type="pct"/>
                  <w:tcBorders>
                    <w:tl2br w:val="nil"/>
                    <w:tr2bl w:val="nil"/>
                  </w:tcBorders>
                  <w:vAlign w:val="center"/>
                </w:tcPr>
                <w:p w14:paraId="0ECC1D94">
                  <w:pPr>
                    <w:jc w:val="center"/>
                    <w:rPr>
                      <w:rFonts w:hint="eastAsia" w:eastAsia="宋体" w:cs="Times New Roman"/>
                      <w:color w:val="auto"/>
                      <w:szCs w:val="21"/>
                      <w:lang w:eastAsia="zh-CN"/>
                    </w:rPr>
                  </w:pPr>
                  <w:r>
                    <w:rPr>
                      <w:rFonts w:hint="eastAsia" w:cs="Times New Roman"/>
                      <w:color w:val="auto"/>
                      <w:szCs w:val="21"/>
                      <w:lang w:eastAsia="zh-CN"/>
                    </w:rPr>
                    <w:t>雕刻</w:t>
                  </w:r>
                </w:p>
              </w:tc>
            </w:tr>
            <w:tr w14:paraId="7CBA558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33" w:hRule="atLeast"/>
                <w:jc w:val="center"/>
              </w:trPr>
              <w:tc>
                <w:tcPr>
                  <w:tcW w:w="1372" w:type="pct"/>
                  <w:tcBorders>
                    <w:tl2br w:val="nil"/>
                    <w:tr2bl w:val="nil"/>
                  </w:tcBorders>
                  <w:vAlign w:val="center"/>
                </w:tcPr>
                <w:p w14:paraId="5BF4B5DC">
                  <w:pPr>
                    <w:snapToGrid w:val="0"/>
                    <w:jc w:val="center"/>
                    <w:rPr>
                      <w:rFonts w:cs="Times New Roman"/>
                      <w:color w:val="auto"/>
                      <w:szCs w:val="21"/>
                    </w:rPr>
                  </w:pPr>
                  <w:r>
                    <w:rPr>
                      <w:rFonts w:cs="Times New Roman"/>
                      <w:color w:val="auto"/>
                      <w:szCs w:val="21"/>
                    </w:rPr>
                    <w:t>喷砂机</w:t>
                  </w:r>
                </w:p>
              </w:tc>
              <w:tc>
                <w:tcPr>
                  <w:tcW w:w="1833" w:type="pct"/>
                  <w:tcBorders>
                    <w:tl2br w:val="nil"/>
                    <w:tr2bl w:val="nil"/>
                  </w:tcBorders>
                  <w:vAlign w:val="center"/>
                </w:tcPr>
                <w:p w14:paraId="0AB6E4B2">
                  <w:pPr>
                    <w:snapToGrid w:val="0"/>
                    <w:jc w:val="center"/>
                    <w:rPr>
                      <w:rFonts w:cs="Times New Roman"/>
                      <w:color w:val="auto"/>
                      <w:szCs w:val="21"/>
                      <w:highlight w:val="none"/>
                    </w:rPr>
                  </w:pPr>
                  <w:r>
                    <w:rPr>
                      <w:rFonts w:cs="Times New Roman"/>
                      <w:color w:val="auto"/>
                      <w:szCs w:val="21"/>
                      <w:highlight w:val="none"/>
                    </w:rPr>
                    <w:t>/</w:t>
                  </w:r>
                </w:p>
              </w:tc>
              <w:tc>
                <w:tcPr>
                  <w:tcW w:w="849" w:type="pct"/>
                  <w:tcBorders>
                    <w:tl2br w:val="nil"/>
                    <w:tr2bl w:val="nil"/>
                  </w:tcBorders>
                  <w:vAlign w:val="center"/>
                </w:tcPr>
                <w:p w14:paraId="31D438F5">
                  <w:pPr>
                    <w:snapToGrid w:val="0"/>
                    <w:jc w:val="center"/>
                    <w:rPr>
                      <w:rFonts w:cs="Times New Roman"/>
                      <w:color w:val="auto"/>
                      <w:szCs w:val="21"/>
                      <w:highlight w:val="none"/>
                    </w:rPr>
                  </w:pPr>
                  <w:r>
                    <w:rPr>
                      <w:rFonts w:cs="Times New Roman"/>
                      <w:color w:val="auto"/>
                      <w:szCs w:val="21"/>
                      <w:highlight w:val="none"/>
                    </w:rPr>
                    <w:t>1</w:t>
                  </w:r>
                </w:p>
              </w:tc>
              <w:tc>
                <w:tcPr>
                  <w:tcW w:w="944" w:type="pct"/>
                  <w:tcBorders>
                    <w:tl2br w:val="nil"/>
                    <w:tr2bl w:val="nil"/>
                  </w:tcBorders>
                  <w:vAlign w:val="center"/>
                </w:tcPr>
                <w:p w14:paraId="79111C92">
                  <w:pPr>
                    <w:jc w:val="center"/>
                    <w:rPr>
                      <w:rFonts w:hint="eastAsia" w:eastAsia="宋体" w:cs="Times New Roman"/>
                      <w:color w:val="auto"/>
                      <w:szCs w:val="21"/>
                      <w:lang w:eastAsia="zh-CN"/>
                    </w:rPr>
                  </w:pPr>
                  <w:r>
                    <w:rPr>
                      <w:rFonts w:hint="eastAsia" w:cs="Times New Roman"/>
                      <w:color w:val="auto"/>
                      <w:szCs w:val="21"/>
                      <w:lang w:eastAsia="zh-CN"/>
                    </w:rPr>
                    <w:t>喷砂</w:t>
                  </w:r>
                </w:p>
              </w:tc>
            </w:tr>
            <w:tr w14:paraId="6CC1D2D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33" w:hRule="atLeast"/>
                <w:jc w:val="center"/>
              </w:trPr>
              <w:tc>
                <w:tcPr>
                  <w:tcW w:w="1372" w:type="pct"/>
                  <w:tcBorders>
                    <w:tl2br w:val="nil"/>
                    <w:tr2bl w:val="nil"/>
                  </w:tcBorders>
                  <w:vAlign w:val="center"/>
                </w:tcPr>
                <w:p w14:paraId="2B1A445E">
                  <w:pPr>
                    <w:snapToGrid w:val="0"/>
                    <w:jc w:val="center"/>
                    <w:rPr>
                      <w:rFonts w:cs="Times New Roman"/>
                      <w:color w:val="auto"/>
                      <w:szCs w:val="21"/>
                    </w:rPr>
                  </w:pPr>
                  <w:r>
                    <w:rPr>
                      <w:rFonts w:cs="Times New Roman"/>
                      <w:color w:val="auto"/>
                      <w:szCs w:val="21"/>
                    </w:rPr>
                    <w:t>火烧面机</w:t>
                  </w:r>
                </w:p>
              </w:tc>
              <w:tc>
                <w:tcPr>
                  <w:tcW w:w="1833" w:type="pct"/>
                  <w:tcBorders>
                    <w:tl2br w:val="nil"/>
                    <w:tr2bl w:val="nil"/>
                  </w:tcBorders>
                  <w:vAlign w:val="center"/>
                </w:tcPr>
                <w:p w14:paraId="3798B14E">
                  <w:pPr>
                    <w:snapToGrid w:val="0"/>
                    <w:jc w:val="center"/>
                    <w:rPr>
                      <w:rFonts w:cs="Times New Roman"/>
                      <w:color w:val="auto"/>
                      <w:szCs w:val="21"/>
                      <w:highlight w:val="none"/>
                    </w:rPr>
                  </w:pPr>
                  <w:r>
                    <w:rPr>
                      <w:rFonts w:cs="Times New Roman"/>
                      <w:color w:val="auto"/>
                      <w:szCs w:val="21"/>
                      <w:highlight w:val="none"/>
                    </w:rPr>
                    <w:t>CJS800-816E</w:t>
                  </w:r>
                </w:p>
              </w:tc>
              <w:tc>
                <w:tcPr>
                  <w:tcW w:w="849" w:type="pct"/>
                  <w:tcBorders>
                    <w:tl2br w:val="nil"/>
                    <w:tr2bl w:val="nil"/>
                  </w:tcBorders>
                  <w:vAlign w:val="center"/>
                </w:tcPr>
                <w:p w14:paraId="74394811">
                  <w:pPr>
                    <w:snapToGrid w:val="0"/>
                    <w:jc w:val="center"/>
                    <w:rPr>
                      <w:rFonts w:cs="Times New Roman"/>
                      <w:color w:val="auto"/>
                      <w:szCs w:val="21"/>
                      <w:highlight w:val="none"/>
                    </w:rPr>
                  </w:pPr>
                  <w:r>
                    <w:rPr>
                      <w:rFonts w:cs="Times New Roman"/>
                      <w:color w:val="auto"/>
                      <w:szCs w:val="21"/>
                      <w:highlight w:val="none"/>
                    </w:rPr>
                    <w:t>1</w:t>
                  </w:r>
                </w:p>
              </w:tc>
              <w:tc>
                <w:tcPr>
                  <w:tcW w:w="944" w:type="pct"/>
                  <w:tcBorders>
                    <w:tl2br w:val="nil"/>
                    <w:tr2bl w:val="nil"/>
                  </w:tcBorders>
                  <w:vAlign w:val="center"/>
                </w:tcPr>
                <w:p w14:paraId="6E004865">
                  <w:pPr>
                    <w:jc w:val="center"/>
                    <w:rPr>
                      <w:rFonts w:hint="eastAsia" w:eastAsia="宋体" w:cs="Times New Roman"/>
                      <w:color w:val="auto"/>
                      <w:szCs w:val="21"/>
                      <w:lang w:eastAsia="zh-CN"/>
                    </w:rPr>
                  </w:pPr>
                  <w:r>
                    <w:rPr>
                      <w:rFonts w:hint="eastAsia" w:cs="Times New Roman"/>
                      <w:color w:val="auto"/>
                      <w:szCs w:val="21"/>
                      <w:lang w:eastAsia="zh-CN"/>
                    </w:rPr>
                    <w:t>火烧面处理</w:t>
                  </w:r>
                </w:p>
              </w:tc>
            </w:tr>
            <w:tr w14:paraId="28B17D0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33" w:hRule="atLeast"/>
                <w:jc w:val="center"/>
              </w:trPr>
              <w:tc>
                <w:tcPr>
                  <w:tcW w:w="1372" w:type="pct"/>
                  <w:tcBorders>
                    <w:tl2br w:val="nil"/>
                    <w:tr2bl w:val="nil"/>
                  </w:tcBorders>
                  <w:vAlign w:val="center"/>
                </w:tcPr>
                <w:p w14:paraId="68D69B88">
                  <w:pPr>
                    <w:snapToGrid w:val="0"/>
                    <w:jc w:val="center"/>
                    <w:rPr>
                      <w:rFonts w:cs="Times New Roman"/>
                      <w:color w:val="auto"/>
                      <w:szCs w:val="21"/>
                    </w:rPr>
                  </w:pPr>
                  <w:r>
                    <w:rPr>
                      <w:rFonts w:cs="Times New Roman"/>
                      <w:color w:val="auto"/>
                      <w:szCs w:val="21"/>
                    </w:rPr>
                    <w:t>抛光机</w:t>
                  </w:r>
                </w:p>
              </w:tc>
              <w:tc>
                <w:tcPr>
                  <w:tcW w:w="1833" w:type="pct"/>
                  <w:tcBorders>
                    <w:tl2br w:val="nil"/>
                    <w:tr2bl w:val="nil"/>
                  </w:tcBorders>
                  <w:vAlign w:val="center"/>
                </w:tcPr>
                <w:p w14:paraId="6E775B69">
                  <w:pPr>
                    <w:snapToGrid w:val="0"/>
                    <w:jc w:val="center"/>
                    <w:rPr>
                      <w:rFonts w:cs="Times New Roman"/>
                      <w:color w:val="auto"/>
                      <w:szCs w:val="21"/>
                      <w:highlight w:val="none"/>
                    </w:rPr>
                  </w:pPr>
                  <w:r>
                    <w:rPr>
                      <w:rFonts w:cs="Times New Roman"/>
                      <w:color w:val="auto"/>
                      <w:szCs w:val="21"/>
                      <w:highlight w:val="none"/>
                    </w:rPr>
                    <w:t>/</w:t>
                  </w:r>
                </w:p>
              </w:tc>
              <w:tc>
                <w:tcPr>
                  <w:tcW w:w="849" w:type="pct"/>
                  <w:tcBorders>
                    <w:tl2br w:val="nil"/>
                    <w:tr2bl w:val="nil"/>
                  </w:tcBorders>
                  <w:vAlign w:val="center"/>
                </w:tcPr>
                <w:p w14:paraId="2C271DDB">
                  <w:pPr>
                    <w:snapToGrid w:val="0"/>
                    <w:jc w:val="center"/>
                    <w:rPr>
                      <w:rFonts w:cs="Times New Roman"/>
                      <w:color w:val="auto"/>
                      <w:szCs w:val="21"/>
                      <w:highlight w:val="none"/>
                    </w:rPr>
                  </w:pPr>
                  <w:r>
                    <w:rPr>
                      <w:rFonts w:cs="Times New Roman"/>
                      <w:color w:val="auto"/>
                      <w:szCs w:val="21"/>
                      <w:highlight w:val="none"/>
                    </w:rPr>
                    <w:t>1</w:t>
                  </w:r>
                </w:p>
              </w:tc>
              <w:tc>
                <w:tcPr>
                  <w:tcW w:w="944" w:type="pct"/>
                  <w:tcBorders>
                    <w:tl2br w:val="nil"/>
                    <w:tr2bl w:val="nil"/>
                  </w:tcBorders>
                  <w:vAlign w:val="center"/>
                </w:tcPr>
                <w:p w14:paraId="43617FAF">
                  <w:pPr>
                    <w:jc w:val="center"/>
                    <w:rPr>
                      <w:rFonts w:hint="eastAsia" w:eastAsia="宋体" w:cs="Times New Roman"/>
                      <w:color w:val="auto"/>
                      <w:szCs w:val="21"/>
                      <w:lang w:eastAsia="zh-CN"/>
                    </w:rPr>
                  </w:pPr>
                  <w:r>
                    <w:rPr>
                      <w:rFonts w:hint="eastAsia" w:cs="Times New Roman"/>
                      <w:color w:val="auto"/>
                      <w:szCs w:val="21"/>
                      <w:lang w:eastAsia="zh-CN"/>
                    </w:rPr>
                    <w:t>抛磨处理</w:t>
                  </w:r>
                </w:p>
              </w:tc>
            </w:tr>
            <w:tr w14:paraId="6C0B50C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33" w:hRule="atLeast"/>
                <w:jc w:val="center"/>
              </w:trPr>
              <w:tc>
                <w:tcPr>
                  <w:tcW w:w="1372" w:type="pct"/>
                  <w:tcBorders>
                    <w:tl2br w:val="nil"/>
                    <w:tr2bl w:val="nil"/>
                  </w:tcBorders>
                  <w:vAlign w:val="center"/>
                </w:tcPr>
                <w:p w14:paraId="2E79E0EF">
                  <w:pPr>
                    <w:snapToGrid w:val="0"/>
                    <w:jc w:val="center"/>
                    <w:rPr>
                      <w:rFonts w:cs="Times New Roman"/>
                      <w:color w:val="auto"/>
                      <w:szCs w:val="21"/>
                    </w:rPr>
                  </w:pPr>
                  <w:r>
                    <w:rPr>
                      <w:rFonts w:cs="Times New Roman"/>
                      <w:color w:val="auto"/>
                      <w:szCs w:val="21"/>
                    </w:rPr>
                    <w:t>行吊</w:t>
                  </w:r>
                </w:p>
              </w:tc>
              <w:tc>
                <w:tcPr>
                  <w:tcW w:w="1833" w:type="pct"/>
                  <w:tcBorders>
                    <w:tl2br w:val="nil"/>
                    <w:tr2bl w:val="nil"/>
                  </w:tcBorders>
                  <w:vAlign w:val="center"/>
                </w:tcPr>
                <w:p w14:paraId="39CBC75A">
                  <w:pPr>
                    <w:snapToGrid w:val="0"/>
                    <w:jc w:val="center"/>
                    <w:rPr>
                      <w:rFonts w:cs="Times New Roman"/>
                      <w:color w:val="auto"/>
                      <w:szCs w:val="21"/>
                      <w:highlight w:val="none"/>
                    </w:rPr>
                  </w:pPr>
                  <w:r>
                    <w:rPr>
                      <w:rFonts w:cs="Times New Roman"/>
                      <w:color w:val="auto"/>
                      <w:szCs w:val="21"/>
                      <w:highlight w:val="none"/>
                    </w:rPr>
                    <w:t>3t/5t/10t</w:t>
                  </w:r>
                </w:p>
              </w:tc>
              <w:tc>
                <w:tcPr>
                  <w:tcW w:w="849" w:type="pct"/>
                  <w:tcBorders>
                    <w:tl2br w:val="nil"/>
                    <w:tr2bl w:val="nil"/>
                  </w:tcBorders>
                  <w:vAlign w:val="center"/>
                </w:tcPr>
                <w:p w14:paraId="015754FF">
                  <w:pPr>
                    <w:snapToGrid w:val="0"/>
                    <w:jc w:val="center"/>
                    <w:rPr>
                      <w:rFonts w:cs="Times New Roman"/>
                      <w:color w:val="auto"/>
                      <w:szCs w:val="21"/>
                      <w:highlight w:val="none"/>
                    </w:rPr>
                  </w:pPr>
                  <w:r>
                    <w:rPr>
                      <w:rFonts w:cs="Times New Roman"/>
                      <w:color w:val="auto"/>
                      <w:szCs w:val="21"/>
                      <w:highlight w:val="none"/>
                    </w:rPr>
                    <w:t>5</w:t>
                  </w:r>
                </w:p>
              </w:tc>
              <w:tc>
                <w:tcPr>
                  <w:tcW w:w="944" w:type="pct"/>
                  <w:tcBorders>
                    <w:tl2br w:val="nil"/>
                    <w:tr2bl w:val="nil"/>
                  </w:tcBorders>
                  <w:vAlign w:val="center"/>
                </w:tcPr>
                <w:p w14:paraId="3C59060A">
                  <w:pPr>
                    <w:jc w:val="center"/>
                    <w:rPr>
                      <w:rFonts w:hint="default" w:eastAsia="宋体" w:cs="Times New Roman"/>
                      <w:color w:val="auto"/>
                      <w:szCs w:val="21"/>
                      <w:lang w:val="en-US" w:eastAsia="zh-CN"/>
                    </w:rPr>
                  </w:pPr>
                  <w:r>
                    <w:rPr>
                      <w:rFonts w:hint="eastAsia" w:cs="Times New Roman"/>
                      <w:color w:val="auto"/>
                      <w:szCs w:val="21"/>
                      <w:lang w:val="en-US" w:eastAsia="zh-CN"/>
                    </w:rPr>
                    <w:t>/</w:t>
                  </w:r>
                </w:p>
              </w:tc>
            </w:tr>
            <w:tr w14:paraId="5ADD0FE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92" w:hRule="atLeast"/>
                <w:jc w:val="center"/>
              </w:trPr>
              <w:tc>
                <w:tcPr>
                  <w:tcW w:w="1372" w:type="pct"/>
                  <w:tcBorders>
                    <w:tl2br w:val="nil"/>
                    <w:tr2bl w:val="nil"/>
                  </w:tcBorders>
                  <w:vAlign w:val="center"/>
                </w:tcPr>
                <w:p w14:paraId="5720ACB7">
                  <w:pPr>
                    <w:snapToGrid w:val="0"/>
                    <w:jc w:val="center"/>
                    <w:rPr>
                      <w:rFonts w:cs="Times New Roman"/>
                      <w:color w:val="auto"/>
                      <w:szCs w:val="21"/>
                    </w:rPr>
                  </w:pPr>
                  <w:r>
                    <w:rPr>
                      <w:rFonts w:cs="Times New Roman"/>
                      <w:color w:val="auto"/>
                      <w:szCs w:val="21"/>
                    </w:rPr>
                    <w:t>空压机</w:t>
                  </w:r>
                </w:p>
              </w:tc>
              <w:tc>
                <w:tcPr>
                  <w:tcW w:w="1833" w:type="pct"/>
                  <w:tcBorders>
                    <w:tl2br w:val="nil"/>
                    <w:tr2bl w:val="nil"/>
                  </w:tcBorders>
                  <w:vAlign w:val="center"/>
                </w:tcPr>
                <w:p w14:paraId="1E7D22B2">
                  <w:pPr>
                    <w:snapToGrid w:val="0"/>
                    <w:jc w:val="center"/>
                    <w:rPr>
                      <w:rFonts w:cs="Times New Roman"/>
                      <w:color w:val="auto"/>
                      <w:szCs w:val="21"/>
                      <w:highlight w:val="none"/>
                    </w:rPr>
                  </w:pPr>
                  <w:r>
                    <w:rPr>
                      <w:rFonts w:cs="Times New Roman"/>
                      <w:color w:val="auto"/>
                      <w:szCs w:val="21"/>
                      <w:highlight w:val="none"/>
                    </w:rPr>
                    <w:t>螺杆式</w:t>
                  </w:r>
                </w:p>
              </w:tc>
              <w:tc>
                <w:tcPr>
                  <w:tcW w:w="849" w:type="pct"/>
                  <w:tcBorders>
                    <w:tl2br w:val="nil"/>
                    <w:tr2bl w:val="nil"/>
                  </w:tcBorders>
                  <w:vAlign w:val="center"/>
                </w:tcPr>
                <w:p w14:paraId="7A59C450">
                  <w:pPr>
                    <w:snapToGrid w:val="0"/>
                    <w:jc w:val="center"/>
                    <w:rPr>
                      <w:rFonts w:cs="Times New Roman"/>
                      <w:color w:val="auto"/>
                      <w:szCs w:val="21"/>
                      <w:highlight w:val="none"/>
                    </w:rPr>
                  </w:pPr>
                  <w:r>
                    <w:rPr>
                      <w:rFonts w:cs="Times New Roman"/>
                      <w:color w:val="auto"/>
                      <w:szCs w:val="21"/>
                      <w:highlight w:val="none"/>
                    </w:rPr>
                    <w:t>1</w:t>
                  </w:r>
                </w:p>
              </w:tc>
              <w:tc>
                <w:tcPr>
                  <w:tcW w:w="944" w:type="pct"/>
                  <w:tcBorders>
                    <w:tl2br w:val="nil"/>
                    <w:tr2bl w:val="nil"/>
                  </w:tcBorders>
                  <w:vAlign w:val="center"/>
                </w:tcPr>
                <w:p w14:paraId="53788398">
                  <w:pPr>
                    <w:snapToGrid w:val="0"/>
                    <w:jc w:val="center"/>
                    <w:rPr>
                      <w:rFonts w:hint="default" w:eastAsia="宋体" w:cs="Times New Roman"/>
                      <w:color w:val="auto"/>
                      <w:szCs w:val="21"/>
                      <w:lang w:val="en-US" w:eastAsia="zh-CN"/>
                    </w:rPr>
                  </w:pPr>
                  <w:r>
                    <w:rPr>
                      <w:rFonts w:hint="eastAsia" w:cs="Times New Roman"/>
                      <w:color w:val="auto"/>
                      <w:szCs w:val="21"/>
                      <w:lang w:val="en-US" w:eastAsia="zh-CN"/>
                    </w:rPr>
                    <w:t>/</w:t>
                  </w:r>
                </w:p>
              </w:tc>
            </w:tr>
            <w:tr w14:paraId="4543BCF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92" w:hRule="atLeast"/>
                <w:jc w:val="center"/>
              </w:trPr>
              <w:tc>
                <w:tcPr>
                  <w:tcW w:w="1372" w:type="pct"/>
                  <w:tcBorders>
                    <w:tl2br w:val="nil"/>
                    <w:tr2bl w:val="nil"/>
                  </w:tcBorders>
                  <w:vAlign w:val="center"/>
                </w:tcPr>
                <w:p w14:paraId="6DA54E37">
                  <w:pPr>
                    <w:snapToGrid w:val="0"/>
                    <w:jc w:val="center"/>
                    <w:rPr>
                      <w:rFonts w:cs="Times New Roman"/>
                      <w:color w:val="auto"/>
                      <w:szCs w:val="21"/>
                    </w:rPr>
                  </w:pPr>
                  <w:r>
                    <w:rPr>
                      <w:rFonts w:cs="Times New Roman"/>
                      <w:color w:val="auto"/>
                      <w:szCs w:val="21"/>
                    </w:rPr>
                    <w:t>螺旋绞砂机</w:t>
                  </w:r>
                </w:p>
              </w:tc>
              <w:tc>
                <w:tcPr>
                  <w:tcW w:w="1833" w:type="pct"/>
                  <w:tcBorders>
                    <w:tl2br w:val="nil"/>
                    <w:tr2bl w:val="nil"/>
                  </w:tcBorders>
                  <w:vAlign w:val="center"/>
                </w:tcPr>
                <w:p w14:paraId="30DFCC82">
                  <w:pPr>
                    <w:snapToGrid w:val="0"/>
                    <w:jc w:val="center"/>
                    <w:rPr>
                      <w:rFonts w:cs="Times New Roman"/>
                      <w:color w:val="auto"/>
                      <w:szCs w:val="21"/>
                      <w:highlight w:val="none"/>
                    </w:rPr>
                  </w:pPr>
                  <w:r>
                    <w:rPr>
                      <w:rFonts w:cs="Times New Roman"/>
                      <w:color w:val="auto"/>
                      <w:szCs w:val="21"/>
                      <w:highlight w:val="none"/>
                    </w:rPr>
                    <w:t>/</w:t>
                  </w:r>
                </w:p>
              </w:tc>
              <w:tc>
                <w:tcPr>
                  <w:tcW w:w="849" w:type="pct"/>
                  <w:tcBorders>
                    <w:tl2br w:val="nil"/>
                    <w:tr2bl w:val="nil"/>
                  </w:tcBorders>
                  <w:vAlign w:val="center"/>
                </w:tcPr>
                <w:p w14:paraId="6413384A">
                  <w:pPr>
                    <w:snapToGrid w:val="0"/>
                    <w:jc w:val="center"/>
                    <w:rPr>
                      <w:rFonts w:hint="eastAsia" w:eastAsia="宋体" w:cs="Times New Roman"/>
                      <w:color w:val="auto"/>
                      <w:szCs w:val="21"/>
                      <w:highlight w:val="none"/>
                      <w:lang w:eastAsia="zh-CN"/>
                    </w:rPr>
                  </w:pPr>
                  <w:r>
                    <w:rPr>
                      <w:rFonts w:hint="eastAsia" w:cs="Times New Roman"/>
                      <w:color w:val="auto"/>
                      <w:szCs w:val="21"/>
                      <w:highlight w:val="none"/>
                      <w:lang w:val="en-US" w:eastAsia="zh-CN"/>
                    </w:rPr>
                    <w:t>1</w:t>
                  </w:r>
                </w:p>
              </w:tc>
              <w:tc>
                <w:tcPr>
                  <w:tcW w:w="944" w:type="pct"/>
                  <w:tcBorders>
                    <w:tl2br w:val="nil"/>
                    <w:tr2bl w:val="nil"/>
                  </w:tcBorders>
                  <w:vAlign w:val="center"/>
                </w:tcPr>
                <w:p w14:paraId="6FCB9D9F">
                  <w:pPr>
                    <w:snapToGrid w:val="0"/>
                    <w:jc w:val="center"/>
                    <w:rPr>
                      <w:rFonts w:hint="eastAsia" w:eastAsia="宋体" w:cs="Times New Roman"/>
                      <w:color w:val="auto"/>
                      <w:szCs w:val="21"/>
                      <w:lang w:eastAsia="zh-CN"/>
                    </w:rPr>
                  </w:pPr>
                  <w:r>
                    <w:rPr>
                      <w:rFonts w:hint="eastAsia" w:cs="Times New Roman"/>
                      <w:color w:val="auto"/>
                      <w:szCs w:val="21"/>
                      <w:lang w:eastAsia="zh-CN"/>
                    </w:rPr>
                    <w:t>处理粗砂</w:t>
                  </w:r>
                </w:p>
              </w:tc>
            </w:tr>
            <w:tr w14:paraId="5DB6121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33" w:hRule="atLeast"/>
                <w:jc w:val="center"/>
              </w:trPr>
              <w:tc>
                <w:tcPr>
                  <w:tcW w:w="1372" w:type="pct"/>
                  <w:tcBorders>
                    <w:tl2br w:val="nil"/>
                    <w:tr2bl w:val="nil"/>
                  </w:tcBorders>
                  <w:vAlign w:val="center"/>
                </w:tcPr>
                <w:p w14:paraId="0A56CEAD">
                  <w:pPr>
                    <w:jc w:val="center"/>
                    <w:rPr>
                      <w:rFonts w:cs="Times New Roman"/>
                      <w:bCs/>
                      <w:color w:val="auto"/>
                      <w:szCs w:val="21"/>
                    </w:rPr>
                  </w:pPr>
                  <w:r>
                    <w:rPr>
                      <w:rFonts w:cs="Times New Roman"/>
                      <w:bCs/>
                      <w:color w:val="auto"/>
                      <w:szCs w:val="21"/>
                    </w:rPr>
                    <w:t>压滤机</w:t>
                  </w:r>
                </w:p>
              </w:tc>
              <w:tc>
                <w:tcPr>
                  <w:tcW w:w="1833" w:type="pct"/>
                  <w:tcBorders>
                    <w:tl2br w:val="nil"/>
                    <w:tr2bl w:val="nil"/>
                  </w:tcBorders>
                  <w:vAlign w:val="center"/>
                </w:tcPr>
                <w:p w14:paraId="2537AE7B">
                  <w:pPr>
                    <w:snapToGrid w:val="0"/>
                    <w:jc w:val="center"/>
                    <w:rPr>
                      <w:rFonts w:cs="Times New Roman"/>
                      <w:color w:val="auto"/>
                      <w:szCs w:val="21"/>
                      <w:highlight w:val="none"/>
                    </w:rPr>
                  </w:pPr>
                  <w:r>
                    <w:rPr>
                      <w:rFonts w:cs="Times New Roman"/>
                      <w:color w:val="auto"/>
                      <w:szCs w:val="21"/>
                      <w:highlight w:val="none"/>
                    </w:rPr>
                    <w:t>M150/4000UK</w:t>
                  </w:r>
                </w:p>
              </w:tc>
              <w:tc>
                <w:tcPr>
                  <w:tcW w:w="849" w:type="pct"/>
                  <w:tcBorders>
                    <w:tl2br w:val="nil"/>
                    <w:tr2bl w:val="nil"/>
                  </w:tcBorders>
                  <w:vAlign w:val="center"/>
                </w:tcPr>
                <w:p w14:paraId="2BC17E9D">
                  <w:pPr>
                    <w:snapToGrid w:val="0"/>
                    <w:jc w:val="center"/>
                    <w:rPr>
                      <w:rFonts w:cs="Times New Roman"/>
                      <w:color w:val="auto"/>
                      <w:szCs w:val="21"/>
                      <w:highlight w:val="none"/>
                    </w:rPr>
                  </w:pPr>
                  <w:r>
                    <w:rPr>
                      <w:rFonts w:cs="Times New Roman"/>
                      <w:color w:val="auto"/>
                      <w:szCs w:val="21"/>
                      <w:highlight w:val="none"/>
                    </w:rPr>
                    <w:t>1</w:t>
                  </w:r>
                </w:p>
              </w:tc>
              <w:tc>
                <w:tcPr>
                  <w:tcW w:w="944" w:type="pct"/>
                  <w:tcBorders>
                    <w:tl2br w:val="nil"/>
                    <w:tr2bl w:val="nil"/>
                  </w:tcBorders>
                  <w:vAlign w:val="center"/>
                </w:tcPr>
                <w:p w14:paraId="6178BA6C">
                  <w:pPr>
                    <w:snapToGrid w:val="0"/>
                    <w:jc w:val="center"/>
                    <w:rPr>
                      <w:rFonts w:hint="eastAsia" w:eastAsia="宋体" w:cs="Times New Roman"/>
                      <w:color w:val="auto"/>
                      <w:szCs w:val="21"/>
                      <w:lang w:eastAsia="zh-CN"/>
                    </w:rPr>
                  </w:pPr>
                  <w:r>
                    <w:rPr>
                      <w:rFonts w:hint="eastAsia" w:cs="Times New Roman"/>
                      <w:color w:val="auto"/>
                      <w:szCs w:val="21"/>
                      <w:lang w:eastAsia="zh-CN"/>
                    </w:rPr>
                    <w:t>处理底泥</w:t>
                  </w:r>
                </w:p>
              </w:tc>
            </w:tr>
            <w:tr w14:paraId="41AE218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33" w:hRule="atLeast"/>
                <w:jc w:val="center"/>
              </w:trPr>
              <w:tc>
                <w:tcPr>
                  <w:tcW w:w="1372" w:type="pct"/>
                  <w:tcBorders>
                    <w:tl2br w:val="nil"/>
                    <w:tr2bl w:val="nil"/>
                  </w:tcBorders>
                  <w:vAlign w:val="center"/>
                </w:tcPr>
                <w:p w14:paraId="5DC410F6">
                  <w:pPr>
                    <w:snapToGrid w:val="0"/>
                    <w:jc w:val="center"/>
                    <w:rPr>
                      <w:rFonts w:cs="Times New Roman"/>
                      <w:color w:val="auto"/>
                      <w:szCs w:val="21"/>
                    </w:rPr>
                  </w:pPr>
                  <w:r>
                    <w:rPr>
                      <w:rFonts w:cs="Times New Roman"/>
                      <w:color w:val="auto"/>
                      <w:szCs w:val="21"/>
                    </w:rPr>
                    <w:t>水泵</w:t>
                  </w:r>
                </w:p>
              </w:tc>
              <w:tc>
                <w:tcPr>
                  <w:tcW w:w="1833" w:type="pct"/>
                  <w:tcBorders>
                    <w:tl2br w:val="nil"/>
                    <w:tr2bl w:val="nil"/>
                  </w:tcBorders>
                  <w:vAlign w:val="center"/>
                </w:tcPr>
                <w:p w14:paraId="387F5F33">
                  <w:pPr>
                    <w:snapToGrid w:val="0"/>
                    <w:jc w:val="center"/>
                    <w:rPr>
                      <w:rFonts w:cs="Times New Roman"/>
                      <w:color w:val="auto"/>
                      <w:szCs w:val="21"/>
                      <w:highlight w:val="none"/>
                    </w:rPr>
                  </w:pPr>
                  <w:r>
                    <w:rPr>
                      <w:rFonts w:cs="Times New Roman"/>
                      <w:color w:val="auto"/>
                      <w:szCs w:val="21"/>
                      <w:highlight w:val="none"/>
                    </w:rPr>
                    <w:t>5KW\7.5KW</w:t>
                  </w:r>
                </w:p>
              </w:tc>
              <w:tc>
                <w:tcPr>
                  <w:tcW w:w="849" w:type="pct"/>
                  <w:tcBorders>
                    <w:tl2br w:val="nil"/>
                    <w:tr2bl w:val="nil"/>
                  </w:tcBorders>
                  <w:vAlign w:val="center"/>
                </w:tcPr>
                <w:p w14:paraId="20FC2678">
                  <w:pPr>
                    <w:snapToGrid w:val="0"/>
                    <w:jc w:val="center"/>
                    <w:rPr>
                      <w:rFonts w:hint="eastAsia" w:eastAsia="宋体" w:cs="Times New Roman"/>
                      <w:color w:val="auto"/>
                      <w:szCs w:val="21"/>
                      <w:highlight w:val="none"/>
                      <w:lang w:eastAsia="zh-CN"/>
                    </w:rPr>
                  </w:pPr>
                  <w:r>
                    <w:rPr>
                      <w:rFonts w:hint="eastAsia" w:cs="Times New Roman"/>
                      <w:color w:val="auto"/>
                      <w:szCs w:val="21"/>
                      <w:highlight w:val="none"/>
                      <w:lang w:val="en-US" w:eastAsia="zh-CN"/>
                    </w:rPr>
                    <w:t>5</w:t>
                  </w:r>
                </w:p>
              </w:tc>
              <w:tc>
                <w:tcPr>
                  <w:tcW w:w="944" w:type="pct"/>
                  <w:tcBorders>
                    <w:tl2br w:val="nil"/>
                    <w:tr2bl w:val="nil"/>
                  </w:tcBorders>
                  <w:vAlign w:val="center"/>
                </w:tcPr>
                <w:p w14:paraId="43EA0734">
                  <w:pPr>
                    <w:jc w:val="center"/>
                    <w:rPr>
                      <w:rFonts w:hint="eastAsia" w:eastAsia="宋体" w:cs="Times New Roman"/>
                      <w:color w:val="auto"/>
                      <w:szCs w:val="21"/>
                      <w:lang w:eastAsia="zh-CN"/>
                    </w:rPr>
                  </w:pPr>
                  <w:r>
                    <w:rPr>
                      <w:rFonts w:hint="eastAsia" w:cs="Times New Roman"/>
                      <w:color w:val="auto"/>
                      <w:szCs w:val="21"/>
                      <w:lang w:eastAsia="zh-CN"/>
                    </w:rPr>
                    <w:t>提升污水</w:t>
                  </w:r>
                </w:p>
              </w:tc>
            </w:tr>
            <w:tr w14:paraId="626A5DC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33" w:hRule="atLeast"/>
                <w:jc w:val="center"/>
              </w:trPr>
              <w:tc>
                <w:tcPr>
                  <w:tcW w:w="1372" w:type="pct"/>
                  <w:tcBorders>
                    <w:tl2br w:val="nil"/>
                    <w:tr2bl w:val="nil"/>
                  </w:tcBorders>
                  <w:vAlign w:val="center"/>
                </w:tcPr>
                <w:p w14:paraId="195A0E98">
                  <w:pPr>
                    <w:snapToGrid w:val="0"/>
                    <w:jc w:val="center"/>
                    <w:rPr>
                      <w:rFonts w:cs="Times New Roman"/>
                      <w:color w:val="auto"/>
                      <w:szCs w:val="21"/>
                    </w:rPr>
                  </w:pPr>
                  <w:r>
                    <w:rPr>
                      <w:rFonts w:cs="Times New Roman"/>
                      <w:color w:val="auto"/>
                      <w:szCs w:val="21"/>
                    </w:rPr>
                    <w:t>叉车</w:t>
                  </w:r>
                </w:p>
              </w:tc>
              <w:tc>
                <w:tcPr>
                  <w:tcW w:w="1833" w:type="pct"/>
                  <w:tcBorders>
                    <w:tl2br w:val="nil"/>
                    <w:tr2bl w:val="nil"/>
                  </w:tcBorders>
                  <w:vAlign w:val="center"/>
                </w:tcPr>
                <w:p w14:paraId="020D2470">
                  <w:pPr>
                    <w:snapToGrid w:val="0"/>
                    <w:jc w:val="center"/>
                    <w:rPr>
                      <w:rFonts w:cs="Times New Roman"/>
                      <w:color w:val="auto"/>
                      <w:szCs w:val="21"/>
                      <w:highlight w:val="none"/>
                    </w:rPr>
                  </w:pPr>
                  <w:r>
                    <w:rPr>
                      <w:rFonts w:cs="Times New Roman"/>
                      <w:color w:val="auto"/>
                      <w:szCs w:val="21"/>
                      <w:highlight w:val="none"/>
                    </w:rPr>
                    <w:t>/</w:t>
                  </w:r>
                </w:p>
              </w:tc>
              <w:tc>
                <w:tcPr>
                  <w:tcW w:w="849" w:type="pct"/>
                  <w:tcBorders>
                    <w:tl2br w:val="nil"/>
                    <w:tr2bl w:val="nil"/>
                  </w:tcBorders>
                  <w:vAlign w:val="center"/>
                </w:tcPr>
                <w:p w14:paraId="16984F7F">
                  <w:pPr>
                    <w:snapToGrid w:val="0"/>
                    <w:jc w:val="center"/>
                    <w:rPr>
                      <w:rFonts w:hint="eastAsia" w:eastAsia="宋体" w:cs="Times New Roman"/>
                      <w:color w:val="auto"/>
                      <w:szCs w:val="21"/>
                      <w:highlight w:val="none"/>
                      <w:lang w:eastAsia="zh-CN"/>
                    </w:rPr>
                  </w:pPr>
                  <w:r>
                    <w:rPr>
                      <w:rFonts w:hint="eastAsia" w:cs="Times New Roman"/>
                      <w:color w:val="auto"/>
                      <w:szCs w:val="21"/>
                      <w:highlight w:val="none"/>
                      <w:lang w:val="en-US" w:eastAsia="zh-CN"/>
                    </w:rPr>
                    <w:t>2</w:t>
                  </w:r>
                </w:p>
              </w:tc>
              <w:tc>
                <w:tcPr>
                  <w:tcW w:w="944" w:type="pct"/>
                  <w:tcBorders>
                    <w:tl2br w:val="nil"/>
                    <w:tr2bl w:val="nil"/>
                  </w:tcBorders>
                  <w:vAlign w:val="center"/>
                </w:tcPr>
                <w:p w14:paraId="4DB37816">
                  <w:pPr>
                    <w:jc w:val="center"/>
                    <w:rPr>
                      <w:rFonts w:hint="eastAsia" w:eastAsia="宋体" w:cs="Times New Roman"/>
                      <w:color w:val="auto"/>
                      <w:szCs w:val="21"/>
                      <w:lang w:eastAsia="zh-CN"/>
                    </w:rPr>
                  </w:pPr>
                  <w:r>
                    <w:rPr>
                      <w:rFonts w:hint="eastAsia" w:cs="Times New Roman"/>
                      <w:color w:val="auto"/>
                      <w:szCs w:val="21"/>
                      <w:lang w:eastAsia="zh-CN"/>
                    </w:rPr>
                    <w:t>转运</w:t>
                  </w:r>
                </w:p>
              </w:tc>
            </w:tr>
            <w:tr w14:paraId="43EB548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3" w:hRule="atLeast"/>
                <w:jc w:val="center"/>
              </w:trPr>
              <w:tc>
                <w:tcPr>
                  <w:tcW w:w="1372" w:type="pct"/>
                  <w:tcBorders>
                    <w:tl2br w:val="nil"/>
                    <w:tr2bl w:val="nil"/>
                  </w:tcBorders>
                  <w:vAlign w:val="center"/>
                </w:tcPr>
                <w:p w14:paraId="2098EC53">
                  <w:pPr>
                    <w:snapToGrid w:val="0"/>
                    <w:jc w:val="center"/>
                    <w:rPr>
                      <w:rFonts w:cs="Times New Roman"/>
                      <w:color w:val="auto"/>
                      <w:szCs w:val="21"/>
                    </w:rPr>
                  </w:pPr>
                  <w:r>
                    <w:rPr>
                      <w:rFonts w:cs="Times New Roman"/>
                      <w:color w:val="auto"/>
                      <w:szCs w:val="21"/>
                    </w:rPr>
                    <w:t>焊机</w:t>
                  </w:r>
                </w:p>
              </w:tc>
              <w:tc>
                <w:tcPr>
                  <w:tcW w:w="1833" w:type="pct"/>
                  <w:tcBorders>
                    <w:tl2br w:val="nil"/>
                    <w:tr2bl w:val="nil"/>
                  </w:tcBorders>
                  <w:vAlign w:val="center"/>
                </w:tcPr>
                <w:p w14:paraId="3FCD6D46">
                  <w:pPr>
                    <w:snapToGrid w:val="0"/>
                    <w:jc w:val="center"/>
                    <w:rPr>
                      <w:rFonts w:cs="Times New Roman"/>
                      <w:color w:val="auto"/>
                      <w:szCs w:val="21"/>
                    </w:rPr>
                  </w:pPr>
                  <w:r>
                    <w:rPr>
                      <w:rFonts w:cs="Times New Roman"/>
                      <w:color w:val="auto"/>
                      <w:szCs w:val="21"/>
                    </w:rPr>
                    <w:t>/</w:t>
                  </w:r>
                </w:p>
              </w:tc>
              <w:tc>
                <w:tcPr>
                  <w:tcW w:w="849" w:type="pct"/>
                  <w:tcBorders>
                    <w:tl2br w:val="nil"/>
                    <w:tr2bl w:val="nil"/>
                  </w:tcBorders>
                  <w:vAlign w:val="center"/>
                </w:tcPr>
                <w:p w14:paraId="0100A56C">
                  <w:pPr>
                    <w:snapToGrid w:val="0"/>
                    <w:jc w:val="center"/>
                    <w:rPr>
                      <w:rFonts w:cs="Times New Roman"/>
                      <w:color w:val="auto"/>
                      <w:szCs w:val="21"/>
                    </w:rPr>
                  </w:pPr>
                  <w:r>
                    <w:rPr>
                      <w:rFonts w:cs="Times New Roman"/>
                      <w:color w:val="auto"/>
                      <w:szCs w:val="21"/>
                    </w:rPr>
                    <w:t>1</w:t>
                  </w:r>
                </w:p>
              </w:tc>
              <w:tc>
                <w:tcPr>
                  <w:tcW w:w="944" w:type="pct"/>
                  <w:tcBorders>
                    <w:tl2br w:val="nil"/>
                    <w:tr2bl w:val="nil"/>
                  </w:tcBorders>
                  <w:vAlign w:val="center"/>
                </w:tcPr>
                <w:p w14:paraId="21B39A68">
                  <w:pPr>
                    <w:jc w:val="center"/>
                    <w:rPr>
                      <w:rFonts w:hint="eastAsia" w:eastAsia="宋体" w:cs="Times New Roman"/>
                      <w:color w:val="auto"/>
                      <w:szCs w:val="21"/>
                      <w:lang w:eastAsia="zh-CN"/>
                    </w:rPr>
                  </w:pPr>
                  <w:r>
                    <w:rPr>
                      <w:rFonts w:hint="eastAsia" w:cs="Times New Roman"/>
                      <w:color w:val="auto"/>
                      <w:szCs w:val="21"/>
                      <w:lang w:eastAsia="zh-CN"/>
                    </w:rPr>
                    <w:t>机修</w:t>
                  </w:r>
                </w:p>
              </w:tc>
            </w:tr>
          </w:tbl>
          <w:p w14:paraId="14AEE212">
            <w:pPr>
              <w:spacing w:line="360" w:lineRule="auto"/>
              <w:ind w:firstLine="482" w:firstLineChars="200"/>
              <w:rPr>
                <w:rFonts w:cs="Times New Roman"/>
                <w:b/>
                <w:color w:val="auto"/>
                <w:sz w:val="24"/>
                <w:szCs w:val="24"/>
              </w:rPr>
            </w:pPr>
            <w:r>
              <w:rPr>
                <w:rFonts w:cs="Times New Roman"/>
                <w:b/>
                <w:color w:val="auto"/>
                <w:sz w:val="24"/>
                <w:szCs w:val="24"/>
              </w:rPr>
              <w:t>6、主要原辅材料</w:t>
            </w:r>
          </w:p>
          <w:p w14:paraId="1629C35A">
            <w:pPr>
              <w:spacing w:line="360" w:lineRule="auto"/>
              <w:ind w:firstLine="480" w:firstLineChars="200"/>
              <w:rPr>
                <w:rFonts w:cs="Times New Roman"/>
                <w:color w:val="auto"/>
                <w:kern w:val="24"/>
                <w:sz w:val="24"/>
                <w:szCs w:val="24"/>
              </w:rPr>
            </w:pPr>
            <w:r>
              <w:rPr>
                <w:rFonts w:cs="Times New Roman"/>
                <w:color w:val="auto"/>
                <w:kern w:val="24"/>
                <w:sz w:val="24"/>
                <w:szCs w:val="24"/>
              </w:rPr>
              <w:t>本项目主要原辅材料种类和用量见表2-4。</w:t>
            </w:r>
          </w:p>
          <w:p w14:paraId="2626D08B">
            <w:pPr>
              <w:spacing w:line="360" w:lineRule="auto"/>
              <w:jc w:val="center"/>
              <w:rPr>
                <w:rFonts w:cs="Times New Roman"/>
                <w:b/>
                <w:bCs/>
                <w:color w:val="auto"/>
                <w:sz w:val="24"/>
                <w:szCs w:val="24"/>
              </w:rPr>
            </w:pPr>
            <w:r>
              <w:rPr>
                <w:rFonts w:cs="Times New Roman"/>
                <w:b/>
                <w:bCs/>
                <w:color w:val="auto"/>
                <w:sz w:val="24"/>
                <w:szCs w:val="24"/>
              </w:rPr>
              <w:t>表2-4  主要原辅材料及能耗</w:t>
            </w:r>
          </w:p>
          <w:tbl>
            <w:tblPr>
              <w:tblStyle w:val="24"/>
              <w:tblW w:w="498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
            <w:tblGrid>
              <w:gridCol w:w="703"/>
              <w:gridCol w:w="1360"/>
              <w:gridCol w:w="1179"/>
              <w:gridCol w:w="1402"/>
              <w:gridCol w:w="1402"/>
              <w:gridCol w:w="1264"/>
              <w:gridCol w:w="1287"/>
            </w:tblGrid>
            <w:tr w14:paraId="6E87570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601" w:hRule="atLeast"/>
                <w:tblHeader/>
                <w:jc w:val="center"/>
              </w:trPr>
              <w:tc>
                <w:tcPr>
                  <w:tcW w:w="408" w:type="pct"/>
                  <w:tcBorders>
                    <w:tl2br w:val="nil"/>
                    <w:tr2bl w:val="nil"/>
                  </w:tcBorders>
                  <w:vAlign w:val="center"/>
                </w:tcPr>
                <w:p w14:paraId="0195EC0F">
                  <w:pPr>
                    <w:jc w:val="center"/>
                    <w:rPr>
                      <w:rFonts w:cs="Times New Roman"/>
                      <w:b/>
                      <w:color w:val="auto"/>
                      <w:szCs w:val="21"/>
                    </w:rPr>
                  </w:pPr>
                  <w:r>
                    <w:rPr>
                      <w:rFonts w:cs="Times New Roman"/>
                      <w:b/>
                      <w:color w:val="auto"/>
                      <w:szCs w:val="21"/>
                    </w:rPr>
                    <w:t>类别</w:t>
                  </w:r>
                </w:p>
              </w:tc>
              <w:tc>
                <w:tcPr>
                  <w:tcW w:w="790" w:type="pct"/>
                  <w:tcBorders>
                    <w:tl2br w:val="nil"/>
                    <w:tr2bl w:val="nil"/>
                  </w:tcBorders>
                  <w:vAlign w:val="center"/>
                </w:tcPr>
                <w:p w14:paraId="76A5B5D4">
                  <w:pPr>
                    <w:jc w:val="center"/>
                    <w:rPr>
                      <w:rFonts w:cs="Times New Roman"/>
                      <w:b/>
                      <w:color w:val="auto"/>
                      <w:szCs w:val="21"/>
                    </w:rPr>
                  </w:pPr>
                  <w:r>
                    <w:rPr>
                      <w:rFonts w:cs="Times New Roman"/>
                      <w:b/>
                      <w:color w:val="auto"/>
                      <w:szCs w:val="21"/>
                    </w:rPr>
                    <w:t>名称</w:t>
                  </w:r>
                </w:p>
              </w:tc>
              <w:tc>
                <w:tcPr>
                  <w:tcW w:w="685" w:type="pct"/>
                  <w:tcBorders>
                    <w:tl2br w:val="nil"/>
                    <w:tr2bl w:val="nil"/>
                  </w:tcBorders>
                  <w:vAlign w:val="center"/>
                </w:tcPr>
                <w:p w14:paraId="269EA351">
                  <w:pPr>
                    <w:jc w:val="center"/>
                    <w:rPr>
                      <w:rFonts w:cs="Times New Roman"/>
                      <w:b/>
                      <w:color w:val="auto"/>
                      <w:szCs w:val="21"/>
                    </w:rPr>
                  </w:pPr>
                  <w:r>
                    <w:rPr>
                      <w:rFonts w:cs="Times New Roman"/>
                      <w:b/>
                      <w:color w:val="auto"/>
                      <w:szCs w:val="21"/>
                    </w:rPr>
                    <w:t>单位</w:t>
                  </w:r>
                </w:p>
              </w:tc>
              <w:tc>
                <w:tcPr>
                  <w:tcW w:w="815" w:type="pct"/>
                  <w:tcBorders>
                    <w:tl2br w:val="nil"/>
                    <w:tr2bl w:val="nil"/>
                  </w:tcBorders>
                  <w:vAlign w:val="center"/>
                </w:tcPr>
                <w:p w14:paraId="0417E62E">
                  <w:pPr>
                    <w:jc w:val="center"/>
                    <w:rPr>
                      <w:rFonts w:cs="Times New Roman"/>
                      <w:b/>
                      <w:color w:val="auto"/>
                      <w:szCs w:val="21"/>
                    </w:rPr>
                  </w:pPr>
                  <w:r>
                    <w:rPr>
                      <w:rFonts w:cs="Times New Roman"/>
                      <w:b/>
                      <w:color w:val="auto"/>
                      <w:szCs w:val="21"/>
                    </w:rPr>
                    <w:t>年用量</w:t>
                  </w:r>
                </w:p>
              </w:tc>
              <w:tc>
                <w:tcPr>
                  <w:tcW w:w="815" w:type="pct"/>
                  <w:tcBorders>
                    <w:tl2br w:val="nil"/>
                    <w:tr2bl w:val="nil"/>
                  </w:tcBorders>
                  <w:vAlign w:val="center"/>
                </w:tcPr>
                <w:p w14:paraId="7B55ECE1">
                  <w:pPr>
                    <w:jc w:val="center"/>
                    <w:rPr>
                      <w:rFonts w:cs="Times New Roman"/>
                      <w:b/>
                      <w:color w:val="auto"/>
                      <w:szCs w:val="21"/>
                    </w:rPr>
                  </w:pPr>
                  <w:r>
                    <w:rPr>
                      <w:rFonts w:cs="Times New Roman"/>
                      <w:b/>
                      <w:color w:val="auto"/>
                      <w:szCs w:val="21"/>
                    </w:rPr>
                    <w:t>最大</w:t>
                  </w:r>
                </w:p>
                <w:p w14:paraId="39FD635F">
                  <w:pPr>
                    <w:jc w:val="center"/>
                    <w:rPr>
                      <w:rFonts w:cs="Times New Roman"/>
                      <w:b/>
                      <w:color w:val="auto"/>
                      <w:szCs w:val="21"/>
                    </w:rPr>
                  </w:pPr>
                  <w:r>
                    <w:rPr>
                      <w:rFonts w:cs="Times New Roman"/>
                      <w:b/>
                      <w:color w:val="auto"/>
                      <w:szCs w:val="21"/>
                    </w:rPr>
                    <w:t>储存量</w:t>
                  </w:r>
                </w:p>
              </w:tc>
              <w:tc>
                <w:tcPr>
                  <w:tcW w:w="735" w:type="pct"/>
                  <w:tcBorders>
                    <w:tl2br w:val="nil"/>
                    <w:tr2bl w:val="nil"/>
                  </w:tcBorders>
                  <w:vAlign w:val="center"/>
                </w:tcPr>
                <w:p w14:paraId="19A906EA">
                  <w:pPr>
                    <w:jc w:val="center"/>
                    <w:rPr>
                      <w:rFonts w:cs="Times New Roman"/>
                      <w:b/>
                      <w:color w:val="auto"/>
                      <w:szCs w:val="21"/>
                    </w:rPr>
                  </w:pPr>
                  <w:r>
                    <w:rPr>
                      <w:rFonts w:cs="Times New Roman"/>
                      <w:b/>
                      <w:color w:val="auto"/>
                      <w:szCs w:val="21"/>
                    </w:rPr>
                    <w:t>来源</w:t>
                  </w:r>
                </w:p>
              </w:tc>
              <w:tc>
                <w:tcPr>
                  <w:tcW w:w="748" w:type="pct"/>
                  <w:tcBorders>
                    <w:tl2br w:val="nil"/>
                    <w:tr2bl w:val="nil"/>
                  </w:tcBorders>
                  <w:vAlign w:val="center"/>
                </w:tcPr>
                <w:p w14:paraId="4DE244BD">
                  <w:pPr>
                    <w:jc w:val="center"/>
                    <w:rPr>
                      <w:rFonts w:cs="Times New Roman"/>
                      <w:b/>
                      <w:color w:val="auto"/>
                      <w:szCs w:val="21"/>
                    </w:rPr>
                  </w:pPr>
                  <w:r>
                    <w:rPr>
                      <w:rFonts w:cs="Times New Roman"/>
                      <w:b/>
                      <w:color w:val="auto"/>
                      <w:szCs w:val="21"/>
                    </w:rPr>
                    <w:t>备注</w:t>
                  </w:r>
                </w:p>
              </w:tc>
            </w:tr>
            <w:tr w14:paraId="3E2768D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530" w:hRule="atLeast"/>
                <w:jc w:val="center"/>
              </w:trPr>
              <w:tc>
                <w:tcPr>
                  <w:tcW w:w="408" w:type="pct"/>
                  <w:vMerge w:val="restart"/>
                  <w:tcBorders>
                    <w:tl2br w:val="nil"/>
                    <w:tr2bl w:val="nil"/>
                  </w:tcBorders>
                  <w:vAlign w:val="center"/>
                </w:tcPr>
                <w:p w14:paraId="796224ED">
                  <w:pPr>
                    <w:jc w:val="center"/>
                    <w:rPr>
                      <w:rFonts w:cs="Times New Roman"/>
                      <w:bCs/>
                      <w:color w:val="auto"/>
                      <w:szCs w:val="21"/>
                    </w:rPr>
                  </w:pPr>
                  <w:r>
                    <w:rPr>
                      <w:rFonts w:cs="Times New Roman"/>
                      <w:bCs/>
                      <w:color w:val="auto"/>
                      <w:szCs w:val="21"/>
                    </w:rPr>
                    <w:t>原辅料</w:t>
                  </w:r>
                </w:p>
              </w:tc>
              <w:tc>
                <w:tcPr>
                  <w:tcW w:w="790" w:type="pct"/>
                  <w:tcBorders>
                    <w:tl2br w:val="nil"/>
                    <w:tr2bl w:val="nil"/>
                  </w:tcBorders>
                  <w:vAlign w:val="center"/>
                </w:tcPr>
                <w:p w14:paraId="59B0D35C">
                  <w:pPr>
                    <w:jc w:val="center"/>
                    <w:rPr>
                      <w:rFonts w:cs="Times New Roman"/>
                      <w:bCs/>
                      <w:color w:val="auto"/>
                      <w:szCs w:val="21"/>
                    </w:rPr>
                  </w:pPr>
                  <w:r>
                    <w:rPr>
                      <w:rFonts w:cs="Times New Roman"/>
                      <w:color w:val="auto"/>
                      <w:szCs w:val="21"/>
                    </w:rPr>
                    <w:t>青石毛料</w:t>
                  </w:r>
                </w:p>
              </w:tc>
              <w:tc>
                <w:tcPr>
                  <w:tcW w:w="685" w:type="pct"/>
                  <w:tcBorders>
                    <w:tl2br w:val="nil"/>
                    <w:tr2bl w:val="nil"/>
                  </w:tcBorders>
                  <w:vAlign w:val="center"/>
                </w:tcPr>
                <w:p w14:paraId="5FFE8CD9">
                  <w:pPr>
                    <w:jc w:val="center"/>
                    <w:rPr>
                      <w:rFonts w:cs="Times New Roman"/>
                      <w:bCs/>
                      <w:color w:val="auto"/>
                      <w:szCs w:val="21"/>
                    </w:rPr>
                  </w:pPr>
                  <w:r>
                    <w:rPr>
                      <w:rFonts w:cs="Times New Roman"/>
                      <w:bCs/>
                      <w:color w:val="auto"/>
                      <w:szCs w:val="21"/>
                    </w:rPr>
                    <w:t>m</w:t>
                  </w:r>
                  <w:r>
                    <w:rPr>
                      <w:rFonts w:cs="Times New Roman"/>
                      <w:bCs/>
                      <w:color w:val="auto"/>
                      <w:szCs w:val="21"/>
                      <w:vertAlign w:val="superscript"/>
                    </w:rPr>
                    <w:t>3</w:t>
                  </w:r>
                </w:p>
              </w:tc>
              <w:tc>
                <w:tcPr>
                  <w:tcW w:w="815" w:type="pct"/>
                  <w:tcBorders>
                    <w:tl2br w:val="nil"/>
                    <w:tr2bl w:val="nil"/>
                  </w:tcBorders>
                  <w:vAlign w:val="center"/>
                </w:tcPr>
                <w:p w14:paraId="2453A04F">
                  <w:pPr>
                    <w:widowControl/>
                    <w:jc w:val="center"/>
                    <w:textAlignment w:val="center"/>
                    <w:rPr>
                      <w:rFonts w:hint="eastAsia" w:cs="Times New Roman"/>
                      <w:bCs/>
                      <w:color w:val="auto"/>
                      <w:szCs w:val="21"/>
                      <w:highlight w:val="none"/>
                      <w:lang w:val="en-US" w:eastAsia="zh-CN"/>
                    </w:rPr>
                  </w:pPr>
                  <w:r>
                    <w:rPr>
                      <w:rFonts w:hint="eastAsia" w:cs="Times New Roman"/>
                      <w:bCs/>
                      <w:color w:val="auto"/>
                      <w:szCs w:val="21"/>
                      <w:highlight w:val="none"/>
                      <w:lang w:val="en-US" w:eastAsia="zh-CN"/>
                    </w:rPr>
                    <w:t>10000</w:t>
                  </w:r>
                </w:p>
                <w:p w14:paraId="6697AB94">
                  <w:pPr>
                    <w:widowControl/>
                    <w:jc w:val="center"/>
                    <w:textAlignment w:val="center"/>
                    <w:rPr>
                      <w:rFonts w:hint="default" w:eastAsia="宋体" w:cs="Times New Roman"/>
                      <w:bCs/>
                      <w:color w:val="auto"/>
                      <w:szCs w:val="21"/>
                      <w:highlight w:val="none"/>
                      <w:lang w:val="en-US" w:eastAsia="zh-CN"/>
                    </w:rPr>
                  </w:pPr>
                  <w:r>
                    <w:rPr>
                      <w:rFonts w:hint="eastAsia" w:cs="Times New Roman"/>
                      <w:bCs/>
                      <w:color w:val="auto"/>
                      <w:szCs w:val="21"/>
                      <w:highlight w:val="none"/>
                      <w:lang w:val="en-US" w:eastAsia="zh-CN"/>
                    </w:rPr>
                    <w:t>（约2.5万t）</w:t>
                  </w:r>
                </w:p>
              </w:tc>
              <w:tc>
                <w:tcPr>
                  <w:tcW w:w="815" w:type="pct"/>
                  <w:tcBorders>
                    <w:tl2br w:val="nil"/>
                    <w:tr2bl w:val="nil"/>
                  </w:tcBorders>
                  <w:vAlign w:val="center"/>
                </w:tcPr>
                <w:p w14:paraId="6595EFEB">
                  <w:pPr>
                    <w:jc w:val="center"/>
                    <w:rPr>
                      <w:rFonts w:cs="Times New Roman"/>
                      <w:bCs/>
                      <w:color w:val="auto"/>
                      <w:szCs w:val="21"/>
                      <w:highlight w:val="none"/>
                    </w:rPr>
                  </w:pPr>
                  <w:r>
                    <w:rPr>
                      <w:rFonts w:hint="eastAsia" w:cs="Times New Roman"/>
                      <w:bCs/>
                      <w:color w:val="auto"/>
                      <w:szCs w:val="21"/>
                      <w:highlight w:val="none"/>
                      <w:lang w:val="en-US" w:eastAsia="zh-CN"/>
                    </w:rPr>
                    <w:t>5</w:t>
                  </w:r>
                  <w:r>
                    <w:rPr>
                      <w:rFonts w:cs="Times New Roman"/>
                      <w:bCs/>
                      <w:color w:val="auto"/>
                      <w:szCs w:val="21"/>
                      <w:highlight w:val="none"/>
                    </w:rPr>
                    <w:t>00</w:t>
                  </w:r>
                </w:p>
              </w:tc>
              <w:tc>
                <w:tcPr>
                  <w:tcW w:w="735" w:type="pct"/>
                  <w:tcBorders>
                    <w:tl2br w:val="nil"/>
                    <w:tr2bl w:val="nil"/>
                  </w:tcBorders>
                  <w:vAlign w:val="center"/>
                </w:tcPr>
                <w:p w14:paraId="54F09392">
                  <w:pPr>
                    <w:jc w:val="center"/>
                    <w:rPr>
                      <w:rFonts w:cs="Times New Roman"/>
                      <w:bCs/>
                      <w:color w:val="auto"/>
                      <w:szCs w:val="21"/>
                      <w:highlight w:val="none"/>
                    </w:rPr>
                  </w:pPr>
                  <w:r>
                    <w:rPr>
                      <w:rFonts w:cs="Times New Roman"/>
                      <w:bCs/>
                      <w:color w:val="auto"/>
                      <w:szCs w:val="21"/>
                      <w:highlight w:val="none"/>
                    </w:rPr>
                    <w:t>外购</w:t>
                  </w:r>
                </w:p>
              </w:tc>
              <w:tc>
                <w:tcPr>
                  <w:tcW w:w="748" w:type="pct"/>
                  <w:tcBorders>
                    <w:tl2br w:val="nil"/>
                    <w:tr2bl w:val="nil"/>
                  </w:tcBorders>
                  <w:vAlign w:val="center"/>
                </w:tcPr>
                <w:p w14:paraId="17D1CB55">
                  <w:pPr>
                    <w:jc w:val="center"/>
                    <w:rPr>
                      <w:rFonts w:cs="Times New Roman"/>
                      <w:bCs/>
                      <w:color w:val="auto"/>
                      <w:szCs w:val="21"/>
                      <w:highlight w:val="none"/>
                    </w:rPr>
                  </w:pPr>
                  <w:r>
                    <w:rPr>
                      <w:rFonts w:cs="Times New Roman"/>
                      <w:bCs/>
                      <w:color w:val="auto"/>
                      <w:szCs w:val="21"/>
                      <w:highlight w:val="none"/>
                    </w:rPr>
                    <w:t>损耗</w:t>
                  </w:r>
                  <w:r>
                    <w:rPr>
                      <w:rFonts w:hint="eastAsia" w:cs="Times New Roman"/>
                      <w:bCs/>
                      <w:color w:val="auto"/>
                      <w:szCs w:val="21"/>
                      <w:highlight w:val="none"/>
                      <w:lang w:val="en-US" w:eastAsia="zh-CN"/>
                    </w:rPr>
                    <w:t>2</w:t>
                  </w:r>
                  <w:r>
                    <w:rPr>
                      <w:rFonts w:cs="Times New Roman"/>
                      <w:bCs/>
                      <w:color w:val="auto"/>
                      <w:szCs w:val="21"/>
                      <w:highlight w:val="none"/>
                    </w:rPr>
                    <w:t>0%</w:t>
                  </w:r>
                </w:p>
              </w:tc>
            </w:tr>
            <w:tr w14:paraId="5CDF51D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81" w:hRule="atLeast"/>
                <w:jc w:val="center"/>
              </w:trPr>
              <w:tc>
                <w:tcPr>
                  <w:tcW w:w="408" w:type="pct"/>
                  <w:vMerge w:val="continue"/>
                  <w:tcBorders>
                    <w:tl2br w:val="nil"/>
                    <w:tr2bl w:val="nil"/>
                  </w:tcBorders>
                  <w:vAlign w:val="center"/>
                </w:tcPr>
                <w:p w14:paraId="1BF8A4EF">
                  <w:pPr>
                    <w:jc w:val="center"/>
                    <w:rPr>
                      <w:rFonts w:cs="Times New Roman"/>
                      <w:bCs/>
                      <w:color w:val="auto"/>
                      <w:szCs w:val="21"/>
                    </w:rPr>
                  </w:pPr>
                </w:p>
              </w:tc>
              <w:tc>
                <w:tcPr>
                  <w:tcW w:w="790" w:type="pct"/>
                  <w:tcBorders>
                    <w:tl2br w:val="nil"/>
                    <w:tr2bl w:val="nil"/>
                  </w:tcBorders>
                  <w:vAlign w:val="center"/>
                </w:tcPr>
                <w:p w14:paraId="72D303C8">
                  <w:pPr>
                    <w:jc w:val="center"/>
                    <w:rPr>
                      <w:rFonts w:cs="Times New Roman"/>
                      <w:color w:val="auto"/>
                      <w:szCs w:val="21"/>
                    </w:rPr>
                  </w:pPr>
                  <w:r>
                    <w:rPr>
                      <w:rFonts w:hint="eastAsia" w:cs="Times New Roman"/>
                      <w:color w:val="auto"/>
                      <w:szCs w:val="21"/>
                    </w:rPr>
                    <w:t>喷砂磨料</w:t>
                  </w:r>
                </w:p>
              </w:tc>
              <w:tc>
                <w:tcPr>
                  <w:tcW w:w="685" w:type="pct"/>
                  <w:tcBorders>
                    <w:tl2br w:val="nil"/>
                    <w:tr2bl w:val="nil"/>
                  </w:tcBorders>
                  <w:vAlign w:val="center"/>
                </w:tcPr>
                <w:p w14:paraId="326A4EBE">
                  <w:pPr>
                    <w:jc w:val="center"/>
                    <w:rPr>
                      <w:rFonts w:cs="Times New Roman"/>
                      <w:bCs/>
                      <w:color w:val="auto"/>
                      <w:szCs w:val="21"/>
                    </w:rPr>
                  </w:pPr>
                  <w:r>
                    <w:rPr>
                      <w:rFonts w:cs="Times New Roman"/>
                      <w:bCs/>
                      <w:color w:val="auto"/>
                      <w:szCs w:val="21"/>
                    </w:rPr>
                    <w:t>t</w:t>
                  </w:r>
                </w:p>
              </w:tc>
              <w:tc>
                <w:tcPr>
                  <w:tcW w:w="815" w:type="pct"/>
                  <w:tcBorders>
                    <w:tl2br w:val="nil"/>
                    <w:tr2bl w:val="nil"/>
                  </w:tcBorders>
                  <w:vAlign w:val="center"/>
                </w:tcPr>
                <w:p w14:paraId="44DFFBD3">
                  <w:pPr>
                    <w:widowControl/>
                    <w:jc w:val="center"/>
                    <w:textAlignment w:val="center"/>
                    <w:rPr>
                      <w:rFonts w:cs="Times New Roman"/>
                      <w:color w:val="auto"/>
                      <w:kern w:val="0"/>
                      <w:szCs w:val="21"/>
                      <w:lang w:bidi="ar"/>
                    </w:rPr>
                  </w:pPr>
                  <w:r>
                    <w:rPr>
                      <w:rFonts w:hint="eastAsia" w:cs="Times New Roman"/>
                      <w:color w:val="auto"/>
                      <w:kern w:val="0"/>
                      <w:szCs w:val="21"/>
                      <w:lang w:bidi="ar"/>
                    </w:rPr>
                    <w:t>1</w:t>
                  </w:r>
                </w:p>
              </w:tc>
              <w:tc>
                <w:tcPr>
                  <w:tcW w:w="815" w:type="pct"/>
                  <w:tcBorders>
                    <w:tl2br w:val="nil"/>
                    <w:tr2bl w:val="nil"/>
                  </w:tcBorders>
                  <w:vAlign w:val="center"/>
                </w:tcPr>
                <w:p w14:paraId="7C4777D4">
                  <w:pPr>
                    <w:jc w:val="center"/>
                    <w:rPr>
                      <w:rFonts w:cs="Times New Roman"/>
                      <w:bCs/>
                      <w:color w:val="auto"/>
                      <w:szCs w:val="21"/>
                    </w:rPr>
                  </w:pPr>
                  <w:r>
                    <w:rPr>
                      <w:rFonts w:hint="eastAsia" w:cs="Times New Roman"/>
                      <w:bCs/>
                      <w:color w:val="auto"/>
                      <w:szCs w:val="21"/>
                    </w:rPr>
                    <w:t>0.2</w:t>
                  </w:r>
                </w:p>
              </w:tc>
              <w:tc>
                <w:tcPr>
                  <w:tcW w:w="735" w:type="pct"/>
                  <w:tcBorders>
                    <w:tl2br w:val="nil"/>
                    <w:tr2bl w:val="nil"/>
                  </w:tcBorders>
                  <w:vAlign w:val="center"/>
                </w:tcPr>
                <w:p w14:paraId="59544CC5">
                  <w:pPr>
                    <w:jc w:val="center"/>
                    <w:rPr>
                      <w:rFonts w:cs="Times New Roman"/>
                      <w:bCs/>
                      <w:color w:val="auto"/>
                      <w:szCs w:val="21"/>
                    </w:rPr>
                  </w:pPr>
                  <w:r>
                    <w:rPr>
                      <w:rFonts w:cs="Times New Roman"/>
                      <w:bCs/>
                      <w:color w:val="auto"/>
                      <w:szCs w:val="21"/>
                    </w:rPr>
                    <w:t>外购</w:t>
                  </w:r>
                </w:p>
              </w:tc>
              <w:tc>
                <w:tcPr>
                  <w:tcW w:w="748" w:type="pct"/>
                  <w:tcBorders>
                    <w:tl2br w:val="nil"/>
                    <w:tr2bl w:val="nil"/>
                  </w:tcBorders>
                  <w:vAlign w:val="center"/>
                </w:tcPr>
                <w:p w14:paraId="4B87D01A">
                  <w:pPr>
                    <w:jc w:val="center"/>
                    <w:rPr>
                      <w:rFonts w:hint="eastAsia" w:eastAsia="宋体" w:cs="Times New Roman"/>
                      <w:bCs/>
                      <w:color w:val="auto"/>
                      <w:szCs w:val="21"/>
                      <w:lang w:eastAsia="zh-CN"/>
                    </w:rPr>
                  </w:pPr>
                  <w:r>
                    <w:rPr>
                      <w:rFonts w:hint="eastAsia" w:cs="Times New Roman"/>
                      <w:bCs/>
                      <w:color w:val="auto"/>
                      <w:szCs w:val="21"/>
                    </w:rPr>
                    <w:t>喷砂面</w:t>
                  </w:r>
                  <w:r>
                    <w:rPr>
                      <w:rFonts w:hint="eastAsia" w:cs="Times New Roman"/>
                      <w:bCs/>
                      <w:color w:val="auto"/>
                      <w:szCs w:val="21"/>
                      <w:lang w:eastAsia="zh-CN"/>
                    </w:rPr>
                    <w:t>处理</w:t>
                  </w:r>
                </w:p>
              </w:tc>
            </w:tr>
            <w:tr w14:paraId="2CCC425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530" w:hRule="atLeast"/>
                <w:jc w:val="center"/>
              </w:trPr>
              <w:tc>
                <w:tcPr>
                  <w:tcW w:w="408" w:type="pct"/>
                  <w:vMerge w:val="continue"/>
                  <w:tcBorders>
                    <w:tl2br w:val="nil"/>
                    <w:tr2bl w:val="nil"/>
                  </w:tcBorders>
                  <w:vAlign w:val="center"/>
                </w:tcPr>
                <w:p w14:paraId="577BB691">
                  <w:pPr>
                    <w:jc w:val="center"/>
                    <w:rPr>
                      <w:rFonts w:cs="Times New Roman"/>
                      <w:bCs/>
                      <w:color w:val="auto"/>
                      <w:szCs w:val="21"/>
                    </w:rPr>
                  </w:pPr>
                </w:p>
              </w:tc>
              <w:tc>
                <w:tcPr>
                  <w:tcW w:w="790" w:type="pct"/>
                  <w:tcBorders>
                    <w:tl2br w:val="nil"/>
                    <w:tr2bl w:val="nil"/>
                  </w:tcBorders>
                  <w:vAlign w:val="center"/>
                </w:tcPr>
                <w:p w14:paraId="05C368F2">
                  <w:pPr>
                    <w:jc w:val="center"/>
                    <w:rPr>
                      <w:rFonts w:cs="Times New Roman"/>
                      <w:bCs/>
                      <w:color w:val="auto"/>
                      <w:szCs w:val="21"/>
                    </w:rPr>
                  </w:pPr>
                  <w:r>
                    <w:rPr>
                      <w:rFonts w:cs="Times New Roman"/>
                      <w:bCs/>
                      <w:color w:val="auto"/>
                      <w:szCs w:val="21"/>
                    </w:rPr>
                    <w:t>聚丙烯酰胺絮凝剂</w:t>
                  </w:r>
                </w:p>
              </w:tc>
              <w:tc>
                <w:tcPr>
                  <w:tcW w:w="685" w:type="pct"/>
                  <w:tcBorders>
                    <w:tl2br w:val="nil"/>
                    <w:tr2bl w:val="nil"/>
                  </w:tcBorders>
                  <w:vAlign w:val="center"/>
                </w:tcPr>
                <w:p w14:paraId="127DA585">
                  <w:pPr>
                    <w:jc w:val="center"/>
                    <w:rPr>
                      <w:rFonts w:cs="Times New Roman"/>
                      <w:bCs/>
                      <w:color w:val="auto"/>
                      <w:szCs w:val="21"/>
                    </w:rPr>
                  </w:pPr>
                  <w:r>
                    <w:rPr>
                      <w:rFonts w:cs="Times New Roman"/>
                      <w:bCs/>
                      <w:color w:val="auto"/>
                      <w:szCs w:val="21"/>
                    </w:rPr>
                    <w:t>t</w:t>
                  </w:r>
                </w:p>
              </w:tc>
              <w:tc>
                <w:tcPr>
                  <w:tcW w:w="815" w:type="pct"/>
                  <w:tcBorders>
                    <w:tl2br w:val="nil"/>
                    <w:tr2bl w:val="nil"/>
                  </w:tcBorders>
                  <w:vAlign w:val="center"/>
                </w:tcPr>
                <w:p w14:paraId="35BE050F">
                  <w:pPr>
                    <w:jc w:val="center"/>
                    <w:rPr>
                      <w:rFonts w:cs="Times New Roman"/>
                      <w:bCs/>
                      <w:color w:val="auto"/>
                      <w:szCs w:val="21"/>
                    </w:rPr>
                  </w:pPr>
                  <w:r>
                    <w:rPr>
                      <w:rFonts w:cs="Times New Roman"/>
                      <w:bCs/>
                      <w:color w:val="auto"/>
                      <w:szCs w:val="21"/>
                    </w:rPr>
                    <w:t>3</w:t>
                  </w:r>
                </w:p>
              </w:tc>
              <w:tc>
                <w:tcPr>
                  <w:tcW w:w="815" w:type="pct"/>
                  <w:tcBorders>
                    <w:tl2br w:val="nil"/>
                    <w:tr2bl w:val="nil"/>
                  </w:tcBorders>
                  <w:vAlign w:val="center"/>
                </w:tcPr>
                <w:p w14:paraId="5C397276">
                  <w:pPr>
                    <w:jc w:val="center"/>
                    <w:rPr>
                      <w:rFonts w:cs="Times New Roman"/>
                      <w:bCs/>
                      <w:color w:val="auto"/>
                      <w:szCs w:val="21"/>
                    </w:rPr>
                  </w:pPr>
                  <w:r>
                    <w:rPr>
                      <w:rFonts w:cs="Times New Roman"/>
                      <w:bCs/>
                      <w:color w:val="auto"/>
                      <w:szCs w:val="21"/>
                    </w:rPr>
                    <w:t>0.5</w:t>
                  </w:r>
                </w:p>
              </w:tc>
              <w:tc>
                <w:tcPr>
                  <w:tcW w:w="735" w:type="pct"/>
                  <w:tcBorders>
                    <w:tl2br w:val="nil"/>
                    <w:tr2bl w:val="nil"/>
                  </w:tcBorders>
                  <w:vAlign w:val="center"/>
                </w:tcPr>
                <w:p w14:paraId="1314126F">
                  <w:pPr>
                    <w:jc w:val="center"/>
                    <w:rPr>
                      <w:rFonts w:cs="Times New Roman"/>
                      <w:bCs/>
                      <w:color w:val="auto"/>
                      <w:szCs w:val="21"/>
                    </w:rPr>
                  </w:pPr>
                  <w:r>
                    <w:rPr>
                      <w:rFonts w:cs="Times New Roman"/>
                      <w:bCs/>
                      <w:color w:val="auto"/>
                      <w:szCs w:val="21"/>
                    </w:rPr>
                    <w:t>外购</w:t>
                  </w:r>
                </w:p>
              </w:tc>
              <w:tc>
                <w:tcPr>
                  <w:tcW w:w="748" w:type="pct"/>
                  <w:tcBorders>
                    <w:tl2br w:val="nil"/>
                    <w:tr2bl w:val="nil"/>
                  </w:tcBorders>
                  <w:vAlign w:val="center"/>
                </w:tcPr>
                <w:p w14:paraId="7F400EDD">
                  <w:pPr>
                    <w:jc w:val="center"/>
                    <w:rPr>
                      <w:rFonts w:cs="Times New Roman"/>
                      <w:bCs/>
                      <w:color w:val="auto"/>
                      <w:szCs w:val="21"/>
                    </w:rPr>
                  </w:pPr>
                  <w:r>
                    <w:rPr>
                      <w:rFonts w:cs="Times New Roman"/>
                      <w:bCs/>
                      <w:color w:val="auto"/>
                      <w:szCs w:val="21"/>
                    </w:rPr>
                    <w:t>污水处理</w:t>
                  </w:r>
                </w:p>
              </w:tc>
            </w:tr>
            <w:tr w14:paraId="4D814C0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81" w:hRule="atLeast"/>
                <w:jc w:val="center"/>
              </w:trPr>
              <w:tc>
                <w:tcPr>
                  <w:tcW w:w="408" w:type="pct"/>
                  <w:vMerge w:val="continue"/>
                  <w:tcBorders>
                    <w:tl2br w:val="nil"/>
                    <w:tr2bl w:val="nil"/>
                  </w:tcBorders>
                  <w:vAlign w:val="center"/>
                </w:tcPr>
                <w:p w14:paraId="5C495118">
                  <w:pPr>
                    <w:jc w:val="center"/>
                    <w:rPr>
                      <w:rFonts w:cs="Times New Roman"/>
                      <w:bCs/>
                      <w:color w:val="auto"/>
                      <w:szCs w:val="21"/>
                    </w:rPr>
                  </w:pPr>
                </w:p>
              </w:tc>
              <w:tc>
                <w:tcPr>
                  <w:tcW w:w="790" w:type="pct"/>
                  <w:tcBorders>
                    <w:tl2br w:val="nil"/>
                    <w:tr2bl w:val="nil"/>
                  </w:tcBorders>
                  <w:vAlign w:val="center"/>
                </w:tcPr>
                <w:p w14:paraId="60D7C2C2">
                  <w:pPr>
                    <w:jc w:val="center"/>
                    <w:rPr>
                      <w:rFonts w:cs="Times New Roman"/>
                      <w:color w:val="auto"/>
                      <w:szCs w:val="21"/>
                    </w:rPr>
                  </w:pPr>
                  <w:r>
                    <w:rPr>
                      <w:rFonts w:cs="Times New Roman"/>
                      <w:color w:val="auto"/>
                      <w:szCs w:val="21"/>
                    </w:rPr>
                    <w:t>液氧</w:t>
                  </w:r>
                </w:p>
              </w:tc>
              <w:tc>
                <w:tcPr>
                  <w:tcW w:w="685" w:type="pct"/>
                  <w:tcBorders>
                    <w:tl2br w:val="nil"/>
                    <w:tr2bl w:val="nil"/>
                  </w:tcBorders>
                  <w:vAlign w:val="center"/>
                </w:tcPr>
                <w:p w14:paraId="0170DFF6">
                  <w:pPr>
                    <w:jc w:val="center"/>
                    <w:rPr>
                      <w:rFonts w:cs="Times New Roman"/>
                      <w:bCs/>
                      <w:color w:val="auto"/>
                      <w:szCs w:val="21"/>
                    </w:rPr>
                  </w:pPr>
                  <w:r>
                    <w:rPr>
                      <w:rFonts w:cs="Times New Roman"/>
                      <w:bCs/>
                      <w:color w:val="auto"/>
                      <w:szCs w:val="21"/>
                    </w:rPr>
                    <w:t>瓶</w:t>
                  </w:r>
                </w:p>
              </w:tc>
              <w:tc>
                <w:tcPr>
                  <w:tcW w:w="815" w:type="pct"/>
                  <w:tcBorders>
                    <w:tl2br w:val="nil"/>
                    <w:tr2bl w:val="nil"/>
                  </w:tcBorders>
                  <w:vAlign w:val="center"/>
                </w:tcPr>
                <w:p w14:paraId="71777073">
                  <w:pPr>
                    <w:jc w:val="center"/>
                    <w:rPr>
                      <w:rFonts w:hint="default" w:cs="Times New Roman"/>
                      <w:bCs/>
                      <w:color w:val="auto"/>
                      <w:szCs w:val="21"/>
                      <w:lang w:val="en-US"/>
                    </w:rPr>
                  </w:pPr>
                  <w:r>
                    <w:rPr>
                      <w:rFonts w:hint="eastAsia" w:cs="Times New Roman"/>
                      <w:bCs/>
                      <w:color w:val="auto"/>
                      <w:szCs w:val="21"/>
                      <w:lang w:val="en-US" w:eastAsia="zh-CN"/>
                    </w:rPr>
                    <w:t>10</w:t>
                  </w:r>
                </w:p>
              </w:tc>
              <w:tc>
                <w:tcPr>
                  <w:tcW w:w="815" w:type="pct"/>
                  <w:tcBorders>
                    <w:tl2br w:val="nil"/>
                    <w:tr2bl w:val="nil"/>
                  </w:tcBorders>
                  <w:vAlign w:val="center"/>
                </w:tcPr>
                <w:p w14:paraId="51E50FAD">
                  <w:pPr>
                    <w:jc w:val="center"/>
                    <w:rPr>
                      <w:rFonts w:cs="Times New Roman"/>
                      <w:bCs/>
                      <w:color w:val="auto"/>
                      <w:szCs w:val="21"/>
                    </w:rPr>
                  </w:pPr>
                  <w:r>
                    <w:rPr>
                      <w:rFonts w:cs="Times New Roman"/>
                      <w:bCs/>
                      <w:color w:val="auto"/>
                      <w:szCs w:val="21"/>
                    </w:rPr>
                    <w:t>1</w:t>
                  </w:r>
                </w:p>
              </w:tc>
              <w:tc>
                <w:tcPr>
                  <w:tcW w:w="735" w:type="pct"/>
                  <w:tcBorders>
                    <w:tl2br w:val="nil"/>
                    <w:tr2bl w:val="nil"/>
                  </w:tcBorders>
                  <w:vAlign w:val="center"/>
                </w:tcPr>
                <w:p w14:paraId="39A86EC4">
                  <w:pPr>
                    <w:jc w:val="center"/>
                    <w:rPr>
                      <w:rFonts w:cs="Times New Roman"/>
                      <w:bCs/>
                      <w:color w:val="auto"/>
                      <w:szCs w:val="21"/>
                    </w:rPr>
                  </w:pPr>
                  <w:r>
                    <w:rPr>
                      <w:rFonts w:cs="Times New Roman"/>
                      <w:bCs/>
                      <w:color w:val="auto"/>
                      <w:szCs w:val="21"/>
                    </w:rPr>
                    <w:t>外购</w:t>
                  </w:r>
                </w:p>
              </w:tc>
              <w:tc>
                <w:tcPr>
                  <w:tcW w:w="748" w:type="pct"/>
                  <w:tcBorders>
                    <w:tl2br w:val="nil"/>
                    <w:tr2bl w:val="nil"/>
                  </w:tcBorders>
                  <w:vAlign w:val="center"/>
                </w:tcPr>
                <w:p w14:paraId="7F9EB81B">
                  <w:pPr>
                    <w:jc w:val="center"/>
                    <w:rPr>
                      <w:rFonts w:hint="eastAsia" w:eastAsia="宋体" w:cs="Times New Roman"/>
                      <w:bCs/>
                      <w:color w:val="auto"/>
                      <w:szCs w:val="21"/>
                      <w:lang w:eastAsia="zh-CN"/>
                    </w:rPr>
                  </w:pPr>
                  <w:r>
                    <w:rPr>
                      <w:rFonts w:hint="eastAsia" w:cs="Times New Roman"/>
                      <w:bCs/>
                      <w:color w:val="auto"/>
                      <w:szCs w:val="21"/>
                      <w:lang w:eastAsia="zh-CN"/>
                    </w:rPr>
                    <w:t>表面处理</w:t>
                  </w:r>
                </w:p>
              </w:tc>
            </w:tr>
            <w:tr w14:paraId="311D0F4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81" w:hRule="atLeast"/>
                <w:jc w:val="center"/>
              </w:trPr>
              <w:tc>
                <w:tcPr>
                  <w:tcW w:w="408" w:type="pct"/>
                  <w:vMerge w:val="continue"/>
                  <w:tcBorders>
                    <w:tl2br w:val="nil"/>
                    <w:tr2bl w:val="nil"/>
                  </w:tcBorders>
                  <w:vAlign w:val="center"/>
                </w:tcPr>
                <w:p w14:paraId="0D401D4A">
                  <w:pPr>
                    <w:jc w:val="center"/>
                    <w:rPr>
                      <w:rFonts w:cs="Times New Roman"/>
                      <w:bCs/>
                      <w:color w:val="auto"/>
                      <w:szCs w:val="21"/>
                    </w:rPr>
                  </w:pPr>
                </w:p>
              </w:tc>
              <w:tc>
                <w:tcPr>
                  <w:tcW w:w="790" w:type="pct"/>
                  <w:tcBorders>
                    <w:tl2br w:val="nil"/>
                    <w:tr2bl w:val="nil"/>
                  </w:tcBorders>
                  <w:vAlign w:val="center"/>
                </w:tcPr>
                <w:p w14:paraId="1B1D2978">
                  <w:pPr>
                    <w:jc w:val="center"/>
                    <w:rPr>
                      <w:rFonts w:hint="eastAsia" w:eastAsia="宋体" w:cs="Times New Roman"/>
                      <w:color w:val="auto"/>
                      <w:szCs w:val="21"/>
                      <w:lang w:eastAsia="zh-CN"/>
                    </w:rPr>
                  </w:pPr>
                  <w:r>
                    <w:rPr>
                      <w:rFonts w:hint="eastAsia" w:cs="Times New Roman"/>
                      <w:color w:val="auto"/>
                      <w:szCs w:val="21"/>
                      <w:lang w:eastAsia="zh-CN"/>
                    </w:rPr>
                    <w:t>液化气</w:t>
                  </w:r>
                </w:p>
              </w:tc>
              <w:tc>
                <w:tcPr>
                  <w:tcW w:w="685" w:type="pct"/>
                  <w:tcBorders>
                    <w:tl2br w:val="nil"/>
                    <w:tr2bl w:val="nil"/>
                  </w:tcBorders>
                  <w:vAlign w:val="center"/>
                </w:tcPr>
                <w:p w14:paraId="3C68B797">
                  <w:pPr>
                    <w:jc w:val="center"/>
                    <w:rPr>
                      <w:rFonts w:cs="Times New Roman"/>
                      <w:bCs/>
                      <w:color w:val="auto"/>
                      <w:szCs w:val="21"/>
                    </w:rPr>
                  </w:pPr>
                  <w:r>
                    <w:rPr>
                      <w:rFonts w:cs="Times New Roman"/>
                      <w:bCs/>
                      <w:color w:val="auto"/>
                      <w:szCs w:val="21"/>
                    </w:rPr>
                    <w:t>瓶</w:t>
                  </w:r>
                </w:p>
              </w:tc>
              <w:tc>
                <w:tcPr>
                  <w:tcW w:w="815" w:type="pct"/>
                  <w:tcBorders>
                    <w:tl2br w:val="nil"/>
                    <w:tr2bl w:val="nil"/>
                  </w:tcBorders>
                  <w:vAlign w:val="center"/>
                </w:tcPr>
                <w:p w14:paraId="76BD070E">
                  <w:pPr>
                    <w:jc w:val="center"/>
                    <w:rPr>
                      <w:rFonts w:hint="default" w:cs="Times New Roman"/>
                      <w:bCs/>
                      <w:color w:val="auto"/>
                      <w:szCs w:val="21"/>
                      <w:lang w:val="en-US" w:eastAsia="zh-CN"/>
                    </w:rPr>
                  </w:pPr>
                  <w:r>
                    <w:rPr>
                      <w:rFonts w:hint="eastAsia" w:cs="Times New Roman"/>
                      <w:bCs/>
                      <w:color w:val="auto"/>
                      <w:szCs w:val="21"/>
                      <w:lang w:val="en-US" w:eastAsia="zh-CN"/>
                    </w:rPr>
                    <w:t>5</w:t>
                  </w:r>
                </w:p>
              </w:tc>
              <w:tc>
                <w:tcPr>
                  <w:tcW w:w="815" w:type="pct"/>
                  <w:tcBorders>
                    <w:tl2br w:val="nil"/>
                    <w:tr2bl w:val="nil"/>
                  </w:tcBorders>
                  <w:vAlign w:val="center"/>
                </w:tcPr>
                <w:p w14:paraId="51D7CB82">
                  <w:pPr>
                    <w:jc w:val="center"/>
                    <w:rPr>
                      <w:rFonts w:hint="eastAsia" w:eastAsia="宋体" w:cs="Times New Roman"/>
                      <w:bCs/>
                      <w:color w:val="auto"/>
                      <w:szCs w:val="21"/>
                      <w:lang w:val="en-US" w:eastAsia="zh-CN"/>
                    </w:rPr>
                  </w:pPr>
                  <w:r>
                    <w:rPr>
                      <w:rFonts w:hint="eastAsia" w:cs="Times New Roman"/>
                      <w:bCs/>
                      <w:color w:val="auto"/>
                      <w:szCs w:val="21"/>
                      <w:lang w:val="en-US" w:eastAsia="zh-CN"/>
                    </w:rPr>
                    <w:t>1</w:t>
                  </w:r>
                </w:p>
              </w:tc>
              <w:tc>
                <w:tcPr>
                  <w:tcW w:w="735" w:type="pct"/>
                  <w:tcBorders>
                    <w:tl2br w:val="nil"/>
                    <w:tr2bl w:val="nil"/>
                  </w:tcBorders>
                  <w:vAlign w:val="center"/>
                </w:tcPr>
                <w:p w14:paraId="446256FC">
                  <w:pPr>
                    <w:jc w:val="center"/>
                    <w:rPr>
                      <w:rFonts w:cs="Times New Roman"/>
                      <w:bCs/>
                      <w:color w:val="auto"/>
                      <w:szCs w:val="21"/>
                    </w:rPr>
                  </w:pPr>
                  <w:r>
                    <w:rPr>
                      <w:rFonts w:cs="Times New Roman"/>
                      <w:bCs/>
                      <w:color w:val="auto"/>
                      <w:szCs w:val="21"/>
                    </w:rPr>
                    <w:t>外购</w:t>
                  </w:r>
                </w:p>
              </w:tc>
              <w:tc>
                <w:tcPr>
                  <w:tcW w:w="748" w:type="pct"/>
                  <w:tcBorders>
                    <w:tl2br w:val="nil"/>
                    <w:tr2bl w:val="nil"/>
                  </w:tcBorders>
                  <w:vAlign w:val="center"/>
                </w:tcPr>
                <w:p w14:paraId="21C540A1">
                  <w:pPr>
                    <w:jc w:val="center"/>
                    <w:rPr>
                      <w:rFonts w:cs="Times New Roman"/>
                      <w:bCs/>
                      <w:color w:val="auto"/>
                      <w:szCs w:val="21"/>
                    </w:rPr>
                  </w:pPr>
                  <w:r>
                    <w:rPr>
                      <w:rFonts w:hint="eastAsia" w:cs="Times New Roman"/>
                      <w:bCs/>
                      <w:color w:val="auto"/>
                      <w:szCs w:val="21"/>
                      <w:lang w:eastAsia="zh-CN"/>
                    </w:rPr>
                    <w:t>表面处理</w:t>
                  </w:r>
                </w:p>
              </w:tc>
            </w:tr>
            <w:tr w14:paraId="422A779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81" w:hRule="atLeast"/>
                <w:jc w:val="center"/>
              </w:trPr>
              <w:tc>
                <w:tcPr>
                  <w:tcW w:w="408" w:type="pct"/>
                  <w:vMerge w:val="continue"/>
                  <w:tcBorders>
                    <w:tl2br w:val="nil"/>
                    <w:tr2bl w:val="nil"/>
                  </w:tcBorders>
                  <w:vAlign w:val="center"/>
                </w:tcPr>
                <w:p w14:paraId="6F33B32F">
                  <w:pPr>
                    <w:jc w:val="center"/>
                    <w:rPr>
                      <w:rFonts w:cs="Times New Roman"/>
                      <w:bCs/>
                      <w:color w:val="auto"/>
                      <w:szCs w:val="21"/>
                    </w:rPr>
                  </w:pPr>
                </w:p>
              </w:tc>
              <w:tc>
                <w:tcPr>
                  <w:tcW w:w="790" w:type="pct"/>
                  <w:tcBorders>
                    <w:tl2br w:val="nil"/>
                    <w:tr2bl w:val="nil"/>
                  </w:tcBorders>
                  <w:vAlign w:val="center"/>
                </w:tcPr>
                <w:p w14:paraId="4DE5EDC5">
                  <w:pPr>
                    <w:jc w:val="center"/>
                    <w:rPr>
                      <w:rFonts w:hint="eastAsia" w:cs="Times New Roman"/>
                      <w:color w:val="auto"/>
                      <w:szCs w:val="21"/>
                      <w:lang w:eastAsia="zh-CN"/>
                    </w:rPr>
                  </w:pPr>
                  <w:r>
                    <w:rPr>
                      <w:rFonts w:hint="eastAsia" w:cs="Times New Roman"/>
                      <w:color w:val="auto"/>
                      <w:szCs w:val="21"/>
                      <w:lang w:eastAsia="zh-CN"/>
                    </w:rPr>
                    <w:t>二氧化碳</w:t>
                  </w:r>
                </w:p>
              </w:tc>
              <w:tc>
                <w:tcPr>
                  <w:tcW w:w="685" w:type="pct"/>
                  <w:tcBorders>
                    <w:tl2br w:val="nil"/>
                    <w:tr2bl w:val="nil"/>
                  </w:tcBorders>
                  <w:vAlign w:val="center"/>
                </w:tcPr>
                <w:p w14:paraId="3D92A062">
                  <w:pPr>
                    <w:jc w:val="center"/>
                    <w:rPr>
                      <w:rFonts w:cs="Times New Roman"/>
                      <w:bCs/>
                      <w:color w:val="auto"/>
                      <w:szCs w:val="21"/>
                    </w:rPr>
                  </w:pPr>
                  <w:r>
                    <w:rPr>
                      <w:rFonts w:cs="Times New Roman"/>
                      <w:bCs/>
                      <w:color w:val="auto"/>
                      <w:szCs w:val="21"/>
                    </w:rPr>
                    <w:t>瓶</w:t>
                  </w:r>
                </w:p>
              </w:tc>
              <w:tc>
                <w:tcPr>
                  <w:tcW w:w="815" w:type="pct"/>
                  <w:tcBorders>
                    <w:tl2br w:val="nil"/>
                    <w:tr2bl w:val="nil"/>
                  </w:tcBorders>
                  <w:vAlign w:val="center"/>
                </w:tcPr>
                <w:p w14:paraId="148A1093">
                  <w:pPr>
                    <w:jc w:val="center"/>
                    <w:rPr>
                      <w:rFonts w:hint="default" w:cs="Times New Roman"/>
                      <w:bCs/>
                      <w:color w:val="auto"/>
                      <w:szCs w:val="21"/>
                      <w:lang w:val="en-US" w:eastAsia="zh-CN"/>
                    </w:rPr>
                  </w:pPr>
                  <w:r>
                    <w:rPr>
                      <w:rFonts w:hint="eastAsia" w:cs="Times New Roman"/>
                      <w:bCs/>
                      <w:color w:val="auto"/>
                      <w:szCs w:val="21"/>
                      <w:lang w:val="en-US" w:eastAsia="zh-CN"/>
                    </w:rPr>
                    <w:t>5</w:t>
                  </w:r>
                </w:p>
              </w:tc>
              <w:tc>
                <w:tcPr>
                  <w:tcW w:w="815" w:type="pct"/>
                  <w:tcBorders>
                    <w:tl2br w:val="nil"/>
                    <w:tr2bl w:val="nil"/>
                  </w:tcBorders>
                  <w:vAlign w:val="center"/>
                </w:tcPr>
                <w:p w14:paraId="792763C0">
                  <w:pPr>
                    <w:jc w:val="center"/>
                    <w:rPr>
                      <w:rFonts w:hint="eastAsia" w:eastAsia="宋体" w:cs="Times New Roman"/>
                      <w:bCs/>
                      <w:color w:val="auto"/>
                      <w:szCs w:val="21"/>
                      <w:lang w:val="en-US" w:eastAsia="zh-CN"/>
                    </w:rPr>
                  </w:pPr>
                  <w:r>
                    <w:rPr>
                      <w:rFonts w:hint="eastAsia" w:cs="Times New Roman"/>
                      <w:bCs/>
                      <w:color w:val="auto"/>
                      <w:szCs w:val="21"/>
                      <w:lang w:val="en-US" w:eastAsia="zh-CN"/>
                    </w:rPr>
                    <w:t>1</w:t>
                  </w:r>
                </w:p>
              </w:tc>
              <w:tc>
                <w:tcPr>
                  <w:tcW w:w="735" w:type="pct"/>
                  <w:tcBorders>
                    <w:tl2br w:val="nil"/>
                    <w:tr2bl w:val="nil"/>
                  </w:tcBorders>
                  <w:vAlign w:val="center"/>
                </w:tcPr>
                <w:p w14:paraId="17C327DA">
                  <w:pPr>
                    <w:jc w:val="center"/>
                    <w:rPr>
                      <w:rFonts w:cs="Times New Roman"/>
                      <w:bCs/>
                      <w:color w:val="auto"/>
                      <w:szCs w:val="21"/>
                    </w:rPr>
                  </w:pPr>
                  <w:r>
                    <w:rPr>
                      <w:rFonts w:cs="Times New Roman"/>
                      <w:bCs/>
                      <w:color w:val="auto"/>
                      <w:szCs w:val="21"/>
                    </w:rPr>
                    <w:t>外购</w:t>
                  </w:r>
                </w:p>
              </w:tc>
              <w:tc>
                <w:tcPr>
                  <w:tcW w:w="748" w:type="pct"/>
                  <w:tcBorders>
                    <w:tl2br w:val="nil"/>
                    <w:tr2bl w:val="nil"/>
                  </w:tcBorders>
                  <w:vAlign w:val="center"/>
                </w:tcPr>
                <w:p w14:paraId="25D17352">
                  <w:pPr>
                    <w:jc w:val="center"/>
                    <w:rPr>
                      <w:rFonts w:cs="Times New Roman"/>
                      <w:bCs/>
                      <w:color w:val="auto"/>
                      <w:szCs w:val="21"/>
                    </w:rPr>
                  </w:pPr>
                  <w:r>
                    <w:rPr>
                      <w:rFonts w:hint="eastAsia" w:cs="Times New Roman"/>
                      <w:bCs/>
                      <w:color w:val="auto"/>
                      <w:szCs w:val="21"/>
                      <w:lang w:eastAsia="zh-CN"/>
                    </w:rPr>
                    <w:t>表面处理</w:t>
                  </w:r>
                </w:p>
              </w:tc>
            </w:tr>
            <w:tr w14:paraId="71C945E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81" w:hRule="atLeast"/>
                <w:jc w:val="center"/>
              </w:trPr>
              <w:tc>
                <w:tcPr>
                  <w:tcW w:w="408" w:type="pct"/>
                  <w:vMerge w:val="continue"/>
                  <w:tcBorders>
                    <w:tl2br w:val="nil"/>
                    <w:tr2bl w:val="nil"/>
                  </w:tcBorders>
                  <w:vAlign w:val="center"/>
                </w:tcPr>
                <w:p w14:paraId="34DA3748">
                  <w:pPr>
                    <w:jc w:val="center"/>
                    <w:rPr>
                      <w:rFonts w:cs="Times New Roman"/>
                      <w:bCs/>
                      <w:color w:val="auto"/>
                      <w:szCs w:val="21"/>
                    </w:rPr>
                  </w:pPr>
                </w:p>
              </w:tc>
              <w:tc>
                <w:tcPr>
                  <w:tcW w:w="790" w:type="pct"/>
                  <w:tcBorders>
                    <w:tl2br w:val="nil"/>
                    <w:tr2bl w:val="nil"/>
                  </w:tcBorders>
                  <w:vAlign w:val="center"/>
                </w:tcPr>
                <w:p w14:paraId="572F8D1C">
                  <w:pPr>
                    <w:jc w:val="center"/>
                    <w:rPr>
                      <w:rFonts w:cs="Times New Roman"/>
                      <w:bCs/>
                      <w:color w:val="auto"/>
                      <w:szCs w:val="21"/>
                    </w:rPr>
                  </w:pPr>
                  <w:r>
                    <w:rPr>
                      <w:rFonts w:cs="Times New Roman"/>
                      <w:color w:val="auto"/>
                      <w:szCs w:val="21"/>
                    </w:rPr>
                    <w:t>切割锯片</w:t>
                  </w:r>
                </w:p>
              </w:tc>
              <w:tc>
                <w:tcPr>
                  <w:tcW w:w="685" w:type="pct"/>
                  <w:tcBorders>
                    <w:tl2br w:val="nil"/>
                    <w:tr2bl w:val="nil"/>
                  </w:tcBorders>
                  <w:vAlign w:val="center"/>
                </w:tcPr>
                <w:p w14:paraId="6E76EDA0">
                  <w:pPr>
                    <w:jc w:val="center"/>
                    <w:rPr>
                      <w:rFonts w:cs="Times New Roman"/>
                      <w:bCs/>
                      <w:color w:val="auto"/>
                      <w:szCs w:val="21"/>
                    </w:rPr>
                  </w:pPr>
                  <w:r>
                    <w:rPr>
                      <w:rFonts w:cs="Times New Roman"/>
                      <w:bCs/>
                      <w:color w:val="auto"/>
                      <w:szCs w:val="21"/>
                    </w:rPr>
                    <w:t>t</w:t>
                  </w:r>
                </w:p>
              </w:tc>
              <w:tc>
                <w:tcPr>
                  <w:tcW w:w="815" w:type="pct"/>
                  <w:tcBorders>
                    <w:tl2br w:val="nil"/>
                    <w:tr2bl w:val="nil"/>
                  </w:tcBorders>
                  <w:vAlign w:val="center"/>
                </w:tcPr>
                <w:p w14:paraId="5C9CD5DB">
                  <w:pPr>
                    <w:jc w:val="center"/>
                    <w:rPr>
                      <w:rFonts w:cs="Times New Roman"/>
                      <w:bCs/>
                      <w:color w:val="auto"/>
                      <w:szCs w:val="21"/>
                    </w:rPr>
                  </w:pPr>
                  <w:r>
                    <w:rPr>
                      <w:rFonts w:cs="Times New Roman"/>
                      <w:bCs/>
                      <w:color w:val="auto"/>
                      <w:szCs w:val="21"/>
                    </w:rPr>
                    <w:t>3</w:t>
                  </w:r>
                </w:p>
              </w:tc>
              <w:tc>
                <w:tcPr>
                  <w:tcW w:w="815" w:type="pct"/>
                  <w:tcBorders>
                    <w:tl2br w:val="nil"/>
                    <w:tr2bl w:val="nil"/>
                  </w:tcBorders>
                  <w:vAlign w:val="center"/>
                </w:tcPr>
                <w:p w14:paraId="24EAE541">
                  <w:pPr>
                    <w:jc w:val="center"/>
                    <w:rPr>
                      <w:rFonts w:cs="Times New Roman"/>
                      <w:bCs/>
                      <w:color w:val="auto"/>
                      <w:szCs w:val="21"/>
                    </w:rPr>
                  </w:pPr>
                  <w:r>
                    <w:rPr>
                      <w:rFonts w:cs="Times New Roman"/>
                      <w:bCs/>
                      <w:color w:val="auto"/>
                      <w:szCs w:val="21"/>
                    </w:rPr>
                    <w:t>1</w:t>
                  </w:r>
                </w:p>
              </w:tc>
              <w:tc>
                <w:tcPr>
                  <w:tcW w:w="735" w:type="pct"/>
                  <w:tcBorders>
                    <w:tl2br w:val="nil"/>
                    <w:tr2bl w:val="nil"/>
                  </w:tcBorders>
                  <w:vAlign w:val="center"/>
                </w:tcPr>
                <w:p w14:paraId="2FE4FF8A">
                  <w:pPr>
                    <w:jc w:val="center"/>
                    <w:rPr>
                      <w:rFonts w:cs="Times New Roman"/>
                      <w:bCs/>
                      <w:color w:val="auto"/>
                      <w:szCs w:val="21"/>
                    </w:rPr>
                  </w:pPr>
                  <w:r>
                    <w:rPr>
                      <w:rFonts w:cs="Times New Roman"/>
                      <w:bCs/>
                      <w:color w:val="auto"/>
                      <w:szCs w:val="21"/>
                    </w:rPr>
                    <w:t>外购</w:t>
                  </w:r>
                </w:p>
              </w:tc>
              <w:tc>
                <w:tcPr>
                  <w:tcW w:w="748" w:type="pct"/>
                  <w:tcBorders>
                    <w:tl2br w:val="nil"/>
                    <w:tr2bl w:val="nil"/>
                  </w:tcBorders>
                  <w:vAlign w:val="center"/>
                </w:tcPr>
                <w:p w14:paraId="7B36418A">
                  <w:pPr>
                    <w:jc w:val="center"/>
                    <w:rPr>
                      <w:rFonts w:cs="Times New Roman"/>
                      <w:bCs/>
                      <w:color w:val="auto"/>
                      <w:szCs w:val="21"/>
                    </w:rPr>
                  </w:pPr>
                  <w:r>
                    <w:rPr>
                      <w:rFonts w:cs="Times New Roman"/>
                      <w:bCs/>
                      <w:color w:val="auto"/>
                      <w:szCs w:val="21"/>
                    </w:rPr>
                    <w:t>维修</w:t>
                  </w:r>
                </w:p>
              </w:tc>
            </w:tr>
            <w:tr w14:paraId="0660188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81" w:hRule="atLeast"/>
                <w:jc w:val="center"/>
              </w:trPr>
              <w:tc>
                <w:tcPr>
                  <w:tcW w:w="408" w:type="pct"/>
                  <w:vMerge w:val="continue"/>
                  <w:tcBorders>
                    <w:tl2br w:val="nil"/>
                    <w:tr2bl w:val="nil"/>
                  </w:tcBorders>
                  <w:vAlign w:val="center"/>
                </w:tcPr>
                <w:p w14:paraId="585D0DFB">
                  <w:pPr>
                    <w:jc w:val="center"/>
                    <w:rPr>
                      <w:rFonts w:cs="Times New Roman"/>
                      <w:bCs/>
                      <w:color w:val="auto"/>
                      <w:szCs w:val="21"/>
                    </w:rPr>
                  </w:pPr>
                </w:p>
              </w:tc>
              <w:tc>
                <w:tcPr>
                  <w:tcW w:w="790" w:type="pct"/>
                  <w:tcBorders>
                    <w:tl2br w:val="nil"/>
                    <w:tr2bl w:val="nil"/>
                  </w:tcBorders>
                  <w:vAlign w:val="center"/>
                </w:tcPr>
                <w:p w14:paraId="340FF805">
                  <w:pPr>
                    <w:jc w:val="center"/>
                    <w:rPr>
                      <w:rFonts w:cs="Times New Roman"/>
                      <w:bCs/>
                      <w:color w:val="auto"/>
                      <w:szCs w:val="21"/>
                    </w:rPr>
                  </w:pPr>
                  <w:r>
                    <w:rPr>
                      <w:rFonts w:cs="Times New Roman"/>
                      <w:bCs/>
                      <w:color w:val="auto"/>
                      <w:szCs w:val="21"/>
                    </w:rPr>
                    <w:t>机油</w:t>
                  </w:r>
                </w:p>
              </w:tc>
              <w:tc>
                <w:tcPr>
                  <w:tcW w:w="685" w:type="pct"/>
                  <w:tcBorders>
                    <w:tl2br w:val="nil"/>
                    <w:tr2bl w:val="nil"/>
                  </w:tcBorders>
                  <w:vAlign w:val="center"/>
                </w:tcPr>
                <w:p w14:paraId="3BFF34BE">
                  <w:pPr>
                    <w:jc w:val="center"/>
                    <w:rPr>
                      <w:rFonts w:cs="Times New Roman"/>
                      <w:bCs/>
                      <w:color w:val="auto"/>
                      <w:szCs w:val="21"/>
                    </w:rPr>
                  </w:pPr>
                  <w:r>
                    <w:rPr>
                      <w:rFonts w:cs="Times New Roman"/>
                      <w:bCs/>
                      <w:color w:val="auto"/>
                      <w:szCs w:val="21"/>
                    </w:rPr>
                    <w:t>t</w:t>
                  </w:r>
                </w:p>
              </w:tc>
              <w:tc>
                <w:tcPr>
                  <w:tcW w:w="815" w:type="pct"/>
                  <w:tcBorders>
                    <w:tl2br w:val="nil"/>
                    <w:tr2bl w:val="nil"/>
                  </w:tcBorders>
                  <w:vAlign w:val="center"/>
                </w:tcPr>
                <w:p w14:paraId="0047BDD5">
                  <w:pPr>
                    <w:jc w:val="center"/>
                    <w:rPr>
                      <w:rFonts w:cs="Times New Roman"/>
                      <w:bCs/>
                      <w:color w:val="auto"/>
                      <w:szCs w:val="21"/>
                    </w:rPr>
                  </w:pPr>
                  <w:r>
                    <w:rPr>
                      <w:rFonts w:cs="Times New Roman"/>
                      <w:bCs/>
                      <w:color w:val="auto"/>
                      <w:szCs w:val="21"/>
                    </w:rPr>
                    <w:t>0.1</w:t>
                  </w:r>
                </w:p>
              </w:tc>
              <w:tc>
                <w:tcPr>
                  <w:tcW w:w="815" w:type="pct"/>
                  <w:tcBorders>
                    <w:tl2br w:val="nil"/>
                    <w:tr2bl w:val="nil"/>
                  </w:tcBorders>
                  <w:vAlign w:val="center"/>
                </w:tcPr>
                <w:p w14:paraId="39A6249A">
                  <w:pPr>
                    <w:jc w:val="center"/>
                    <w:rPr>
                      <w:rFonts w:cs="Times New Roman"/>
                      <w:bCs/>
                      <w:color w:val="auto"/>
                      <w:szCs w:val="21"/>
                    </w:rPr>
                  </w:pPr>
                  <w:r>
                    <w:rPr>
                      <w:rFonts w:cs="Times New Roman"/>
                      <w:bCs/>
                      <w:color w:val="auto"/>
                      <w:szCs w:val="21"/>
                    </w:rPr>
                    <w:t>0.05</w:t>
                  </w:r>
                </w:p>
              </w:tc>
              <w:tc>
                <w:tcPr>
                  <w:tcW w:w="735" w:type="pct"/>
                  <w:tcBorders>
                    <w:tl2br w:val="nil"/>
                    <w:tr2bl w:val="nil"/>
                  </w:tcBorders>
                  <w:vAlign w:val="center"/>
                </w:tcPr>
                <w:p w14:paraId="3D760FA0">
                  <w:pPr>
                    <w:jc w:val="center"/>
                    <w:rPr>
                      <w:rFonts w:cs="Times New Roman"/>
                      <w:bCs/>
                      <w:color w:val="auto"/>
                      <w:szCs w:val="21"/>
                    </w:rPr>
                  </w:pPr>
                  <w:r>
                    <w:rPr>
                      <w:rFonts w:cs="Times New Roman"/>
                      <w:bCs/>
                      <w:color w:val="auto"/>
                      <w:szCs w:val="21"/>
                    </w:rPr>
                    <w:t>外购</w:t>
                  </w:r>
                </w:p>
              </w:tc>
              <w:tc>
                <w:tcPr>
                  <w:tcW w:w="748" w:type="pct"/>
                  <w:tcBorders>
                    <w:tl2br w:val="nil"/>
                    <w:tr2bl w:val="nil"/>
                  </w:tcBorders>
                  <w:vAlign w:val="center"/>
                </w:tcPr>
                <w:p w14:paraId="0D9C78C6">
                  <w:pPr>
                    <w:jc w:val="center"/>
                    <w:rPr>
                      <w:rFonts w:cs="Times New Roman"/>
                      <w:bCs/>
                      <w:color w:val="auto"/>
                      <w:szCs w:val="21"/>
                    </w:rPr>
                  </w:pPr>
                  <w:r>
                    <w:rPr>
                      <w:rFonts w:cs="Times New Roman"/>
                      <w:bCs/>
                      <w:color w:val="auto"/>
                      <w:szCs w:val="21"/>
                    </w:rPr>
                    <w:t>维修</w:t>
                  </w:r>
                </w:p>
              </w:tc>
            </w:tr>
            <w:tr w14:paraId="75237AA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81" w:hRule="atLeast"/>
                <w:jc w:val="center"/>
              </w:trPr>
              <w:tc>
                <w:tcPr>
                  <w:tcW w:w="408" w:type="pct"/>
                  <w:vMerge w:val="restart"/>
                  <w:tcBorders>
                    <w:tl2br w:val="nil"/>
                    <w:tr2bl w:val="nil"/>
                  </w:tcBorders>
                  <w:vAlign w:val="center"/>
                </w:tcPr>
                <w:p w14:paraId="2BEB8E1E">
                  <w:pPr>
                    <w:jc w:val="center"/>
                    <w:rPr>
                      <w:rFonts w:cs="Times New Roman"/>
                      <w:bCs/>
                      <w:color w:val="auto"/>
                      <w:szCs w:val="21"/>
                    </w:rPr>
                  </w:pPr>
                  <w:r>
                    <w:rPr>
                      <w:rFonts w:cs="Times New Roman"/>
                      <w:bCs/>
                      <w:color w:val="auto"/>
                      <w:szCs w:val="21"/>
                    </w:rPr>
                    <w:t>能源</w:t>
                  </w:r>
                </w:p>
              </w:tc>
              <w:tc>
                <w:tcPr>
                  <w:tcW w:w="790" w:type="pct"/>
                  <w:tcBorders>
                    <w:tl2br w:val="nil"/>
                    <w:tr2bl w:val="nil"/>
                  </w:tcBorders>
                  <w:vAlign w:val="center"/>
                </w:tcPr>
                <w:p w14:paraId="1F3FFCCC">
                  <w:pPr>
                    <w:jc w:val="center"/>
                    <w:rPr>
                      <w:rFonts w:cs="Times New Roman"/>
                      <w:bCs/>
                      <w:color w:val="auto"/>
                      <w:szCs w:val="21"/>
                    </w:rPr>
                  </w:pPr>
                  <w:r>
                    <w:rPr>
                      <w:rFonts w:cs="Times New Roman"/>
                      <w:bCs/>
                      <w:color w:val="auto"/>
                      <w:szCs w:val="21"/>
                    </w:rPr>
                    <w:t>电</w:t>
                  </w:r>
                </w:p>
              </w:tc>
              <w:tc>
                <w:tcPr>
                  <w:tcW w:w="685" w:type="pct"/>
                  <w:tcBorders>
                    <w:tl2br w:val="nil"/>
                    <w:tr2bl w:val="nil"/>
                  </w:tcBorders>
                  <w:vAlign w:val="center"/>
                </w:tcPr>
                <w:p w14:paraId="0B55AE61">
                  <w:pPr>
                    <w:jc w:val="center"/>
                    <w:rPr>
                      <w:rFonts w:cs="Times New Roman"/>
                      <w:bCs/>
                      <w:color w:val="auto"/>
                      <w:szCs w:val="21"/>
                    </w:rPr>
                  </w:pPr>
                  <w:r>
                    <w:rPr>
                      <w:rFonts w:cs="Times New Roman"/>
                      <w:bCs/>
                      <w:color w:val="auto"/>
                      <w:szCs w:val="21"/>
                    </w:rPr>
                    <w:t>万kW·h</w:t>
                  </w:r>
                </w:p>
              </w:tc>
              <w:tc>
                <w:tcPr>
                  <w:tcW w:w="815" w:type="pct"/>
                  <w:tcBorders>
                    <w:tl2br w:val="nil"/>
                    <w:tr2bl w:val="nil"/>
                  </w:tcBorders>
                  <w:vAlign w:val="center"/>
                </w:tcPr>
                <w:p w14:paraId="4E6CCE49">
                  <w:pPr>
                    <w:jc w:val="center"/>
                    <w:rPr>
                      <w:rFonts w:hint="default" w:eastAsia="宋体" w:cs="Times New Roman"/>
                      <w:bCs/>
                      <w:color w:val="auto"/>
                      <w:szCs w:val="21"/>
                      <w:lang w:val="en-US" w:eastAsia="zh-CN"/>
                    </w:rPr>
                  </w:pPr>
                  <w:r>
                    <w:rPr>
                      <w:rFonts w:hint="eastAsia" w:cs="Times New Roman"/>
                      <w:bCs/>
                      <w:color w:val="auto"/>
                      <w:szCs w:val="21"/>
                      <w:lang w:val="en-US" w:eastAsia="zh-CN"/>
                    </w:rPr>
                    <w:t>300</w:t>
                  </w:r>
                </w:p>
              </w:tc>
              <w:tc>
                <w:tcPr>
                  <w:tcW w:w="815" w:type="pct"/>
                  <w:tcBorders>
                    <w:tl2br w:val="nil"/>
                    <w:tr2bl w:val="nil"/>
                  </w:tcBorders>
                  <w:vAlign w:val="center"/>
                </w:tcPr>
                <w:p w14:paraId="3D7603C3">
                  <w:pPr>
                    <w:jc w:val="center"/>
                    <w:rPr>
                      <w:rFonts w:cs="Times New Roman"/>
                      <w:bCs/>
                      <w:color w:val="auto"/>
                      <w:szCs w:val="21"/>
                    </w:rPr>
                  </w:pPr>
                  <w:r>
                    <w:rPr>
                      <w:rFonts w:cs="Times New Roman"/>
                      <w:bCs/>
                      <w:color w:val="auto"/>
                      <w:szCs w:val="21"/>
                    </w:rPr>
                    <w:t>/</w:t>
                  </w:r>
                </w:p>
              </w:tc>
              <w:tc>
                <w:tcPr>
                  <w:tcW w:w="735" w:type="pct"/>
                  <w:tcBorders>
                    <w:tl2br w:val="nil"/>
                    <w:tr2bl w:val="nil"/>
                  </w:tcBorders>
                  <w:vAlign w:val="center"/>
                </w:tcPr>
                <w:p w14:paraId="54EFC4AA">
                  <w:pPr>
                    <w:jc w:val="center"/>
                    <w:rPr>
                      <w:rFonts w:cs="Times New Roman"/>
                      <w:bCs/>
                      <w:color w:val="auto"/>
                      <w:szCs w:val="21"/>
                    </w:rPr>
                  </w:pPr>
                  <w:r>
                    <w:rPr>
                      <w:rFonts w:cs="Times New Roman"/>
                      <w:bCs/>
                      <w:color w:val="auto"/>
                      <w:szCs w:val="21"/>
                    </w:rPr>
                    <w:t>当地电网</w:t>
                  </w:r>
                </w:p>
              </w:tc>
              <w:tc>
                <w:tcPr>
                  <w:tcW w:w="748" w:type="pct"/>
                  <w:tcBorders>
                    <w:tl2br w:val="nil"/>
                    <w:tr2bl w:val="nil"/>
                  </w:tcBorders>
                  <w:vAlign w:val="center"/>
                </w:tcPr>
                <w:p w14:paraId="06E2FD91">
                  <w:pPr>
                    <w:jc w:val="center"/>
                    <w:rPr>
                      <w:rFonts w:cs="Times New Roman"/>
                      <w:bCs/>
                      <w:color w:val="auto"/>
                      <w:szCs w:val="21"/>
                    </w:rPr>
                  </w:pPr>
                  <w:r>
                    <w:rPr>
                      <w:rFonts w:cs="Times New Roman"/>
                      <w:bCs/>
                      <w:color w:val="auto"/>
                      <w:szCs w:val="21"/>
                    </w:rPr>
                    <w:t>/</w:t>
                  </w:r>
                </w:p>
              </w:tc>
            </w:tr>
            <w:tr w14:paraId="4EDAA90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36" w:hRule="atLeast"/>
                <w:jc w:val="center"/>
              </w:trPr>
              <w:tc>
                <w:tcPr>
                  <w:tcW w:w="408" w:type="pct"/>
                  <w:vMerge w:val="continue"/>
                  <w:tcBorders>
                    <w:tl2br w:val="nil"/>
                    <w:tr2bl w:val="nil"/>
                  </w:tcBorders>
                  <w:vAlign w:val="center"/>
                </w:tcPr>
                <w:p w14:paraId="562DA9A9">
                  <w:pPr>
                    <w:jc w:val="center"/>
                    <w:rPr>
                      <w:rFonts w:cs="Times New Roman"/>
                      <w:bCs/>
                      <w:color w:val="auto"/>
                      <w:szCs w:val="21"/>
                    </w:rPr>
                  </w:pPr>
                </w:p>
              </w:tc>
              <w:tc>
                <w:tcPr>
                  <w:tcW w:w="790" w:type="pct"/>
                  <w:tcBorders>
                    <w:tl2br w:val="nil"/>
                    <w:tr2bl w:val="nil"/>
                  </w:tcBorders>
                  <w:vAlign w:val="center"/>
                </w:tcPr>
                <w:p w14:paraId="71B22603">
                  <w:pPr>
                    <w:jc w:val="center"/>
                    <w:rPr>
                      <w:rFonts w:cs="Times New Roman"/>
                      <w:bCs/>
                      <w:color w:val="auto"/>
                      <w:szCs w:val="21"/>
                    </w:rPr>
                  </w:pPr>
                  <w:r>
                    <w:rPr>
                      <w:rFonts w:cs="Times New Roman"/>
                      <w:bCs/>
                      <w:color w:val="auto"/>
                      <w:szCs w:val="21"/>
                    </w:rPr>
                    <w:t>水</w:t>
                  </w:r>
                </w:p>
              </w:tc>
              <w:tc>
                <w:tcPr>
                  <w:tcW w:w="685" w:type="pct"/>
                  <w:tcBorders>
                    <w:tl2br w:val="nil"/>
                    <w:tr2bl w:val="nil"/>
                  </w:tcBorders>
                  <w:vAlign w:val="center"/>
                </w:tcPr>
                <w:p w14:paraId="026713F4">
                  <w:pPr>
                    <w:jc w:val="center"/>
                    <w:rPr>
                      <w:rFonts w:cs="Times New Roman"/>
                      <w:bCs/>
                      <w:color w:val="auto"/>
                      <w:szCs w:val="21"/>
                    </w:rPr>
                  </w:pPr>
                  <w:r>
                    <w:rPr>
                      <w:rFonts w:cs="Times New Roman"/>
                      <w:bCs/>
                      <w:color w:val="auto"/>
                      <w:szCs w:val="21"/>
                    </w:rPr>
                    <w:t>m</w:t>
                  </w:r>
                  <w:r>
                    <w:rPr>
                      <w:rFonts w:cs="Times New Roman"/>
                      <w:bCs/>
                      <w:color w:val="auto"/>
                      <w:szCs w:val="21"/>
                      <w:vertAlign w:val="superscript"/>
                    </w:rPr>
                    <w:t>3</w:t>
                  </w:r>
                </w:p>
              </w:tc>
              <w:tc>
                <w:tcPr>
                  <w:tcW w:w="815" w:type="pct"/>
                  <w:tcBorders>
                    <w:tl2br w:val="nil"/>
                    <w:tr2bl w:val="nil"/>
                  </w:tcBorders>
                  <w:vAlign w:val="center"/>
                </w:tcPr>
                <w:p w14:paraId="5DA93655">
                  <w:pPr>
                    <w:jc w:val="center"/>
                    <w:rPr>
                      <w:rFonts w:hint="default" w:eastAsia="宋体" w:cs="Times New Roman"/>
                      <w:bCs/>
                      <w:color w:val="auto"/>
                      <w:szCs w:val="21"/>
                      <w:lang w:val="en-US" w:eastAsia="zh-CN"/>
                    </w:rPr>
                  </w:pPr>
                  <w:r>
                    <w:rPr>
                      <w:rFonts w:hint="eastAsia" w:cs="Times New Roman"/>
                      <w:bCs/>
                      <w:color w:val="auto"/>
                      <w:szCs w:val="21"/>
                      <w:highlight w:val="none"/>
                      <w:lang w:val="en-US" w:eastAsia="zh-CN"/>
                    </w:rPr>
                    <w:t>5940</w:t>
                  </w:r>
                </w:p>
              </w:tc>
              <w:tc>
                <w:tcPr>
                  <w:tcW w:w="815" w:type="pct"/>
                  <w:tcBorders>
                    <w:tl2br w:val="nil"/>
                    <w:tr2bl w:val="nil"/>
                  </w:tcBorders>
                  <w:vAlign w:val="center"/>
                </w:tcPr>
                <w:p w14:paraId="690BB824">
                  <w:pPr>
                    <w:jc w:val="center"/>
                    <w:rPr>
                      <w:rFonts w:cs="Times New Roman"/>
                      <w:bCs/>
                      <w:color w:val="auto"/>
                      <w:szCs w:val="21"/>
                    </w:rPr>
                  </w:pPr>
                  <w:r>
                    <w:rPr>
                      <w:rFonts w:cs="Times New Roman"/>
                      <w:bCs/>
                      <w:color w:val="auto"/>
                      <w:szCs w:val="21"/>
                    </w:rPr>
                    <w:t>/</w:t>
                  </w:r>
                </w:p>
              </w:tc>
              <w:tc>
                <w:tcPr>
                  <w:tcW w:w="735" w:type="pct"/>
                  <w:tcBorders>
                    <w:tl2br w:val="nil"/>
                    <w:tr2bl w:val="nil"/>
                  </w:tcBorders>
                  <w:vAlign w:val="center"/>
                </w:tcPr>
                <w:p w14:paraId="233CFAF7">
                  <w:pPr>
                    <w:jc w:val="center"/>
                    <w:rPr>
                      <w:rFonts w:cs="Times New Roman"/>
                      <w:bCs/>
                      <w:color w:val="auto"/>
                      <w:szCs w:val="21"/>
                    </w:rPr>
                  </w:pPr>
                  <w:r>
                    <w:rPr>
                      <w:rFonts w:cs="Times New Roman"/>
                      <w:bCs/>
                      <w:color w:val="auto"/>
                      <w:szCs w:val="21"/>
                    </w:rPr>
                    <w:t>自来水</w:t>
                  </w:r>
                </w:p>
              </w:tc>
              <w:tc>
                <w:tcPr>
                  <w:tcW w:w="748" w:type="pct"/>
                  <w:tcBorders>
                    <w:tl2br w:val="nil"/>
                    <w:tr2bl w:val="nil"/>
                  </w:tcBorders>
                  <w:vAlign w:val="center"/>
                </w:tcPr>
                <w:p w14:paraId="53BAB6D2">
                  <w:pPr>
                    <w:jc w:val="center"/>
                    <w:rPr>
                      <w:rFonts w:cs="Times New Roman"/>
                      <w:bCs/>
                      <w:color w:val="auto"/>
                      <w:szCs w:val="21"/>
                    </w:rPr>
                  </w:pPr>
                  <w:r>
                    <w:rPr>
                      <w:rFonts w:cs="Times New Roman"/>
                      <w:bCs/>
                      <w:color w:val="auto"/>
                      <w:szCs w:val="21"/>
                    </w:rPr>
                    <w:t>/</w:t>
                  </w:r>
                </w:p>
              </w:tc>
            </w:tr>
          </w:tbl>
          <w:p w14:paraId="433A018A">
            <w:pPr>
              <w:tabs>
                <w:tab w:val="left" w:pos="1260"/>
              </w:tabs>
              <w:adjustRightInd w:val="0"/>
              <w:spacing w:line="360" w:lineRule="auto"/>
              <w:ind w:firstLine="420" w:firstLineChars="200"/>
              <w:rPr>
                <w:rFonts w:hint="eastAsia" w:eastAsia="宋体" w:cs="Times New Roman"/>
                <w:b/>
                <w:bCs/>
                <w:color w:val="auto"/>
                <w:kern w:val="0"/>
                <w:sz w:val="24"/>
                <w:szCs w:val="24"/>
                <w:lang w:val="en-US" w:eastAsia="zh-CN"/>
              </w:rPr>
            </w:pPr>
            <w:r>
              <w:rPr>
                <w:rFonts w:cs="Times New Roman"/>
                <w:color w:val="auto"/>
                <w:kern w:val="24"/>
                <w:szCs w:val="21"/>
              </w:rPr>
              <w:t>注：石材容重按2.5t/m</w:t>
            </w:r>
            <w:r>
              <w:rPr>
                <w:rFonts w:cs="Times New Roman"/>
                <w:color w:val="auto"/>
                <w:kern w:val="24"/>
                <w:szCs w:val="21"/>
                <w:vertAlign w:val="superscript"/>
              </w:rPr>
              <w:t>3</w:t>
            </w:r>
            <w:r>
              <w:rPr>
                <w:rFonts w:cs="Times New Roman"/>
                <w:color w:val="auto"/>
                <w:kern w:val="24"/>
                <w:szCs w:val="21"/>
              </w:rPr>
              <w:t>计</w:t>
            </w:r>
            <w:r>
              <w:rPr>
                <w:rFonts w:hint="eastAsia" w:cs="Times New Roman"/>
                <w:color w:val="auto"/>
                <w:kern w:val="24"/>
                <w:szCs w:val="21"/>
                <w:lang w:eastAsia="zh-CN"/>
              </w:rPr>
              <w:t>。</w:t>
            </w:r>
          </w:p>
          <w:p w14:paraId="53260001">
            <w:pPr>
              <w:tabs>
                <w:tab w:val="left" w:pos="1260"/>
              </w:tabs>
              <w:adjustRightInd w:val="0"/>
              <w:spacing w:line="360" w:lineRule="auto"/>
              <w:ind w:firstLine="482" w:firstLineChars="200"/>
              <w:rPr>
                <w:rFonts w:cs="Times New Roman"/>
                <w:b/>
                <w:bCs/>
                <w:color w:val="auto"/>
                <w:kern w:val="0"/>
                <w:sz w:val="24"/>
                <w:szCs w:val="24"/>
              </w:rPr>
            </w:pPr>
            <w:r>
              <w:rPr>
                <w:rFonts w:cs="Times New Roman"/>
                <w:b/>
                <w:bCs/>
                <w:color w:val="auto"/>
                <w:kern w:val="0"/>
                <w:sz w:val="24"/>
                <w:szCs w:val="24"/>
              </w:rPr>
              <w:t xml:space="preserve">主要原辅料理化性质：  </w:t>
            </w:r>
          </w:p>
          <w:p w14:paraId="4DE8F692">
            <w:pPr>
              <w:tabs>
                <w:tab w:val="left" w:pos="1260"/>
              </w:tabs>
              <w:adjustRightInd w:val="0"/>
              <w:spacing w:line="372" w:lineRule="auto"/>
              <w:ind w:firstLine="482" w:firstLineChars="200"/>
              <w:rPr>
                <w:rFonts w:cs="Times New Roman"/>
                <w:b/>
                <w:bCs/>
                <w:color w:val="auto"/>
                <w:kern w:val="0"/>
                <w:sz w:val="24"/>
                <w:szCs w:val="24"/>
              </w:rPr>
            </w:pPr>
            <w:r>
              <w:rPr>
                <w:rFonts w:cs="Times New Roman"/>
                <w:b/>
                <w:bCs/>
                <w:color w:val="auto"/>
                <w:kern w:val="0"/>
                <w:sz w:val="24"/>
                <w:szCs w:val="24"/>
              </w:rPr>
              <w:t>聚丙烯酰胺絮凝剂</w:t>
            </w:r>
          </w:p>
          <w:p w14:paraId="2479E78B">
            <w:pPr>
              <w:tabs>
                <w:tab w:val="left" w:pos="1260"/>
              </w:tabs>
              <w:adjustRightInd w:val="0"/>
              <w:spacing w:line="372" w:lineRule="auto"/>
              <w:ind w:firstLine="480" w:firstLineChars="200"/>
              <w:rPr>
                <w:rFonts w:hint="default" w:eastAsia="宋体" w:cs="Times New Roman"/>
                <w:bCs/>
                <w:color w:val="auto"/>
                <w:sz w:val="24"/>
                <w:szCs w:val="24"/>
                <w:lang w:val="en-US" w:eastAsia="zh-CN"/>
              </w:rPr>
            </w:pPr>
            <w:r>
              <w:rPr>
                <w:rFonts w:cs="Times New Roman"/>
                <w:color w:val="auto"/>
                <w:kern w:val="0"/>
                <w:sz w:val="24"/>
                <w:szCs w:val="24"/>
              </w:rPr>
              <w:t>聚丙烯酰胺絮凝剂为水溶性高分子聚合物，不溶于大多数有机溶剂，具有良好的絮凝性，可以降低液体之间的摩擦阻力，本项目</w:t>
            </w:r>
            <w:r>
              <w:rPr>
                <w:rFonts w:hint="eastAsia" w:cs="Times New Roman"/>
                <w:color w:val="auto"/>
                <w:kern w:val="0"/>
                <w:sz w:val="24"/>
                <w:szCs w:val="24"/>
                <w:lang w:eastAsia="zh-CN"/>
              </w:rPr>
              <w:t>废水</w:t>
            </w:r>
            <w:r>
              <w:rPr>
                <w:rFonts w:cs="Times New Roman"/>
                <w:color w:val="auto"/>
                <w:kern w:val="0"/>
                <w:sz w:val="24"/>
                <w:szCs w:val="24"/>
              </w:rPr>
              <w:t>处理系统使用聚丙烯酰胺絮凝剂，通过加速污水中悬浮的固体粒子的沉降，达到溶液的澄清作用，提高污水处理工艺效率。</w:t>
            </w:r>
            <w:r>
              <w:rPr>
                <w:rFonts w:hint="eastAsia" w:cs="Times New Roman"/>
                <w:color w:val="auto"/>
                <w:kern w:val="0"/>
                <w:sz w:val="24"/>
                <w:szCs w:val="24"/>
                <w:lang w:val="en-US" w:eastAsia="zh-CN"/>
              </w:rPr>
              <w:t xml:space="preserve">  </w:t>
            </w:r>
          </w:p>
          <w:p w14:paraId="0F689675">
            <w:pPr>
              <w:keepNext w:val="0"/>
              <w:keepLines w:val="0"/>
              <w:pageBreakBefore w:val="0"/>
              <w:widowControl w:val="0"/>
              <w:kinsoku/>
              <w:wordWrap/>
              <w:overflowPunct/>
              <w:topLinePunct w:val="0"/>
              <w:autoSpaceDE/>
              <w:autoSpaceDN/>
              <w:bidi w:val="0"/>
              <w:adjustRightInd/>
              <w:snapToGrid/>
              <w:spacing w:line="408" w:lineRule="auto"/>
              <w:ind w:firstLine="482" w:firstLineChars="200"/>
              <w:textAlignment w:val="auto"/>
              <w:rPr>
                <w:rFonts w:hint="eastAsia" w:eastAsia="宋体" w:cs="Times New Roman"/>
                <w:b/>
                <w:color w:val="auto"/>
                <w:sz w:val="24"/>
                <w:szCs w:val="24"/>
                <w:lang w:eastAsia="zh-CN"/>
              </w:rPr>
            </w:pPr>
            <w:r>
              <w:rPr>
                <w:rFonts w:hint="eastAsia" w:cs="Times New Roman"/>
                <w:b/>
                <w:color w:val="auto"/>
                <w:sz w:val="24"/>
                <w:szCs w:val="24"/>
                <w:lang w:val="en-US" w:eastAsia="zh-CN"/>
              </w:rPr>
              <w:t>7</w:t>
            </w:r>
            <w:r>
              <w:rPr>
                <w:rFonts w:cs="Times New Roman"/>
                <w:b/>
                <w:color w:val="auto"/>
                <w:sz w:val="24"/>
                <w:szCs w:val="24"/>
              </w:rPr>
              <w:t>、</w:t>
            </w:r>
            <w:r>
              <w:rPr>
                <w:rFonts w:hint="eastAsia" w:cs="Times New Roman"/>
                <w:b/>
                <w:color w:val="auto"/>
                <w:sz w:val="24"/>
                <w:szCs w:val="24"/>
                <w:lang w:eastAsia="zh-CN"/>
              </w:rPr>
              <w:t>水平衡分析</w:t>
            </w:r>
          </w:p>
          <w:p w14:paraId="601B0294">
            <w:pPr>
              <w:keepNext w:val="0"/>
              <w:keepLines w:val="0"/>
              <w:pageBreakBefore w:val="0"/>
              <w:widowControl w:val="0"/>
              <w:kinsoku/>
              <w:wordWrap/>
              <w:overflowPunct/>
              <w:topLinePunct w:val="0"/>
              <w:autoSpaceDE/>
              <w:autoSpaceDN/>
              <w:bidi w:val="0"/>
              <w:adjustRightInd/>
              <w:snapToGrid/>
              <w:spacing w:line="408" w:lineRule="auto"/>
              <w:ind w:firstLine="482"/>
              <w:textAlignment w:val="auto"/>
              <w:rPr>
                <w:rFonts w:cs="Times New Roman"/>
                <w:b w:val="0"/>
                <w:bCs w:val="0"/>
                <w:color w:val="auto"/>
                <w:sz w:val="24"/>
                <w:szCs w:val="24"/>
              </w:rPr>
            </w:pPr>
            <w:r>
              <w:rPr>
                <w:rFonts w:cs="Times New Roman"/>
                <w:b w:val="0"/>
                <w:bCs w:val="0"/>
                <w:color w:val="auto"/>
                <w:sz w:val="24"/>
                <w:szCs w:val="24"/>
              </w:rPr>
              <w:t>根据工程分析，项目营运期用水环节主要包括</w:t>
            </w:r>
            <w:r>
              <w:rPr>
                <w:rFonts w:hint="eastAsia" w:cs="Times New Roman"/>
                <w:b w:val="0"/>
                <w:bCs w:val="0"/>
                <w:color w:val="auto"/>
                <w:sz w:val="24"/>
                <w:szCs w:val="24"/>
                <w:lang w:eastAsia="zh-CN"/>
              </w:rPr>
              <w:t>石材加工用水、地面冲洗用水及厂区降尘用水</w:t>
            </w:r>
            <w:r>
              <w:rPr>
                <w:rFonts w:cs="Times New Roman"/>
                <w:b w:val="0"/>
                <w:bCs w:val="0"/>
                <w:color w:val="auto"/>
                <w:sz w:val="24"/>
                <w:szCs w:val="24"/>
              </w:rPr>
              <w:t>。</w:t>
            </w:r>
          </w:p>
          <w:p w14:paraId="41803849">
            <w:pPr>
              <w:keepNext w:val="0"/>
              <w:keepLines w:val="0"/>
              <w:pageBreakBefore w:val="0"/>
              <w:widowControl w:val="0"/>
              <w:numPr>
                <w:ilvl w:val="0"/>
                <w:numId w:val="1"/>
              </w:numPr>
              <w:kinsoku/>
              <w:wordWrap/>
              <w:overflowPunct/>
              <w:topLinePunct w:val="0"/>
              <w:autoSpaceDE/>
              <w:autoSpaceDN/>
              <w:bidi w:val="0"/>
              <w:adjustRightInd/>
              <w:snapToGrid/>
              <w:spacing w:line="408" w:lineRule="auto"/>
              <w:ind w:firstLine="482"/>
              <w:textAlignment w:val="auto"/>
              <w:rPr>
                <w:rFonts w:hint="eastAsia" w:cs="Times New Roman"/>
                <w:color w:val="auto"/>
                <w:sz w:val="24"/>
                <w:szCs w:val="24"/>
                <w:lang w:eastAsia="zh-CN"/>
              </w:rPr>
            </w:pPr>
            <w:r>
              <w:rPr>
                <w:rFonts w:cs="Times New Roman"/>
                <w:b/>
                <w:bCs/>
                <w:color w:val="auto"/>
                <w:sz w:val="24"/>
                <w:szCs w:val="24"/>
              </w:rPr>
              <w:t>生活用水：</w:t>
            </w:r>
            <w:r>
              <w:rPr>
                <w:rFonts w:cs="Times New Roman"/>
                <w:color w:val="auto"/>
                <w:sz w:val="24"/>
                <w:szCs w:val="24"/>
              </w:rPr>
              <w:t>项目劳动定员为</w:t>
            </w:r>
            <w:r>
              <w:rPr>
                <w:rFonts w:hint="eastAsia" w:cs="Times New Roman"/>
                <w:color w:val="auto"/>
                <w:sz w:val="24"/>
                <w:szCs w:val="24"/>
                <w:lang w:val="en-US" w:eastAsia="zh-CN"/>
              </w:rPr>
              <w:t>15</w:t>
            </w:r>
            <w:r>
              <w:rPr>
                <w:rFonts w:cs="Times New Roman"/>
                <w:color w:val="auto"/>
                <w:sz w:val="24"/>
                <w:szCs w:val="24"/>
              </w:rPr>
              <w:t>人，根据《四川省用水定额》（川府函</w:t>
            </w:r>
            <w:r>
              <w:rPr>
                <w:rFonts w:hint="eastAsia" w:cs="Times New Roman"/>
                <w:color w:val="auto"/>
                <w:sz w:val="24"/>
                <w:szCs w:val="24"/>
                <w:lang w:eastAsia="zh-CN"/>
              </w:rPr>
              <w:t>〔</w:t>
            </w:r>
            <w:r>
              <w:rPr>
                <w:rFonts w:cs="Times New Roman"/>
                <w:color w:val="auto"/>
                <w:sz w:val="24"/>
                <w:szCs w:val="24"/>
              </w:rPr>
              <w:t>2021</w:t>
            </w:r>
            <w:r>
              <w:rPr>
                <w:rFonts w:hint="eastAsia" w:cs="Times New Roman"/>
                <w:color w:val="auto"/>
                <w:sz w:val="24"/>
                <w:szCs w:val="24"/>
                <w:lang w:eastAsia="zh-CN"/>
              </w:rPr>
              <w:t>〕</w:t>
            </w:r>
            <w:r>
              <w:rPr>
                <w:rFonts w:cs="Times New Roman"/>
                <w:color w:val="auto"/>
                <w:sz w:val="24"/>
                <w:szCs w:val="24"/>
              </w:rPr>
              <w:t>8号）中用水定额表，用水量按100L/人·d计，则生活用水量为</w:t>
            </w:r>
            <w:r>
              <w:rPr>
                <w:rFonts w:hint="eastAsia" w:cs="Times New Roman"/>
                <w:color w:val="auto"/>
                <w:sz w:val="24"/>
                <w:szCs w:val="24"/>
                <w:lang w:val="en-US" w:eastAsia="zh-CN"/>
              </w:rPr>
              <w:t>1.5</w:t>
            </w:r>
            <w:r>
              <w:rPr>
                <w:rFonts w:cs="Times New Roman"/>
                <w:color w:val="auto"/>
                <w:sz w:val="24"/>
                <w:szCs w:val="24"/>
              </w:rPr>
              <w:t>m</w:t>
            </w:r>
            <w:r>
              <w:rPr>
                <w:rFonts w:cs="Times New Roman"/>
                <w:color w:val="auto"/>
                <w:sz w:val="24"/>
                <w:szCs w:val="24"/>
                <w:vertAlign w:val="superscript"/>
              </w:rPr>
              <w:t>3</w:t>
            </w:r>
            <w:r>
              <w:rPr>
                <w:rFonts w:cs="Times New Roman"/>
                <w:color w:val="auto"/>
                <w:sz w:val="24"/>
                <w:szCs w:val="24"/>
              </w:rPr>
              <w:t>/d，</w:t>
            </w:r>
            <w:r>
              <w:rPr>
                <w:rFonts w:hint="eastAsia" w:cs="Times New Roman"/>
                <w:color w:val="auto"/>
                <w:sz w:val="24"/>
                <w:szCs w:val="24"/>
                <w:lang w:val="en-US" w:eastAsia="zh-CN"/>
              </w:rPr>
              <w:t>450</w:t>
            </w:r>
            <w:r>
              <w:rPr>
                <w:rFonts w:cs="Times New Roman"/>
                <w:color w:val="auto"/>
                <w:sz w:val="24"/>
                <w:szCs w:val="24"/>
              </w:rPr>
              <w:t>.0m</w:t>
            </w:r>
            <w:r>
              <w:rPr>
                <w:rFonts w:cs="Times New Roman"/>
                <w:color w:val="auto"/>
                <w:sz w:val="24"/>
                <w:szCs w:val="24"/>
                <w:vertAlign w:val="superscript"/>
              </w:rPr>
              <w:t>3</w:t>
            </w:r>
            <w:r>
              <w:rPr>
                <w:rFonts w:cs="Times New Roman"/>
                <w:color w:val="auto"/>
                <w:sz w:val="24"/>
                <w:szCs w:val="24"/>
              </w:rPr>
              <w:t>/a。排放按80%计算，则生活污水产生量为</w:t>
            </w:r>
            <w:r>
              <w:rPr>
                <w:rFonts w:hint="eastAsia" w:cs="Times New Roman"/>
                <w:color w:val="auto"/>
                <w:sz w:val="24"/>
                <w:szCs w:val="24"/>
                <w:lang w:val="en-US" w:eastAsia="zh-CN"/>
              </w:rPr>
              <w:t>1.2</w:t>
            </w:r>
            <w:r>
              <w:rPr>
                <w:rFonts w:cs="Times New Roman"/>
                <w:color w:val="auto"/>
                <w:sz w:val="24"/>
                <w:szCs w:val="24"/>
              </w:rPr>
              <w:t>m</w:t>
            </w:r>
            <w:r>
              <w:rPr>
                <w:rFonts w:cs="Times New Roman"/>
                <w:color w:val="auto"/>
                <w:sz w:val="24"/>
                <w:szCs w:val="24"/>
                <w:vertAlign w:val="superscript"/>
              </w:rPr>
              <w:t>3</w:t>
            </w:r>
            <w:r>
              <w:rPr>
                <w:rFonts w:cs="Times New Roman"/>
                <w:color w:val="auto"/>
                <w:sz w:val="24"/>
                <w:szCs w:val="24"/>
              </w:rPr>
              <w:t>/d，</w:t>
            </w:r>
            <w:r>
              <w:rPr>
                <w:rFonts w:hint="eastAsia" w:cs="Times New Roman"/>
                <w:color w:val="auto"/>
                <w:sz w:val="24"/>
                <w:szCs w:val="24"/>
                <w:lang w:val="en-US" w:eastAsia="zh-CN"/>
              </w:rPr>
              <w:t>360.0</w:t>
            </w:r>
            <w:r>
              <w:rPr>
                <w:rFonts w:cs="Times New Roman"/>
                <w:color w:val="auto"/>
                <w:sz w:val="24"/>
                <w:szCs w:val="24"/>
              </w:rPr>
              <w:t>m</w:t>
            </w:r>
            <w:r>
              <w:rPr>
                <w:rFonts w:cs="Times New Roman"/>
                <w:color w:val="auto"/>
                <w:sz w:val="24"/>
                <w:szCs w:val="24"/>
                <w:vertAlign w:val="superscript"/>
              </w:rPr>
              <w:t>3</w:t>
            </w:r>
            <w:r>
              <w:rPr>
                <w:rFonts w:cs="Times New Roman"/>
                <w:color w:val="auto"/>
                <w:sz w:val="24"/>
                <w:szCs w:val="24"/>
              </w:rPr>
              <w:t>/a</w:t>
            </w:r>
            <w:r>
              <w:rPr>
                <w:rFonts w:hint="eastAsia" w:cs="Times New Roman"/>
                <w:color w:val="auto"/>
                <w:sz w:val="24"/>
                <w:szCs w:val="24"/>
                <w:lang w:eastAsia="zh-CN"/>
              </w:rPr>
              <w:t>。食堂用水按</w:t>
            </w:r>
            <w:r>
              <w:rPr>
                <w:rFonts w:hint="eastAsia" w:cs="Times New Roman"/>
                <w:color w:val="auto"/>
                <w:sz w:val="24"/>
                <w:szCs w:val="24"/>
                <w:lang w:val="en-US" w:eastAsia="zh-CN"/>
              </w:rPr>
              <w:t>3</w:t>
            </w:r>
            <w:r>
              <w:rPr>
                <w:rFonts w:cs="Times New Roman"/>
                <w:color w:val="auto"/>
                <w:sz w:val="24"/>
                <w:szCs w:val="24"/>
              </w:rPr>
              <w:t>0L/人·d计，则生活用水量为</w:t>
            </w:r>
            <w:r>
              <w:rPr>
                <w:rFonts w:hint="eastAsia" w:cs="Times New Roman"/>
                <w:color w:val="auto"/>
                <w:sz w:val="24"/>
                <w:szCs w:val="24"/>
                <w:lang w:val="en-US" w:eastAsia="zh-CN"/>
              </w:rPr>
              <w:t>0.45</w:t>
            </w:r>
            <w:r>
              <w:rPr>
                <w:rFonts w:cs="Times New Roman"/>
                <w:color w:val="auto"/>
                <w:sz w:val="24"/>
                <w:szCs w:val="24"/>
              </w:rPr>
              <w:t>m</w:t>
            </w:r>
            <w:r>
              <w:rPr>
                <w:rFonts w:cs="Times New Roman"/>
                <w:color w:val="auto"/>
                <w:sz w:val="24"/>
                <w:szCs w:val="24"/>
                <w:vertAlign w:val="superscript"/>
              </w:rPr>
              <w:t>3</w:t>
            </w:r>
            <w:r>
              <w:rPr>
                <w:rFonts w:cs="Times New Roman"/>
                <w:color w:val="auto"/>
                <w:sz w:val="24"/>
                <w:szCs w:val="24"/>
              </w:rPr>
              <w:t>/d，</w:t>
            </w:r>
            <w:r>
              <w:rPr>
                <w:rFonts w:hint="eastAsia" w:cs="Times New Roman"/>
                <w:color w:val="auto"/>
                <w:sz w:val="24"/>
                <w:szCs w:val="24"/>
                <w:lang w:val="en-US" w:eastAsia="zh-CN"/>
              </w:rPr>
              <w:t>135.0</w:t>
            </w:r>
            <w:r>
              <w:rPr>
                <w:rFonts w:cs="Times New Roman"/>
                <w:color w:val="auto"/>
                <w:sz w:val="24"/>
                <w:szCs w:val="24"/>
              </w:rPr>
              <w:t>m</w:t>
            </w:r>
            <w:r>
              <w:rPr>
                <w:rFonts w:cs="Times New Roman"/>
                <w:color w:val="auto"/>
                <w:sz w:val="24"/>
                <w:szCs w:val="24"/>
                <w:vertAlign w:val="superscript"/>
              </w:rPr>
              <w:t>3</w:t>
            </w:r>
            <w:r>
              <w:rPr>
                <w:rFonts w:cs="Times New Roman"/>
                <w:color w:val="auto"/>
                <w:sz w:val="24"/>
                <w:szCs w:val="24"/>
              </w:rPr>
              <w:t>/a。排放按80%计算，则</w:t>
            </w:r>
            <w:r>
              <w:rPr>
                <w:rFonts w:hint="eastAsia" w:cs="Times New Roman"/>
                <w:color w:val="auto"/>
                <w:sz w:val="24"/>
                <w:szCs w:val="24"/>
                <w:lang w:eastAsia="zh-CN"/>
              </w:rPr>
              <w:t>食堂废水</w:t>
            </w:r>
            <w:r>
              <w:rPr>
                <w:rFonts w:cs="Times New Roman"/>
                <w:color w:val="auto"/>
                <w:sz w:val="24"/>
                <w:szCs w:val="24"/>
              </w:rPr>
              <w:t>产生量为</w:t>
            </w:r>
            <w:r>
              <w:rPr>
                <w:rFonts w:hint="eastAsia" w:cs="Times New Roman"/>
                <w:color w:val="auto"/>
                <w:sz w:val="24"/>
                <w:szCs w:val="24"/>
                <w:lang w:val="en-US" w:eastAsia="zh-CN"/>
              </w:rPr>
              <w:t>0.36</w:t>
            </w:r>
            <w:r>
              <w:rPr>
                <w:rFonts w:cs="Times New Roman"/>
                <w:color w:val="auto"/>
                <w:sz w:val="24"/>
                <w:szCs w:val="24"/>
              </w:rPr>
              <w:t>m</w:t>
            </w:r>
            <w:r>
              <w:rPr>
                <w:rFonts w:cs="Times New Roman"/>
                <w:color w:val="auto"/>
                <w:sz w:val="24"/>
                <w:szCs w:val="24"/>
                <w:vertAlign w:val="superscript"/>
              </w:rPr>
              <w:t>3</w:t>
            </w:r>
            <w:r>
              <w:rPr>
                <w:rFonts w:cs="Times New Roman"/>
                <w:color w:val="auto"/>
                <w:sz w:val="24"/>
                <w:szCs w:val="24"/>
              </w:rPr>
              <w:t>/d，</w:t>
            </w:r>
            <w:r>
              <w:rPr>
                <w:rFonts w:hint="eastAsia" w:cs="Times New Roman"/>
                <w:color w:val="auto"/>
                <w:sz w:val="24"/>
                <w:szCs w:val="24"/>
                <w:lang w:val="en-US" w:eastAsia="zh-CN"/>
              </w:rPr>
              <w:t>108.0</w:t>
            </w:r>
            <w:r>
              <w:rPr>
                <w:rFonts w:cs="Times New Roman"/>
                <w:color w:val="auto"/>
                <w:sz w:val="24"/>
                <w:szCs w:val="24"/>
              </w:rPr>
              <w:t>m</w:t>
            </w:r>
            <w:r>
              <w:rPr>
                <w:rFonts w:cs="Times New Roman"/>
                <w:color w:val="auto"/>
                <w:sz w:val="24"/>
                <w:szCs w:val="24"/>
                <w:vertAlign w:val="superscript"/>
              </w:rPr>
              <w:t>3</w:t>
            </w:r>
            <w:r>
              <w:rPr>
                <w:rFonts w:cs="Times New Roman"/>
                <w:color w:val="auto"/>
                <w:sz w:val="24"/>
                <w:szCs w:val="24"/>
              </w:rPr>
              <w:t>/a</w:t>
            </w:r>
            <w:r>
              <w:rPr>
                <w:rFonts w:hint="eastAsia" w:cs="Times New Roman"/>
                <w:color w:val="auto"/>
                <w:sz w:val="24"/>
                <w:szCs w:val="24"/>
                <w:lang w:eastAsia="zh-CN"/>
              </w:rPr>
              <w:t>。</w:t>
            </w:r>
          </w:p>
          <w:p w14:paraId="6ACA55F1">
            <w:pPr>
              <w:keepNext w:val="0"/>
              <w:keepLines w:val="0"/>
              <w:pageBreakBefore w:val="0"/>
              <w:widowControl w:val="0"/>
              <w:numPr>
                <w:ilvl w:val="0"/>
                <w:numId w:val="1"/>
              </w:numPr>
              <w:kinsoku/>
              <w:wordWrap/>
              <w:overflowPunct/>
              <w:topLinePunct w:val="0"/>
              <w:autoSpaceDE/>
              <w:autoSpaceDN/>
              <w:bidi w:val="0"/>
              <w:adjustRightInd/>
              <w:snapToGrid/>
              <w:spacing w:line="408" w:lineRule="auto"/>
              <w:ind w:firstLine="482"/>
              <w:textAlignment w:val="auto"/>
              <w:rPr>
                <w:rFonts w:cs="Times New Roman"/>
                <w:color w:val="auto"/>
                <w:sz w:val="24"/>
                <w:szCs w:val="24"/>
              </w:rPr>
            </w:pPr>
            <w:r>
              <w:rPr>
                <w:rFonts w:cs="Times New Roman"/>
                <w:color w:val="auto"/>
                <w:sz w:val="24"/>
                <w:szCs w:val="24"/>
              </w:rPr>
              <w:t>食堂废水经</w:t>
            </w:r>
            <w:r>
              <w:rPr>
                <w:rFonts w:hint="eastAsia" w:cs="Times New Roman"/>
                <w:color w:val="auto"/>
                <w:sz w:val="24"/>
                <w:szCs w:val="24"/>
                <w:lang w:eastAsia="zh-CN"/>
              </w:rPr>
              <w:t>隔油</w:t>
            </w:r>
            <w:r>
              <w:rPr>
                <w:rFonts w:cs="Times New Roman"/>
                <w:color w:val="auto"/>
                <w:sz w:val="24"/>
                <w:szCs w:val="24"/>
              </w:rPr>
              <w:t>后同生活污水一同排入半挂车项目</w:t>
            </w:r>
            <w:r>
              <w:rPr>
                <w:rFonts w:hint="eastAsia" w:cs="Times New Roman"/>
                <w:color w:val="auto"/>
                <w:sz w:val="24"/>
                <w:szCs w:val="24"/>
                <w:lang w:eastAsia="zh-CN"/>
              </w:rPr>
              <w:t>在本车间内已建</w:t>
            </w:r>
            <w:r>
              <w:rPr>
                <w:rFonts w:cs="Times New Roman"/>
                <w:color w:val="auto"/>
                <w:sz w:val="24"/>
                <w:szCs w:val="24"/>
              </w:rPr>
              <w:t>的化粪池处理后，</w:t>
            </w:r>
            <w:r>
              <w:rPr>
                <w:rFonts w:hint="default" w:cs="Times New Roman"/>
                <w:color w:val="auto"/>
                <w:sz w:val="24"/>
                <w:szCs w:val="24"/>
                <w:lang w:val="en-US" w:eastAsia="zh-CN"/>
              </w:rPr>
              <w:t>定期经罐车拉运至东岳镇生活污水处理厂处理达《城镇污水处理厂污染物排放标准》（GB18918-2002）一级 A 标准后通过污水管网排入双龙河，待东岳镇污水处理厂及配套管网建成后，通过市政污水管网排入东岳镇工业园区污水处理厂处理</w:t>
            </w:r>
            <w:r>
              <w:rPr>
                <w:rFonts w:hint="eastAsia" w:cs="Times New Roman"/>
                <w:color w:val="auto"/>
                <w:sz w:val="24"/>
                <w:szCs w:val="24"/>
                <w:lang w:eastAsia="zh-CN"/>
              </w:rPr>
              <w:t>。</w:t>
            </w:r>
          </w:p>
          <w:p w14:paraId="1FDEC8C3">
            <w:pPr>
              <w:keepNext w:val="0"/>
              <w:keepLines w:val="0"/>
              <w:pageBreakBefore w:val="0"/>
              <w:widowControl w:val="0"/>
              <w:kinsoku/>
              <w:wordWrap/>
              <w:overflowPunct/>
              <w:topLinePunct w:val="0"/>
              <w:autoSpaceDE/>
              <w:autoSpaceDN/>
              <w:bidi w:val="0"/>
              <w:adjustRightInd/>
              <w:snapToGrid/>
              <w:spacing w:line="408" w:lineRule="auto"/>
              <w:ind w:firstLine="482"/>
              <w:textAlignment w:val="auto"/>
              <w:rPr>
                <w:rFonts w:cs="Times New Roman"/>
                <w:b/>
                <w:color w:val="auto"/>
                <w:sz w:val="24"/>
                <w:szCs w:val="24"/>
                <w:lang w:val="zh-CN"/>
              </w:rPr>
            </w:pPr>
            <w:r>
              <w:rPr>
                <w:rFonts w:hint="eastAsia" w:cs="Times New Roman"/>
                <w:b/>
                <w:color w:val="auto"/>
                <w:sz w:val="24"/>
                <w:szCs w:val="24"/>
                <w:lang w:val="zh-CN"/>
              </w:rPr>
              <w:t>（</w:t>
            </w:r>
            <w:r>
              <w:rPr>
                <w:rFonts w:hint="eastAsia" w:cs="Times New Roman"/>
                <w:b/>
                <w:color w:val="auto"/>
                <w:sz w:val="24"/>
                <w:szCs w:val="24"/>
                <w:lang w:val="en-US" w:eastAsia="zh-CN"/>
              </w:rPr>
              <w:t>2</w:t>
            </w:r>
            <w:r>
              <w:rPr>
                <w:rFonts w:hint="eastAsia" w:cs="Times New Roman"/>
                <w:b/>
                <w:color w:val="auto"/>
                <w:sz w:val="24"/>
                <w:szCs w:val="24"/>
                <w:lang w:val="zh-CN"/>
              </w:rPr>
              <w:t>）</w:t>
            </w:r>
            <w:r>
              <w:rPr>
                <w:rFonts w:cs="Times New Roman"/>
                <w:b/>
                <w:color w:val="auto"/>
                <w:sz w:val="24"/>
                <w:szCs w:val="24"/>
                <w:lang w:val="zh-CN"/>
              </w:rPr>
              <w:t>生产用水</w:t>
            </w:r>
          </w:p>
          <w:p w14:paraId="3D9A461C">
            <w:pPr>
              <w:keepNext w:val="0"/>
              <w:keepLines w:val="0"/>
              <w:pageBreakBefore w:val="0"/>
              <w:widowControl w:val="0"/>
              <w:kinsoku/>
              <w:wordWrap/>
              <w:overflowPunct/>
              <w:topLinePunct w:val="0"/>
              <w:autoSpaceDE/>
              <w:autoSpaceDN/>
              <w:bidi w:val="0"/>
              <w:adjustRightInd/>
              <w:snapToGrid/>
              <w:spacing w:line="408" w:lineRule="auto"/>
              <w:ind w:firstLine="480"/>
              <w:textAlignment w:val="auto"/>
              <w:rPr>
                <w:rFonts w:cs="Times New Roman"/>
                <w:color w:val="auto"/>
                <w:sz w:val="24"/>
                <w:szCs w:val="24"/>
              </w:rPr>
            </w:pPr>
            <w:r>
              <w:rPr>
                <w:rFonts w:cs="Times New Roman"/>
                <w:b/>
                <w:bCs/>
                <w:color w:val="auto"/>
                <w:sz w:val="24"/>
                <w:szCs w:val="24"/>
              </w:rPr>
              <w:t>石材加工用水：</w:t>
            </w:r>
            <w:r>
              <w:rPr>
                <w:rFonts w:cs="Times New Roman"/>
                <w:color w:val="auto"/>
                <w:sz w:val="24"/>
                <w:szCs w:val="24"/>
              </w:rPr>
              <w:t>项目石材切割、修边、雕刻、抛</w:t>
            </w:r>
            <w:r>
              <w:rPr>
                <w:rFonts w:hint="eastAsia" w:cs="Times New Roman"/>
                <w:color w:val="auto"/>
                <w:sz w:val="24"/>
                <w:szCs w:val="24"/>
                <w:lang w:eastAsia="zh-CN"/>
              </w:rPr>
              <w:t>光</w:t>
            </w:r>
            <w:r>
              <w:rPr>
                <w:rFonts w:cs="Times New Roman"/>
                <w:color w:val="auto"/>
                <w:sz w:val="24"/>
                <w:szCs w:val="24"/>
              </w:rPr>
              <w:t>过程均采用湿法生产工艺，经类比同类企业分析并结合项目工艺设备情况，项目石材加工用水按1.32m</w:t>
            </w:r>
            <w:r>
              <w:rPr>
                <w:rFonts w:cs="Times New Roman"/>
                <w:color w:val="auto"/>
                <w:sz w:val="24"/>
                <w:szCs w:val="24"/>
                <w:vertAlign w:val="superscript"/>
              </w:rPr>
              <w:t>3</w:t>
            </w:r>
            <w:r>
              <w:rPr>
                <w:rFonts w:cs="Times New Roman"/>
                <w:color w:val="auto"/>
                <w:sz w:val="24"/>
                <w:szCs w:val="24"/>
              </w:rPr>
              <w:t>/m</w:t>
            </w:r>
            <w:r>
              <w:rPr>
                <w:rFonts w:cs="Times New Roman"/>
                <w:color w:val="auto"/>
                <w:sz w:val="24"/>
                <w:szCs w:val="24"/>
                <w:vertAlign w:val="superscript"/>
              </w:rPr>
              <w:t>3</w:t>
            </w:r>
            <w:r>
              <w:rPr>
                <w:rFonts w:cs="Times New Roman"/>
                <w:color w:val="auto"/>
                <w:sz w:val="24"/>
                <w:szCs w:val="24"/>
              </w:rPr>
              <w:t>-产品计</w:t>
            </w:r>
            <w:r>
              <w:rPr>
                <w:rFonts w:hint="eastAsia" w:cs="Times New Roman"/>
                <w:color w:val="auto"/>
                <w:sz w:val="24"/>
                <w:szCs w:val="24"/>
                <w:lang w:eastAsia="zh-CN"/>
              </w:rPr>
              <w:t>（</w:t>
            </w:r>
            <w:r>
              <w:rPr>
                <w:rFonts w:hint="eastAsia" w:ascii="Times New Roman" w:hAnsi="Times New Roman" w:cs="Times New Roman"/>
                <w:bCs/>
                <w:color w:val="auto"/>
                <w:sz w:val="24"/>
                <w:szCs w:val="24"/>
                <w:highlight w:val="none"/>
                <w:lang w:val="en-US" w:eastAsia="zh-CN"/>
              </w:rPr>
              <w:t>由于产品的规格会因顾客的需求不同，难以计算项目成品体积，故计算时，以项目原料用量计算</w:t>
            </w:r>
            <w:r>
              <w:rPr>
                <w:rFonts w:hint="eastAsia" w:cs="Times New Roman"/>
                <w:color w:val="auto"/>
                <w:sz w:val="24"/>
                <w:szCs w:val="24"/>
                <w:lang w:eastAsia="zh-CN"/>
              </w:rPr>
              <w:t>）</w:t>
            </w:r>
            <w:r>
              <w:rPr>
                <w:rFonts w:cs="Times New Roman"/>
                <w:color w:val="auto"/>
                <w:sz w:val="24"/>
                <w:szCs w:val="24"/>
              </w:rPr>
              <w:t>。项目年</w:t>
            </w:r>
            <w:r>
              <w:rPr>
                <w:rFonts w:hint="eastAsia" w:cs="Times New Roman"/>
                <w:color w:val="auto"/>
                <w:sz w:val="24"/>
                <w:szCs w:val="24"/>
                <w:lang w:eastAsia="zh-CN"/>
              </w:rPr>
              <w:t>加工石材原料约</w:t>
            </w:r>
            <w:r>
              <w:rPr>
                <w:rFonts w:hint="eastAsia" w:cs="Times New Roman"/>
                <w:color w:val="auto"/>
                <w:sz w:val="24"/>
                <w:szCs w:val="24"/>
                <w:lang w:val="en-US" w:eastAsia="zh-CN"/>
              </w:rPr>
              <w:t>10</w:t>
            </w:r>
            <w:r>
              <w:rPr>
                <w:rFonts w:cs="Times New Roman"/>
                <w:color w:val="auto"/>
                <w:sz w:val="24"/>
                <w:szCs w:val="24"/>
              </w:rPr>
              <w:t>000m</w:t>
            </w:r>
            <w:r>
              <w:rPr>
                <w:rFonts w:cs="Times New Roman"/>
                <w:color w:val="auto"/>
                <w:sz w:val="24"/>
                <w:szCs w:val="24"/>
                <w:vertAlign w:val="superscript"/>
              </w:rPr>
              <w:t>3</w:t>
            </w:r>
            <w:r>
              <w:rPr>
                <w:rFonts w:cs="Times New Roman"/>
                <w:color w:val="auto"/>
                <w:sz w:val="24"/>
                <w:szCs w:val="24"/>
              </w:rPr>
              <w:t>，</w:t>
            </w:r>
            <w:r>
              <w:rPr>
                <w:rFonts w:hint="eastAsia" w:cs="Times New Roman"/>
                <w:color w:val="auto"/>
                <w:sz w:val="24"/>
                <w:szCs w:val="24"/>
                <w:highlight w:val="none"/>
                <w:lang w:eastAsia="zh-CN"/>
              </w:rPr>
              <w:t>损耗率为</w:t>
            </w:r>
            <w:r>
              <w:rPr>
                <w:rFonts w:hint="eastAsia" w:cs="Times New Roman"/>
                <w:color w:val="auto"/>
                <w:sz w:val="24"/>
                <w:szCs w:val="24"/>
                <w:highlight w:val="none"/>
                <w:lang w:val="en-US" w:eastAsia="zh-CN"/>
              </w:rPr>
              <w:t>20%，</w:t>
            </w:r>
            <w:r>
              <w:rPr>
                <w:rFonts w:cs="Times New Roman"/>
                <w:color w:val="auto"/>
                <w:sz w:val="24"/>
                <w:szCs w:val="24"/>
                <w:highlight w:val="none"/>
              </w:rPr>
              <w:t>则石材加工用水量约</w:t>
            </w:r>
            <w:r>
              <w:rPr>
                <w:rFonts w:hint="eastAsia" w:cs="Times New Roman"/>
                <w:color w:val="auto"/>
                <w:sz w:val="24"/>
                <w:szCs w:val="24"/>
                <w:highlight w:val="none"/>
                <w:lang w:val="en-US" w:eastAsia="zh-CN"/>
              </w:rPr>
              <w:t>35.2</w:t>
            </w:r>
            <w:r>
              <w:rPr>
                <w:rFonts w:cs="Times New Roman"/>
                <w:color w:val="auto"/>
                <w:sz w:val="24"/>
                <w:szCs w:val="24"/>
                <w:highlight w:val="none"/>
              </w:rPr>
              <w:t>m</w:t>
            </w:r>
            <w:r>
              <w:rPr>
                <w:rFonts w:cs="Times New Roman"/>
                <w:color w:val="auto"/>
                <w:sz w:val="24"/>
                <w:szCs w:val="24"/>
                <w:highlight w:val="none"/>
                <w:vertAlign w:val="superscript"/>
              </w:rPr>
              <w:t>3</w:t>
            </w:r>
            <w:r>
              <w:rPr>
                <w:rFonts w:cs="Times New Roman"/>
                <w:color w:val="auto"/>
                <w:sz w:val="24"/>
                <w:szCs w:val="24"/>
                <w:highlight w:val="none"/>
              </w:rPr>
              <w:t>/d，</w:t>
            </w:r>
            <w:r>
              <w:rPr>
                <w:rFonts w:hint="eastAsia" w:cs="Times New Roman"/>
                <w:color w:val="auto"/>
                <w:sz w:val="24"/>
                <w:szCs w:val="24"/>
                <w:highlight w:val="none"/>
                <w:lang w:val="en-US" w:eastAsia="zh-CN"/>
              </w:rPr>
              <w:t>10560.0</w:t>
            </w:r>
            <w:r>
              <w:rPr>
                <w:rFonts w:cs="Times New Roman"/>
                <w:color w:val="auto"/>
                <w:sz w:val="24"/>
                <w:szCs w:val="24"/>
                <w:highlight w:val="none"/>
              </w:rPr>
              <w:t>m</w:t>
            </w:r>
            <w:r>
              <w:rPr>
                <w:rFonts w:cs="Times New Roman"/>
                <w:color w:val="auto"/>
                <w:sz w:val="24"/>
                <w:szCs w:val="24"/>
                <w:highlight w:val="none"/>
                <w:vertAlign w:val="superscript"/>
              </w:rPr>
              <w:t>3</w:t>
            </w:r>
            <w:r>
              <w:rPr>
                <w:rFonts w:cs="Times New Roman"/>
                <w:color w:val="auto"/>
                <w:sz w:val="24"/>
                <w:szCs w:val="24"/>
                <w:highlight w:val="none"/>
              </w:rPr>
              <w:t>/a，废水产生量按70%计算（包含</w:t>
            </w:r>
            <w:r>
              <w:rPr>
                <w:rFonts w:hint="eastAsia" w:cs="Times New Roman"/>
                <w:color w:val="auto"/>
                <w:sz w:val="24"/>
                <w:szCs w:val="24"/>
                <w:highlight w:val="none"/>
                <w:lang w:eastAsia="zh-CN"/>
              </w:rPr>
              <w:t>泥沙</w:t>
            </w:r>
            <w:r>
              <w:rPr>
                <w:rFonts w:cs="Times New Roman"/>
                <w:color w:val="auto"/>
                <w:sz w:val="24"/>
                <w:szCs w:val="24"/>
                <w:highlight w:val="none"/>
              </w:rPr>
              <w:t>中含水率），则废水产生量为</w:t>
            </w:r>
            <w:r>
              <w:rPr>
                <w:rFonts w:hint="eastAsia" w:cs="Times New Roman"/>
                <w:color w:val="auto"/>
                <w:sz w:val="24"/>
                <w:szCs w:val="24"/>
                <w:highlight w:val="none"/>
                <w:lang w:val="en-US" w:eastAsia="zh-CN"/>
              </w:rPr>
              <w:t>24.64</w:t>
            </w:r>
            <w:r>
              <w:rPr>
                <w:rFonts w:cs="Times New Roman"/>
                <w:color w:val="auto"/>
                <w:sz w:val="24"/>
                <w:szCs w:val="24"/>
                <w:highlight w:val="none"/>
              </w:rPr>
              <w:t>m</w:t>
            </w:r>
            <w:r>
              <w:rPr>
                <w:rFonts w:cs="Times New Roman"/>
                <w:color w:val="auto"/>
                <w:sz w:val="24"/>
                <w:szCs w:val="24"/>
                <w:highlight w:val="none"/>
                <w:vertAlign w:val="superscript"/>
              </w:rPr>
              <w:t>3</w:t>
            </w:r>
            <w:r>
              <w:rPr>
                <w:rFonts w:cs="Times New Roman"/>
                <w:color w:val="auto"/>
                <w:sz w:val="24"/>
                <w:szCs w:val="24"/>
                <w:highlight w:val="none"/>
              </w:rPr>
              <w:t>/d，</w:t>
            </w:r>
            <w:r>
              <w:rPr>
                <w:rFonts w:hint="eastAsia" w:cs="Times New Roman"/>
                <w:color w:val="auto"/>
                <w:sz w:val="24"/>
                <w:szCs w:val="24"/>
                <w:highlight w:val="none"/>
                <w:lang w:val="en-US" w:eastAsia="zh-CN"/>
              </w:rPr>
              <w:t>7392</w:t>
            </w:r>
            <w:r>
              <w:rPr>
                <w:rFonts w:cs="Times New Roman"/>
                <w:color w:val="auto"/>
                <w:sz w:val="24"/>
                <w:szCs w:val="24"/>
                <w:highlight w:val="none"/>
              </w:rPr>
              <w:t>.0m</w:t>
            </w:r>
            <w:r>
              <w:rPr>
                <w:rFonts w:cs="Times New Roman"/>
                <w:color w:val="auto"/>
                <w:sz w:val="24"/>
                <w:szCs w:val="24"/>
                <w:highlight w:val="none"/>
                <w:vertAlign w:val="superscript"/>
              </w:rPr>
              <w:t>3</w:t>
            </w:r>
            <w:r>
              <w:rPr>
                <w:rFonts w:cs="Times New Roman"/>
                <w:color w:val="auto"/>
                <w:sz w:val="24"/>
                <w:szCs w:val="24"/>
                <w:highlight w:val="none"/>
              </w:rPr>
              <w:t>/a，废水经收</w:t>
            </w:r>
            <w:r>
              <w:rPr>
                <w:rFonts w:cs="Times New Roman"/>
                <w:color w:val="auto"/>
                <w:sz w:val="24"/>
                <w:szCs w:val="24"/>
              </w:rPr>
              <w:t xml:space="preserve">集进入废水处理系统处理后循环使用，不外排。    </w:t>
            </w:r>
          </w:p>
          <w:p w14:paraId="7F00FF62">
            <w:pPr>
              <w:keepNext w:val="0"/>
              <w:keepLines w:val="0"/>
              <w:pageBreakBefore w:val="0"/>
              <w:widowControl w:val="0"/>
              <w:kinsoku/>
              <w:wordWrap/>
              <w:overflowPunct/>
              <w:topLinePunct w:val="0"/>
              <w:autoSpaceDE/>
              <w:autoSpaceDN/>
              <w:bidi w:val="0"/>
              <w:adjustRightInd/>
              <w:snapToGrid/>
              <w:spacing w:line="408" w:lineRule="auto"/>
              <w:ind w:firstLine="482" w:firstLineChars="200"/>
              <w:jc w:val="left"/>
              <w:textAlignment w:val="auto"/>
              <w:rPr>
                <w:rFonts w:hint="eastAsia" w:eastAsia="宋体" w:cs="Times New Roman"/>
                <w:color w:val="auto"/>
                <w:sz w:val="24"/>
                <w:szCs w:val="24"/>
                <w:highlight w:val="yellow"/>
                <w:lang w:val="en-US" w:eastAsia="zh-CN"/>
              </w:rPr>
            </w:pPr>
            <w:r>
              <w:rPr>
                <w:rFonts w:cs="Times New Roman"/>
                <w:b/>
                <w:bCs/>
                <w:color w:val="auto"/>
                <w:kern w:val="24"/>
                <w:sz w:val="24"/>
                <w:szCs w:val="24"/>
              </w:rPr>
              <w:t>地面冲洗用水：</w:t>
            </w:r>
            <w:r>
              <w:rPr>
                <w:rFonts w:cs="Times New Roman"/>
                <w:color w:val="auto"/>
                <w:kern w:val="24"/>
                <w:sz w:val="24"/>
                <w:szCs w:val="24"/>
              </w:rPr>
              <w:t>项目</w:t>
            </w:r>
            <w:r>
              <w:rPr>
                <w:rFonts w:hint="eastAsia" w:cs="Times New Roman"/>
                <w:color w:val="auto"/>
                <w:kern w:val="24"/>
                <w:sz w:val="24"/>
                <w:szCs w:val="24"/>
                <w:lang w:eastAsia="zh-CN"/>
              </w:rPr>
              <w:t>厂区</w:t>
            </w:r>
            <w:r>
              <w:rPr>
                <w:rFonts w:cs="Times New Roman"/>
                <w:color w:val="auto"/>
                <w:kern w:val="24"/>
                <w:sz w:val="24"/>
                <w:szCs w:val="24"/>
              </w:rPr>
              <w:t>面积约</w:t>
            </w:r>
            <w:r>
              <w:rPr>
                <w:rFonts w:hint="eastAsia" w:cs="Times New Roman"/>
                <w:color w:val="auto"/>
                <w:kern w:val="24"/>
                <w:sz w:val="24"/>
                <w:szCs w:val="24"/>
                <w:lang w:val="en-US" w:eastAsia="zh-CN"/>
              </w:rPr>
              <w:t>5480</w:t>
            </w:r>
            <w:r>
              <w:rPr>
                <w:rFonts w:cs="Times New Roman"/>
                <w:bCs/>
                <w:color w:val="auto"/>
                <w:sz w:val="24"/>
                <w:szCs w:val="24"/>
                <w:highlight w:val="none"/>
              </w:rPr>
              <w:t>m</w:t>
            </w:r>
            <w:r>
              <w:rPr>
                <w:rFonts w:cs="Times New Roman"/>
                <w:bCs/>
                <w:color w:val="auto"/>
                <w:sz w:val="24"/>
                <w:szCs w:val="24"/>
                <w:highlight w:val="none"/>
                <w:vertAlign w:val="superscript"/>
              </w:rPr>
              <w:t>2</w:t>
            </w:r>
            <w:r>
              <w:rPr>
                <w:rFonts w:cs="Times New Roman"/>
                <w:color w:val="auto"/>
                <w:kern w:val="24"/>
                <w:sz w:val="24"/>
                <w:szCs w:val="24"/>
                <w:highlight w:val="none"/>
              </w:rPr>
              <w:t>，地面冲洗水用量按每天2L/m</w:t>
            </w:r>
            <w:r>
              <w:rPr>
                <w:rFonts w:cs="Times New Roman"/>
                <w:color w:val="auto"/>
                <w:kern w:val="24"/>
                <w:sz w:val="24"/>
                <w:szCs w:val="24"/>
                <w:highlight w:val="none"/>
                <w:vertAlign w:val="superscript"/>
              </w:rPr>
              <w:t>2</w:t>
            </w:r>
            <w:r>
              <w:rPr>
                <w:rFonts w:cs="Times New Roman"/>
                <w:color w:val="auto"/>
                <w:kern w:val="24"/>
                <w:sz w:val="24"/>
                <w:szCs w:val="24"/>
                <w:highlight w:val="none"/>
              </w:rPr>
              <w:t>计，则地面冲洗水用量为</w:t>
            </w:r>
            <w:r>
              <w:rPr>
                <w:rFonts w:hint="eastAsia" w:cs="Times New Roman"/>
                <w:color w:val="auto"/>
                <w:kern w:val="24"/>
                <w:sz w:val="24"/>
                <w:szCs w:val="24"/>
                <w:highlight w:val="none"/>
                <w:lang w:val="en-US" w:eastAsia="zh-CN"/>
              </w:rPr>
              <w:t>10</w:t>
            </w:r>
            <w:r>
              <w:rPr>
                <w:rFonts w:cs="Times New Roman"/>
                <w:color w:val="auto"/>
                <w:kern w:val="24"/>
                <w:sz w:val="24"/>
                <w:szCs w:val="24"/>
                <w:highlight w:val="none"/>
              </w:rPr>
              <w:t>.</w:t>
            </w:r>
            <w:r>
              <w:rPr>
                <w:rFonts w:hint="eastAsia" w:cs="Times New Roman"/>
                <w:color w:val="auto"/>
                <w:kern w:val="24"/>
                <w:sz w:val="24"/>
                <w:szCs w:val="24"/>
                <w:highlight w:val="none"/>
                <w:lang w:val="en-US" w:eastAsia="zh-CN"/>
              </w:rPr>
              <w:t>96</w:t>
            </w:r>
            <w:r>
              <w:rPr>
                <w:rFonts w:cs="Times New Roman"/>
                <w:bCs/>
                <w:color w:val="auto"/>
                <w:sz w:val="24"/>
                <w:szCs w:val="24"/>
                <w:highlight w:val="none"/>
              </w:rPr>
              <w:t>m</w:t>
            </w:r>
            <w:r>
              <w:rPr>
                <w:rFonts w:cs="Times New Roman"/>
                <w:bCs/>
                <w:color w:val="auto"/>
                <w:sz w:val="24"/>
                <w:szCs w:val="24"/>
                <w:highlight w:val="none"/>
                <w:vertAlign w:val="superscript"/>
              </w:rPr>
              <w:t>3</w:t>
            </w:r>
            <w:r>
              <w:rPr>
                <w:rFonts w:cs="Times New Roman"/>
                <w:bCs/>
                <w:color w:val="auto"/>
                <w:sz w:val="24"/>
                <w:szCs w:val="24"/>
                <w:highlight w:val="none"/>
              </w:rPr>
              <w:t>/d，</w:t>
            </w:r>
            <w:r>
              <w:rPr>
                <w:rFonts w:hint="eastAsia" w:cs="Times New Roman"/>
                <w:bCs/>
                <w:color w:val="auto"/>
                <w:sz w:val="24"/>
                <w:szCs w:val="24"/>
                <w:highlight w:val="none"/>
                <w:lang w:val="en-US" w:eastAsia="zh-CN"/>
              </w:rPr>
              <w:t>3288</w:t>
            </w:r>
            <w:r>
              <w:rPr>
                <w:rFonts w:cs="Times New Roman"/>
                <w:bCs/>
                <w:color w:val="auto"/>
                <w:sz w:val="24"/>
                <w:szCs w:val="24"/>
                <w:highlight w:val="none"/>
              </w:rPr>
              <w:t>.0</w:t>
            </w:r>
            <w:r>
              <w:rPr>
                <w:rFonts w:cs="Times New Roman"/>
                <w:color w:val="auto"/>
                <w:sz w:val="24"/>
                <w:szCs w:val="24"/>
                <w:highlight w:val="none"/>
              </w:rPr>
              <w:t>m</w:t>
            </w:r>
            <w:r>
              <w:rPr>
                <w:rFonts w:cs="Times New Roman"/>
                <w:color w:val="auto"/>
                <w:sz w:val="24"/>
                <w:szCs w:val="24"/>
                <w:highlight w:val="none"/>
                <w:vertAlign w:val="superscript"/>
              </w:rPr>
              <w:t>3</w:t>
            </w:r>
            <w:r>
              <w:rPr>
                <w:rFonts w:cs="Times New Roman"/>
                <w:color w:val="auto"/>
                <w:sz w:val="24"/>
                <w:szCs w:val="24"/>
                <w:highlight w:val="none"/>
              </w:rPr>
              <w:t>/a，</w:t>
            </w:r>
            <w:r>
              <w:rPr>
                <w:rFonts w:cs="Times New Roman"/>
                <w:bCs/>
                <w:color w:val="auto"/>
                <w:sz w:val="24"/>
                <w:szCs w:val="24"/>
                <w:highlight w:val="none"/>
              </w:rPr>
              <w:t>废水产生量按用水量的70%计算，则废水产生量为</w:t>
            </w:r>
            <w:r>
              <w:rPr>
                <w:rFonts w:hint="eastAsia" w:cs="Times New Roman"/>
                <w:bCs/>
                <w:color w:val="auto"/>
                <w:sz w:val="24"/>
                <w:szCs w:val="24"/>
                <w:highlight w:val="none"/>
                <w:lang w:val="en-US" w:eastAsia="zh-CN"/>
              </w:rPr>
              <w:t>7.67</w:t>
            </w:r>
            <w:r>
              <w:rPr>
                <w:rFonts w:cs="Times New Roman"/>
                <w:bCs/>
                <w:color w:val="auto"/>
                <w:sz w:val="24"/>
                <w:szCs w:val="24"/>
                <w:highlight w:val="none"/>
              </w:rPr>
              <w:t>m</w:t>
            </w:r>
            <w:r>
              <w:rPr>
                <w:rFonts w:cs="Times New Roman"/>
                <w:bCs/>
                <w:color w:val="auto"/>
                <w:sz w:val="24"/>
                <w:szCs w:val="24"/>
                <w:highlight w:val="none"/>
                <w:vertAlign w:val="superscript"/>
              </w:rPr>
              <w:t>3</w:t>
            </w:r>
            <w:r>
              <w:rPr>
                <w:rFonts w:cs="Times New Roman"/>
                <w:bCs/>
                <w:color w:val="auto"/>
                <w:sz w:val="24"/>
                <w:szCs w:val="24"/>
                <w:highlight w:val="none"/>
              </w:rPr>
              <w:t>/d，</w:t>
            </w:r>
            <w:r>
              <w:rPr>
                <w:rFonts w:hint="eastAsia" w:cs="Times New Roman"/>
                <w:bCs/>
                <w:color w:val="auto"/>
                <w:sz w:val="24"/>
                <w:szCs w:val="24"/>
                <w:highlight w:val="none"/>
                <w:lang w:val="en-US" w:eastAsia="zh-CN"/>
              </w:rPr>
              <w:t>2301</w:t>
            </w:r>
            <w:r>
              <w:rPr>
                <w:rFonts w:cs="Times New Roman"/>
                <w:bCs/>
                <w:color w:val="auto"/>
                <w:sz w:val="24"/>
                <w:szCs w:val="24"/>
                <w:highlight w:val="none"/>
              </w:rPr>
              <w:t>.</w:t>
            </w:r>
            <w:r>
              <w:rPr>
                <w:rFonts w:hint="eastAsia" w:cs="Times New Roman"/>
                <w:bCs/>
                <w:color w:val="auto"/>
                <w:sz w:val="24"/>
                <w:szCs w:val="24"/>
                <w:highlight w:val="none"/>
                <w:lang w:val="en-US" w:eastAsia="zh-CN"/>
              </w:rPr>
              <w:t>6</w:t>
            </w:r>
            <w:r>
              <w:rPr>
                <w:rFonts w:cs="Times New Roman"/>
                <w:color w:val="auto"/>
                <w:sz w:val="24"/>
                <w:szCs w:val="24"/>
                <w:highlight w:val="none"/>
              </w:rPr>
              <w:t>m</w:t>
            </w:r>
            <w:r>
              <w:rPr>
                <w:rFonts w:cs="Times New Roman"/>
                <w:color w:val="auto"/>
                <w:sz w:val="24"/>
                <w:szCs w:val="24"/>
                <w:highlight w:val="none"/>
                <w:vertAlign w:val="superscript"/>
              </w:rPr>
              <w:t>3</w:t>
            </w:r>
            <w:r>
              <w:rPr>
                <w:rFonts w:cs="Times New Roman"/>
                <w:color w:val="auto"/>
                <w:sz w:val="24"/>
                <w:szCs w:val="24"/>
                <w:highlight w:val="none"/>
              </w:rPr>
              <w:t>/a，经车间内设置的排水沟进入废水处理系统处理后循环使用，不外排。</w:t>
            </w:r>
            <w:r>
              <w:rPr>
                <w:rFonts w:hint="eastAsia" w:cs="Times New Roman"/>
                <w:color w:val="auto"/>
                <w:sz w:val="24"/>
                <w:szCs w:val="24"/>
                <w:highlight w:val="none"/>
                <w:lang w:val="en-US" w:eastAsia="zh-CN"/>
              </w:rPr>
              <w:t xml:space="preserve"> </w:t>
            </w:r>
          </w:p>
          <w:p w14:paraId="67236A69">
            <w:pPr>
              <w:keepNext w:val="0"/>
              <w:keepLines w:val="0"/>
              <w:pageBreakBefore w:val="0"/>
              <w:widowControl w:val="0"/>
              <w:kinsoku/>
              <w:wordWrap/>
              <w:overflowPunct/>
              <w:topLinePunct w:val="0"/>
              <w:autoSpaceDE/>
              <w:autoSpaceDN/>
              <w:bidi w:val="0"/>
              <w:adjustRightInd/>
              <w:snapToGrid/>
              <w:spacing w:line="408" w:lineRule="auto"/>
              <w:ind w:firstLine="480"/>
              <w:jc w:val="left"/>
              <w:textAlignment w:val="auto"/>
              <w:rPr>
                <w:rFonts w:cs="Times New Roman"/>
                <w:color w:val="auto"/>
                <w:sz w:val="24"/>
                <w:szCs w:val="24"/>
              </w:rPr>
            </w:pPr>
            <w:r>
              <w:rPr>
                <w:rFonts w:cs="Times New Roman"/>
                <w:b/>
                <w:bCs/>
                <w:color w:val="auto"/>
                <w:kern w:val="24"/>
                <w:sz w:val="24"/>
                <w:szCs w:val="24"/>
              </w:rPr>
              <w:t>厂区降尘用水：</w:t>
            </w:r>
            <w:r>
              <w:rPr>
                <w:rFonts w:cs="Times New Roman"/>
                <w:bCs/>
                <w:color w:val="auto"/>
                <w:sz w:val="24"/>
                <w:szCs w:val="24"/>
              </w:rPr>
              <w:t>项目需对</w:t>
            </w:r>
            <w:r>
              <w:rPr>
                <w:rFonts w:hint="eastAsia" w:cs="Times New Roman"/>
                <w:bCs/>
                <w:color w:val="auto"/>
                <w:sz w:val="24"/>
                <w:szCs w:val="24"/>
                <w:lang w:eastAsia="zh-CN"/>
              </w:rPr>
              <w:t>石材原料及成品</w:t>
            </w:r>
            <w:r>
              <w:rPr>
                <w:rFonts w:cs="Times New Roman"/>
                <w:bCs/>
                <w:color w:val="auto"/>
                <w:sz w:val="24"/>
                <w:szCs w:val="24"/>
              </w:rPr>
              <w:t>堆场、厂区路面进行洒水降尘。平均每天洒水按2次计，其中降雨天气不洒水，干旱大风天气加强洒水抑尘次数，项目厂区</w:t>
            </w:r>
            <w:r>
              <w:rPr>
                <w:rFonts w:hint="eastAsia" w:cs="Times New Roman"/>
                <w:bCs/>
                <w:color w:val="auto"/>
                <w:sz w:val="24"/>
                <w:szCs w:val="24"/>
                <w:lang w:eastAsia="zh-CN"/>
              </w:rPr>
              <w:t>面积</w:t>
            </w:r>
            <w:r>
              <w:rPr>
                <w:rFonts w:cs="Times New Roman"/>
                <w:bCs/>
                <w:color w:val="auto"/>
                <w:sz w:val="24"/>
                <w:szCs w:val="24"/>
              </w:rPr>
              <w:t>约</w:t>
            </w:r>
            <w:r>
              <w:rPr>
                <w:rFonts w:hint="eastAsia" w:cs="Times New Roman"/>
                <w:bCs/>
                <w:color w:val="auto"/>
                <w:sz w:val="24"/>
                <w:szCs w:val="24"/>
                <w:lang w:val="en-US" w:eastAsia="zh-CN"/>
              </w:rPr>
              <w:t>2000</w:t>
            </w:r>
            <w:r>
              <w:rPr>
                <w:rFonts w:cs="Times New Roman"/>
                <w:bCs/>
                <w:color w:val="auto"/>
                <w:sz w:val="24"/>
                <w:szCs w:val="24"/>
              </w:rPr>
              <w:t>m</w:t>
            </w:r>
            <w:r>
              <w:rPr>
                <w:rFonts w:cs="Times New Roman"/>
                <w:bCs/>
                <w:color w:val="auto"/>
                <w:sz w:val="24"/>
                <w:szCs w:val="24"/>
                <w:vertAlign w:val="superscript"/>
              </w:rPr>
              <w:t>2</w:t>
            </w:r>
            <w:r>
              <w:rPr>
                <w:rFonts w:cs="Times New Roman"/>
                <w:color w:val="auto"/>
                <w:kern w:val="24"/>
                <w:sz w:val="24"/>
                <w:szCs w:val="24"/>
              </w:rPr>
              <w:t>，</w:t>
            </w:r>
            <w:r>
              <w:rPr>
                <w:rFonts w:cs="Times New Roman"/>
                <w:bCs/>
                <w:color w:val="auto"/>
                <w:sz w:val="24"/>
                <w:szCs w:val="24"/>
              </w:rPr>
              <w:t>每次洒水量按</w:t>
            </w:r>
            <w:r>
              <w:rPr>
                <w:rFonts w:cs="Times New Roman"/>
                <w:color w:val="auto"/>
                <w:kern w:val="24"/>
                <w:sz w:val="24"/>
                <w:szCs w:val="24"/>
              </w:rPr>
              <w:t>1L/m</w:t>
            </w:r>
            <w:r>
              <w:rPr>
                <w:rFonts w:cs="Times New Roman"/>
                <w:color w:val="auto"/>
                <w:kern w:val="24"/>
                <w:sz w:val="24"/>
                <w:szCs w:val="24"/>
                <w:vertAlign w:val="superscript"/>
              </w:rPr>
              <w:t>2</w:t>
            </w:r>
            <w:r>
              <w:rPr>
                <w:rFonts w:cs="Times New Roman"/>
                <w:color w:val="auto"/>
                <w:kern w:val="24"/>
                <w:sz w:val="24"/>
                <w:szCs w:val="24"/>
              </w:rPr>
              <w:t>计，则厂区洒水降尘用水量为</w:t>
            </w:r>
            <w:r>
              <w:rPr>
                <w:rFonts w:hint="eastAsia" w:cs="Times New Roman"/>
                <w:color w:val="auto"/>
                <w:kern w:val="24"/>
                <w:sz w:val="24"/>
                <w:szCs w:val="24"/>
                <w:lang w:val="en-US" w:eastAsia="zh-CN"/>
              </w:rPr>
              <w:t>4</w:t>
            </w:r>
            <w:r>
              <w:rPr>
                <w:rFonts w:cs="Times New Roman"/>
                <w:color w:val="auto"/>
                <w:kern w:val="24"/>
                <w:sz w:val="24"/>
                <w:szCs w:val="24"/>
              </w:rPr>
              <w:t>.0</w:t>
            </w:r>
            <w:r>
              <w:rPr>
                <w:rFonts w:cs="Times New Roman"/>
                <w:bCs/>
                <w:color w:val="auto"/>
                <w:sz w:val="24"/>
                <w:szCs w:val="24"/>
              </w:rPr>
              <w:t>m</w:t>
            </w:r>
            <w:r>
              <w:rPr>
                <w:rFonts w:cs="Times New Roman"/>
                <w:bCs/>
                <w:color w:val="auto"/>
                <w:sz w:val="24"/>
                <w:szCs w:val="24"/>
                <w:vertAlign w:val="superscript"/>
              </w:rPr>
              <w:t>3</w:t>
            </w:r>
            <w:r>
              <w:rPr>
                <w:rFonts w:cs="Times New Roman"/>
                <w:bCs/>
                <w:color w:val="auto"/>
                <w:sz w:val="24"/>
                <w:szCs w:val="24"/>
              </w:rPr>
              <w:t>/d，</w:t>
            </w:r>
            <w:r>
              <w:rPr>
                <w:rFonts w:hint="eastAsia" w:cs="Times New Roman"/>
                <w:bCs/>
                <w:color w:val="auto"/>
                <w:sz w:val="24"/>
                <w:szCs w:val="24"/>
                <w:lang w:val="en-US" w:eastAsia="zh-CN"/>
              </w:rPr>
              <w:t>12</w:t>
            </w:r>
            <w:r>
              <w:rPr>
                <w:rFonts w:cs="Times New Roman"/>
                <w:bCs/>
                <w:color w:val="auto"/>
                <w:sz w:val="24"/>
                <w:szCs w:val="24"/>
              </w:rPr>
              <w:t>00</w:t>
            </w:r>
            <w:r>
              <w:rPr>
                <w:rFonts w:cs="Times New Roman"/>
                <w:color w:val="auto"/>
                <w:sz w:val="24"/>
                <w:szCs w:val="24"/>
              </w:rPr>
              <w:t>m</w:t>
            </w:r>
            <w:r>
              <w:rPr>
                <w:rFonts w:cs="Times New Roman"/>
                <w:color w:val="auto"/>
                <w:sz w:val="24"/>
                <w:szCs w:val="24"/>
                <w:vertAlign w:val="superscript"/>
              </w:rPr>
              <w:t>3</w:t>
            </w:r>
            <w:r>
              <w:rPr>
                <w:rFonts w:cs="Times New Roman"/>
                <w:color w:val="auto"/>
                <w:sz w:val="24"/>
                <w:szCs w:val="24"/>
              </w:rPr>
              <w:t>/a</w:t>
            </w:r>
            <w:r>
              <w:rPr>
                <w:rFonts w:cs="Times New Roman"/>
                <w:bCs/>
                <w:color w:val="auto"/>
                <w:sz w:val="24"/>
                <w:szCs w:val="24"/>
              </w:rPr>
              <w:t>。该部分水全部通过产品夹带、蒸发等方式损耗</w:t>
            </w:r>
            <w:r>
              <w:rPr>
                <w:rFonts w:cs="Times New Roman"/>
                <w:color w:val="auto"/>
                <w:sz w:val="24"/>
                <w:szCs w:val="24"/>
              </w:rPr>
              <w:t>，无废水产生。</w:t>
            </w:r>
          </w:p>
          <w:p w14:paraId="131A3390">
            <w:pPr>
              <w:spacing w:line="360" w:lineRule="auto"/>
              <w:jc w:val="center"/>
              <w:rPr>
                <w:rFonts w:cs="Times New Roman"/>
                <w:b/>
                <w:bCs/>
                <w:color w:val="auto"/>
                <w:sz w:val="24"/>
                <w:szCs w:val="24"/>
              </w:rPr>
            </w:pPr>
            <w:r>
              <w:rPr>
                <w:rFonts w:cs="Times New Roman"/>
                <w:b/>
                <w:bCs/>
                <w:color w:val="auto"/>
                <w:sz w:val="24"/>
                <w:szCs w:val="24"/>
              </w:rPr>
              <w:t>表2-</w:t>
            </w:r>
            <w:r>
              <w:rPr>
                <w:rFonts w:hint="eastAsia" w:cs="Times New Roman"/>
                <w:b/>
                <w:bCs/>
                <w:color w:val="auto"/>
                <w:sz w:val="24"/>
                <w:szCs w:val="24"/>
                <w:lang w:val="en-US" w:eastAsia="zh-CN"/>
              </w:rPr>
              <w:t>5</w:t>
            </w:r>
            <w:r>
              <w:rPr>
                <w:rFonts w:cs="Times New Roman"/>
                <w:b/>
                <w:bCs/>
                <w:color w:val="auto"/>
                <w:sz w:val="24"/>
                <w:szCs w:val="24"/>
              </w:rPr>
              <w:t xml:space="preserve">  本项目用水预测情况</w:t>
            </w:r>
          </w:p>
          <w:tbl>
            <w:tblPr>
              <w:tblStyle w:val="25"/>
              <w:tblW w:w="8678"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
            <w:tblGrid>
              <w:gridCol w:w="1421"/>
              <w:gridCol w:w="1551"/>
              <w:gridCol w:w="1037"/>
              <w:gridCol w:w="1024"/>
              <w:gridCol w:w="923"/>
              <w:gridCol w:w="1030"/>
              <w:gridCol w:w="1692"/>
            </w:tblGrid>
            <w:tr w14:paraId="4FED34C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786" w:hRule="atLeast"/>
                <w:jc w:val="center"/>
              </w:trPr>
              <w:tc>
                <w:tcPr>
                  <w:tcW w:w="818" w:type="pct"/>
                  <w:tcBorders>
                    <w:tl2br w:val="nil"/>
                    <w:tr2bl w:val="nil"/>
                  </w:tcBorders>
                  <w:vAlign w:val="center"/>
                </w:tcPr>
                <w:p w14:paraId="73AB540E">
                  <w:pPr>
                    <w:jc w:val="center"/>
                    <w:rPr>
                      <w:rFonts w:cs="Times New Roman"/>
                      <w:b/>
                      <w:bCs/>
                      <w:color w:val="auto"/>
                      <w:szCs w:val="21"/>
                    </w:rPr>
                  </w:pPr>
                  <w:r>
                    <w:rPr>
                      <w:rFonts w:cs="Times New Roman"/>
                      <w:b/>
                      <w:bCs/>
                      <w:color w:val="auto"/>
                      <w:szCs w:val="21"/>
                    </w:rPr>
                    <w:t>类型</w:t>
                  </w:r>
                </w:p>
              </w:tc>
              <w:tc>
                <w:tcPr>
                  <w:tcW w:w="893" w:type="pct"/>
                  <w:tcBorders>
                    <w:tl2br w:val="nil"/>
                    <w:tr2bl w:val="nil"/>
                  </w:tcBorders>
                  <w:vAlign w:val="center"/>
                </w:tcPr>
                <w:p w14:paraId="071BEF4D">
                  <w:pPr>
                    <w:jc w:val="center"/>
                    <w:rPr>
                      <w:rFonts w:cs="Times New Roman"/>
                      <w:b/>
                      <w:bCs/>
                      <w:color w:val="auto"/>
                      <w:szCs w:val="21"/>
                    </w:rPr>
                  </w:pPr>
                  <w:r>
                    <w:rPr>
                      <w:rFonts w:cs="Times New Roman"/>
                      <w:b/>
                      <w:bCs/>
                      <w:color w:val="auto"/>
                      <w:szCs w:val="21"/>
                    </w:rPr>
                    <w:t>用水标准</w:t>
                  </w:r>
                </w:p>
              </w:tc>
              <w:tc>
                <w:tcPr>
                  <w:tcW w:w="597" w:type="pct"/>
                  <w:tcBorders>
                    <w:tl2br w:val="nil"/>
                    <w:tr2bl w:val="nil"/>
                  </w:tcBorders>
                  <w:vAlign w:val="center"/>
                </w:tcPr>
                <w:p w14:paraId="77C180E7">
                  <w:pPr>
                    <w:jc w:val="center"/>
                    <w:rPr>
                      <w:rFonts w:cs="Times New Roman"/>
                      <w:b/>
                      <w:bCs/>
                      <w:color w:val="auto"/>
                      <w:szCs w:val="21"/>
                    </w:rPr>
                  </w:pPr>
                  <w:r>
                    <w:rPr>
                      <w:rFonts w:cs="Times New Roman"/>
                      <w:b/>
                      <w:bCs/>
                      <w:color w:val="auto"/>
                      <w:szCs w:val="21"/>
                    </w:rPr>
                    <w:t>用水</w:t>
                  </w:r>
                </w:p>
                <w:p w14:paraId="0E413B6E">
                  <w:pPr>
                    <w:jc w:val="center"/>
                    <w:rPr>
                      <w:rFonts w:cs="Times New Roman"/>
                      <w:b/>
                      <w:bCs/>
                      <w:color w:val="auto"/>
                      <w:szCs w:val="21"/>
                    </w:rPr>
                  </w:pPr>
                  <w:r>
                    <w:rPr>
                      <w:rFonts w:cs="Times New Roman"/>
                      <w:b/>
                      <w:bCs/>
                      <w:color w:val="auto"/>
                      <w:szCs w:val="21"/>
                    </w:rPr>
                    <w:t>规模</w:t>
                  </w:r>
                </w:p>
              </w:tc>
              <w:tc>
                <w:tcPr>
                  <w:tcW w:w="589" w:type="pct"/>
                  <w:tcBorders>
                    <w:tl2br w:val="nil"/>
                    <w:tr2bl w:val="nil"/>
                  </w:tcBorders>
                  <w:vAlign w:val="center"/>
                </w:tcPr>
                <w:p w14:paraId="2FB4FDFD">
                  <w:pPr>
                    <w:jc w:val="center"/>
                    <w:rPr>
                      <w:rFonts w:cs="Times New Roman"/>
                      <w:b/>
                      <w:bCs/>
                      <w:color w:val="auto"/>
                      <w:szCs w:val="21"/>
                    </w:rPr>
                  </w:pPr>
                  <w:r>
                    <w:rPr>
                      <w:rFonts w:cs="Times New Roman"/>
                      <w:b/>
                      <w:bCs/>
                      <w:color w:val="auto"/>
                      <w:szCs w:val="21"/>
                    </w:rPr>
                    <w:t>用水量（m</w:t>
                  </w:r>
                  <w:r>
                    <w:rPr>
                      <w:rFonts w:cs="Times New Roman"/>
                      <w:b/>
                      <w:bCs/>
                      <w:color w:val="auto"/>
                      <w:szCs w:val="21"/>
                      <w:vertAlign w:val="superscript"/>
                    </w:rPr>
                    <w:t>3</w:t>
                  </w:r>
                  <w:r>
                    <w:rPr>
                      <w:rFonts w:cs="Times New Roman"/>
                      <w:b/>
                      <w:bCs/>
                      <w:color w:val="auto"/>
                      <w:szCs w:val="21"/>
                    </w:rPr>
                    <w:t>/d）</w:t>
                  </w:r>
                </w:p>
              </w:tc>
              <w:tc>
                <w:tcPr>
                  <w:tcW w:w="531" w:type="pct"/>
                  <w:tcBorders>
                    <w:tl2br w:val="nil"/>
                    <w:tr2bl w:val="nil"/>
                  </w:tcBorders>
                  <w:vAlign w:val="center"/>
                </w:tcPr>
                <w:p w14:paraId="3408DCE4">
                  <w:pPr>
                    <w:jc w:val="center"/>
                    <w:rPr>
                      <w:rFonts w:cs="Times New Roman"/>
                      <w:b/>
                      <w:bCs/>
                      <w:color w:val="auto"/>
                      <w:szCs w:val="21"/>
                    </w:rPr>
                  </w:pPr>
                  <w:r>
                    <w:rPr>
                      <w:rFonts w:cs="Times New Roman"/>
                      <w:b/>
                      <w:bCs/>
                      <w:color w:val="auto"/>
                      <w:szCs w:val="21"/>
                    </w:rPr>
                    <w:t>废水量（m</w:t>
                  </w:r>
                  <w:r>
                    <w:rPr>
                      <w:rFonts w:cs="Times New Roman"/>
                      <w:b/>
                      <w:bCs/>
                      <w:color w:val="auto"/>
                      <w:szCs w:val="21"/>
                      <w:vertAlign w:val="superscript"/>
                    </w:rPr>
                    <w:t>3</w:t>
                  </w:r>
                  <w:r>
                    <w:rPr>
                      <w:rFonts w:cs="Times New Roman"/>
                      <w:b/>
                      <w:bCs/>
                      <w:color w:val="auto"/>
                      <w:szCs w:val="21"/>
                    </w:rPr>
                    <w:t>/d）</w:t>
                  </w:r>
                </w:p>
              </w:tc>
              <w:tc>
                <w:tcPr>
                  <w:tcW w:w="593" w:type="pct"/>
                  <w:tcBorders>
                    <w:tl2br w:val="nil"/>
                    <w:tr2bl w:val="nil"/>
                  </w:tcBorders>
                  <w:vAlign w:val="center"/>
                </w:tcPr>
                <w:p w14:paraId="0C94BDF0">
                  <w:pPr>
                    <w:jc w:val="center"/>
                    <w:rPr>
                      <w:rFonts w:cs="Times New Roman"/>
                      <w:b/>
                      <w:bCs/>
                      <w:color w:val="auto"/>
                      <w:szCs w:val="21"/>
                    </w:rPr>
                  </w:pPr>
                  <w:r>
                    <w:rPr>
                      <w:rFonts w:cs="Times New Roman"/>
                      <w:b/>
                      <w:bCs/>
                      <w:color w:val="auto"/>
                      <w:szCs w:val="21"/>
                    </w:rPr>
                    <w:t>新鲜水用量（m</w:t>
                  </w:r>
                  <w:r>
                    <w:rPr>
                      <w:rFonts w:cs="Times New Roman"/>
                      <w:b/>
                      <w:bCs/>
                      <w:color w:val="auto"/>
                      <w:szCs w:val="21"/>
                      <w:vertAlign w:val="superscript"/>
                    </w:rPr>
                    <w:t>3</w:t>
                  </w:r>
                  <w:r>
                    <w:rPr>
                      <w:rFonts w:cs="Times New Roman"/>
                      <w:b/>
                      <w:bCs/>
                      <w:color w:val="auto"/>
                      <w:szCs w:val="21"/>
                    </w:rPr>
                    <w:t>/d）</w:t>
                  </w:r>
                </w:p>
              </w:tc>
              <w:tc>
                <w:tcPr>
                  <w:tcW w:w="974" w:type="pct"/>
                  <w:tcBorders>
                    <w:tl2br w:val="nil"/>
                    <w:tr2bl w:val="nil"/>
                  </w:tcBorders>
                  <w:vAlign w:val="center"/>
                </w:tcPr>
                <w:p w14:paraId="60EB139F">
                  <w:pPr>
                    <w:jc w:val="center"/>
                    <w:rPr>
                      <w:rFonts w:cs="Times New Roman"/>
                      <w:b/>
                      <w:bCs/>
                      <w:color w:val="auto"/>
                      <w:szCs w:val="21"/>
                    </w:rPr>
                  </w:pPr>
                  <w:r>
                    <w:rPr>
                      <w:rFonts w:cs="Times New Roman"/>
                      <w:b/>
                      <w:bCs/>
                      <w:color w:val="auto"/>
                      <w:szCs w:val="21"/>
                    </w:rPr>
                    <w:t>备注</w:t>
                  </w:r>
                </w:p>
              </w:tc>
            </w:tr>
            <w:tr w14:paraId="69B6BBC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14" w:hRule="atLeast"/>
                <w:jc w:val="center"/>
              </w:trPr>
              <w:tc>
                <w:tcPr>
                  <w:tcW w:w="818" w:type="pct"/>
                  <w:tcBorders>
                    <w:tl2br w:val="nil"/>
                    <w:tr2bl w:val="nil"/>
                  </w:tcBorders>
                  <w:vAlign w:val="center"/>
                </w:tcPr>
                <w:p w14:paraId="704B4E6B">
                  <w:pPr>
                    <w:ind w:left="-40" w:leftChars="-19" w:right="-59" w:rightChars="-28"/>
                    <w:jc w:val="center"/>
                    <w:rPr>
                      <w:rFonts w:cs="Times New Roman"/>
                      <w:color w:val="auto"/>
                      <w:szCs w:val="21"/>
                    </w:rPr>
                  </w:pPr>
                  <w:r>
                    <w:rPr>
                      <w:rFonts w:cs="Times New Roman"/>
                      <w:color w:val="auto"/>
                      <w:szCs w:val="21"/>
                    </w:rPr>
                    <w:t>石材加工用水</w:t>
                  </w:r>
                </w:p>
              </w:tc>
              <w:tc>
                <w:tcPr>
                  <w:tcW w:w="893" w:type="pct"/>
                  <w:tcBorders>
                    <w:tl2br w:val="nil"/>
                    <w:tr2bl w:val="nil"/>
                  </w:tcBorders>
                  <w:vAlign w:val="center"/>
                </w:tcPr>
                <w:p w14:paraId="2C6CA3CC">
                  <w:pPr>
                    <w:jc w:val="center"/>
                    <w:rPr>
                      <w:rFonts w:cs="Times New Roman"/>
                      <w:color w:val="auto"/>
                      <w:szCs w:val="21"/>
                    </w:rPr>
                  </w:pPr>
                  <w:r>
                    <w:rPr>
                      <w:rFonts w:cs="Times New Roman"/>
                      <w:color w:val="auto"/>
                      <w:szCs w:val="21"/>
                    </w:rPr>
                    <w:t>1.32m</w:t>
                  </w:r>
                  <w:r>
                    <w:rPr>
                      <w:rFonts w:cs="Times New Roman"/>
                      <w:color w:val="auto"/>
                      <w:szCs w:val="21"/>
                      <w:vertAlign w:val="superscript"/>
                    </w:rPr>
                    <w:t>3</w:t>
                  </w:r>
                  <w:r>
                    <w:rPr>
                      <w:rFonts w:cs="Times New Roman"/>
                      <w:color w:val="auto"/>
                      <w:szCs w:val="21"/>
                    </w:rPr>
                    <w:t>/m</w:t>
                  </w:r>
                  <w:r>
                    <w:rPr>
                      <w:rFonts w:cs="Times New Roman"/>
                      <w:color w:val="auto"/>
                      <w:szCs w:val="21"/>
                      <w:vertAlign w:val="superscript"/>
                    </w:rPr>
                    <w:t>3</w:t>
                  </w:r>
                  <w:r>
                    <w:rPr>
                      <w:rFonts w:cs="Times New Roman"/>
                      <w:color w:val="auto"/>
                      <w:szCs w:val="21"/>
                    </w:rPr>
                    <w:t>-产品</w:t>
                  </w:r>
                </w:p>
              </w:tc>
              <w:tc>
                <w:tcPr>
                  <w:tcW w:w="597" w:type="pct"/>
                  <w:tcBorders>
                    <w:tl2br w:val="nil"/>
                    <w:tr2bl w:val="nil"/>
                  </w:tcBorders>
                  <w:vAlign w:val="center"/>
                </w:tcPr>
                <w:p w14:paraId="351CA985">
                  <w:pPr>
                    <w:jc w:val="center"/>
                    <w:rPr>
                      <w:rFonts w:cs="Times New Roman"/>
                      <w:color w:val="auto"/>
                      <w:szCs w:val="21"/>
                    </w:rPr>
                  </w:pPr>
                  <w:r>
                    <w:rPr>
                      <w:rFonts w:hint="eastAsia" w:cs="Times New Roman"/>
                      <w:color w:val="auto"/>
                      <w:szCs w:val="21"/>
                      <w:lang w:val="en-US" w:eastAsia="zh-CN"/>
                    </w:rPr>
                    <w:t>10560</w:t>
                  </w:r>
                  <w:r>
                    <w:rPr>
                      <w:rFonts w:cs="Times New Roman"/>
                      <w:color w:val="auto"/>
                      <w:szCs w:val="21"/>
                    </w:rPr>
                    <w:t>m</w:t>
                  </w:r>
                  <w:r>
                    <w:rPr>
                      <w:rFonts w:cs="Times New Roman"/>
                      <w:color w:val="auto"/>
                      <w:szCs w:val="21"/>
                      <w:vertAlign w:val="superscript"/>
                    </w:rPr>
                    <w:t>3</w:t>
                  </w:r>
                  <w:r>
                    <w:rPr>
                      <w:rFonts w:cs="Times New Roman"/>
                      <w:color w:val="auto"/>
                      <w:szCs w:val="21"/>
                    </w:rPr>
                    <w:t>/</w:t>
                  </w:r>
                  <w:r>
                    <w:rPr>
                      <w:rFonts w:hint="eastAsia" w:cs="Times New Roman"/>
                      <w:color w:val="auto"/>
                      <w:szCs w:val="21"/>
                    </w:rPr>
                    <w:t>a</w:t>
                  </w:r>
                </w:p>
              </w:tc>
              <w:tc>
                <w:tcPr>
                  <w:tcW w:w="589" w:type="pct"/>
                  <w:tcBorders>
                    <w:tl2br w:val="nil"/>
                    <w:tr2bl w:val="nil"/>
                  </w:tcBorders>
                  <w:vAlign w:val="center"/>
                </w:tcPr>
                <w:p w14:paraId="4DAA4DC4">
                  <w:pPr>
                    <w:widowControl/>
                    <w:jc w:val="center"/>
                    <w:textAlignment w:val="center"/>
                    <w:rPr>
                      <w:rFonts w:hint="default" w:eastAsia="宋体" w:cs="Times New Roman"/>
                      <w:color w:val="auto"/>
                      <w:szCs w:val="21"/>
                      <w:lang w:val="en-US" w:eastAsia="zh-CN"/>
                    </w:rPr>
                  </w:pPr>
                  <w:r>
                    <w:rPr>
                      <w:rFonts w:hint="eastAsia" w:cs="Times New Roman"/>
                      <w:color w:val="auto"/>
                      <w:szCs w:val="21"/>
                      <w:lang w:val="en-US" w:eastAsia="zh-CN"/>
                    </w:rPr>
                    <w:t>35.20</w:t>
                  </w:r>
                </w:p>
              </w:tc>
              <w:tc>
                <w:tcPr>
                  <w:tcW w:w="531" w:type="pct"/>
                  <w:tcBorders>
                    <w:tl2br w:val="nil"/>
                    <w:tr2bl w:val="nil"/>
                  </w:tcBorders>
                  <w:vAlign w:val="center"/>
                </w:tcPr>
                <w:p w14:paraId="22374981">
                  <w:pPr>
                    <w:widowControl/>
                    <w:jc w:val="center"/>
                    <w:textAlignment w:val="center"/>
                    <w:rPr>
                      <w:rFonts w:hint="default" w:eastAsia="宋体" w:cs="Times New Roman"/>
                      <w:color w:val="auto"/>
                      <w:szCs w:val="21"/>
                      <w:lang w:val="en-US" w:eastAsia="zh-CN"/>
                    </w:rPr>
                  </w:pPr>
                  <w:r>
                    <w:rPr>
                      <w:rFonts w:hint="eastAsia" w:cs="Times New Roman"/>
                      <w:color w:val="auto"/>
                      <w:szCs w:val="21"/>
                      <w:lang w:val="en-US" w:eastAsia="zh-CN"/>
                    </w:rPr>
                    <w:t>24.64</w:t>
                  </w:r>
                </w:p>
              </w:tc>
              <w:tc>
                <w:tcPr>
                  <w:tcW w:w="593" w:type="pct"/>
                  <w:tcBorders>
                    <w:tl2br w:val="nil"/>
                    <w:tr2bl w:val="nil"/>
                  </w:tcBorders>
                  <w:vAlign w:val="center"/>
                </w:tcPr>
                <w:p w14:paraId="2C30C2E7">
                  <w:pPr>
                    <w:widowControl/>
                    <w:jc w:val="center"/>
                    <w:textAlignment w:val="center"/>
                    <w:rPr>
                      <w:rFonts w:hint="default" w:eastAsia="宋体" w:cs="Times New Roman"/>
                      <w:color w:val="auto"/>
                      <w:szCs w:val="21"/>
                      <w:lang w:val="en-US" w:eastAsia="zh-CN"/>
                    </w:rPr>
                  </w:pPr>
                  <w:r>
                    <w:rPr>
                      <w:rFonts w:hint="eastAsia" w:cs="Times New Roman"/>
                      <w:color w:val="auto"/>
                      <w:szCs w:val="21"/>
                      <w:lang w:val="en-US" w:eastAsia="zh-CN"/>
                    </w:rPr>
                    <w:t>10.56</w:t>
                  </w:r>
                </w:p>
              </w:tc>
              <w:tc>
                <w:tcPr>
                  <w:tcW w:w="974" w:type="pct"/>
                  <w:tcBorders>
                    <w:tl2br w:val="nil"/>
                    <w:tr2bl w:val="nil"/>
                  </w:tcBorders>
                  <w:vAlign w:val="center"/>
                </w:tcPr>
                <w:p w14:paraId="7EB9E53A">
                  <w:pPr>
                    <w:widowControl/>
                    <w:spacing w:line="240" w:lineRule="exact"/>
                    <w:jc w:val="center"/>
                    <w:textAlignment w:val="center"/>
                    <w:rPr>
                      <w:rFonts w:cs="Times New Roman"/>
                      <w:color w:val="auto"/>
                      <w:sz w:val="18"/>
                      <w:szCs w:val="18"/>
                    </w:rPr>
                  </w:pPr>
                  <w:r>
                    <w:rPr>
                      <w:rFonts w:hint="eastAsia" w:cs="Times New Roman"/>
                      <w:color w:val="auto"/>
                      <w:kern w:val="0"/>
                      <w:sz w:val="18"/>
                      <w:szCs w:val="18"/>
                      <w:lang w:val="en-US" w:eastAsia="zh-CN" w:bidi="ar"/>
                    </w:rPr>
                    <w:t>24.64</w:t>
                  </w:r>
                  <w:r>
                    <w:rPr>
                      <w:rFonts w:cs="Times New Roman"/>
                      <w:color w:val="auto"/>
                      <w:kern w:val="0"/>
                      <w:sz w:val="18"/>
                      <w:szCs w:val="18"/>
                      <w:lang w:bidi="ar"/>
                    </w:rPr>
                    <w:t>m</w:t>
                  </w:r>
                  <w:r>
                    <w:rPr>
                      <w:rFonts w:cs="Times New Roman"/>
                      <w:color w:val="auto"/>
                      <w:kern w:val="0"/>
                      <w:sz w:val="18"/>
                      <w:szCs w:val="18"/>
                      <w:vertAlign w:val="superscript"/>
                      <w:lang w:bidi="ar"/>
                    </w:rPr>
                    <w:t>3</w:t>
                  </w:r>
                  <w:r>
                    <w:rPr>
                      <w:rFonts w:cs="Times New Roman"/>
                      <w:color w:val="auto"/>
                      <w:kern w:val="0"/>
                      <w:sz w:val="18"/>
                      <w:szCs w:val="18"/>
                      <w:lang w:bidi="ar"/>
                    </w:rPr>
                    <w:t>/d循环使用</w:t>
                  </w:r>
                </w:p>
              </w:tc>
            </w:tr>
            <w:tr w14:paraId="1BA1CAA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14" w:hRule="atLeast"/>
                <w:jc w:val="center"/>
              </w:trPr>
              <w:tc>
                <w:tcPr>
                  <w:tcW w:w="818" w:type="pct"/>
                  <w:tcBorders>
                    <w:tl2br w:val="nil"/>
                    <w:tr2bl w:val="nil"/>
                  </w:tcBorders>
                  <w:vAlign w:val="center"/>
                </w:tcPr>
                <w:p w14:paraId="372EB402">
                  <w:pPr>
                    <w:ind w:left="-40" w:leftChars="-19" w:right="-59" w:rightChars="-28"/>
                    <w:jc w:val="center"/>
                    <w:rPr>
                      <w:rFonts w:cs="Times New Roman"/>
                      <w:color w:val="auto"/>
                      <w:szCs w:val="21"/>
                    </w:rPr>
                  </w:pPr>
                  <w:r>
                    <w:rPr>
                      <w:rFonts w:cs="Times New Roman"/>
                      <w:color w:val="auto"/>
                      <w:szCs w:val="21"/>
                    </w:rPr>
                    <w:t>地面冲洗用水</w:t>
                  </w:r>
                </w:p>
              </w:tc>
              <w:tc>
                <w:tcPr>
                  <w:tcW w:w="893" w:type="pct"/>
                  <w:tcBorders>
                    <w:tl2br w:val="nil"/>
                    <w:tr2bl w:val="nil"/>
                  </w:tcBorders>
                  <w:vAlign w:val="center"/>
                </w:tcPr>
                <w:p w14:paraId="0CCF51C0">
                  <w:pPr>
                    <w:jc w:val="center"/>
                    <w:rPr>
                      <w:rFonts w:cs="Times New Roman"/>
                      <w:color w:val="auto"/>
                      <w:szCs w:val="21"/>
                    </w:rPr>
                  </w:pPr>
                  <w:r>
                    <w:rPr>
                      <w:rFonts w:cs="Times New Roman"/>
                      <w:color w:val="auto"/>
                      <w:kern w:val="24"/>
                      <w:szCs w:val="21"/>
                    </w:rPr>
                    <w:t>2L/m</w:t>
                  </w:r>
                  <w:r>
                    <w:rPr>
                      <w:rFonts w:cs="Times New Roman"/>
                      <w:color w:val="auto"/>
                      <w:kern w:val="24"/>
                      <w:szCs w:val="21"/>
                      <w:vertAlign w:val="superscript"/>
                    </w:rPr>
                    <w:t>2</w:t>
                  </w:r>
                </w:p>
              </w:tc>
              <w:tc>
                <w:tcPr>
                  <w:tcW w:w="597" w:type="pct"/>
                  <w:tcBorders>
                    <w:tl2br w:val="nil"/>
                    <w:tr2bl w:val="nil"/>
                  </w:tcBorders>
                  <w:vAlign w:val="center"/>
                </w:tcPr>
                <w:p w14:paraId="001E47FC">
                  <w:pPr>
                    <w:jc w:val="center"/>
                    <w:rPr>
                      <w:rFonts w:cs="Times New Roman"/>
                      <w:color w:val="auto"/>
                      <w:szCs w:val="21"/>
                    </w:rPr>
                  </w:pPr>
                  <w:r>
                    <w:rPr>
                      <w:rFonts w:hint="eastAsia" w:cs="Times New Roman"/>
                      <w:color w:val="auto"/>
                      <w:szCs w:val="21"/>
                      <w:lang w:val="en-US" w:eastAsia="zh-CN"/>
                    </w:rPr>
                    <w:t>5480</w:t>
                  </w:r>
                  <w:r>
                    <w:rPr>
                      <w:rFonts w:cs="Times New Roman"/>
                      <w:color w:val="auto"/>
                      <w:szCs w:val="21"/>
                    </w:rPr>
                    <w:t>m</w:t>
                  </w:r>
                  <w:r>
                    <w:rPr>
                      <w:rFonts w:cs="Times New Roman"/>
                      <w:color w:val="auto"/>
                      <w:szCs w:val="21"/>
                      <w:vertAlign w:val="superscript"/>
                    </w:rPr>
                    <w:t>2</w:t>
                  </w:r>
                </w:p>
              </w:tc>
              <w:tc>
                <w:tcPr>
                  <w:tcW w:w="589" w:type="pct"/>
                  <w:tcBorders>
                    <w:tl2br w:val="nil"/>
                    <w:tr2bl w:val="nil"/>
                  </w:tcBorders>
                  <w:vAlign w:val="center"/>
                </w:tcPr>
                <w:p w14:paraId="7759639E">
                  <w:pPr>
                    <w:widowControl/>
                    <w:jc w:val="center"/>
                    <w:textAlignment w:val="center"/>
                    <w:rPr>
                      <w:rFonts w:hint="default" w:eastAsia="宋体" w:cs="Times New Roman"/>
                      <w:color w:val="auto"/>
                      <w:kern w:val="0"/>
                      <w:szCs w:val="21"/>
                      <w:lang w:val="en-US" w:eastAsia="zh-CN" w:bidi="ar"/>
                    </w:rPr>
                  </w:pPr>
                  <w:r>
                    <w:rPr>
                      <w:rFonts w:hint="eastAsia" w:cs="Times New Roman"/>
                      <w:color w:val="auto"/>
                      <w:kern w:val="0"/>
                      <w:szCs w:val="21"/>
                      <w:lang w:val="en-US" w:eastAsia="zh-CN" w:bidi="ar"/>
                    </w:rPr>
                    <w:t>10.96</w:t>
                  </w:r>
                </w:p>
              </w:tc>
              <w:tc>
                <w:tcPr>
                  <w:tcW w:w="531" w:type="pct"/>
                  <w:tcBorders>
                    <w:tl2br w:val="nil"/>
                    <w:tr2bl w:val="nil"/>
                  </w:tcBorders>
                  <w:vAlign w:val="center"/>
                </w:tcPr>
                <w:p w14:paraId="4EB860D9">
                  <w:pPr>
                    <w:widowControl/>
                    <w:jc w:val="center"/>
                    <w:textAlignment w:val="center"/>
                    <w:rPr>
                      <w:rFonts w:hint="default" w:eastAsia="宋体" w:cs="Times New Roman"/>
                      <w:color w:val="auto"/>
                      <w:kern w:val="0"/>
                      <w:szCs w:val="21"/>
                      <w:lang w:val="en-US" w:eastAsia="zh-CN" w:bidi="ar"/>
                    </w:rPr>
                  </w:pPr>
                  <w:r>
                    <w:rPr>
                      <w:rFonts w:hint="eastAsia" w:cs="Times New Roman"/>
                      <w:color w:val="auto"/>
                      <w:kern w:val="0"/>
                      <w:szCs w:val="21"/>
                      <w:lang w:val="en-US" w:eastAsia="zh-CN" w:bidi="ar"/>
                    </w:rPr>
                    <w:t>7.67</w:t>
                  </w:r>
                </w:p>
              </w:tc>
              <w:tc>
                <w:tcPr>
                  <w:tcW w:w="593" w:type="pct"/>
                  <w:tcBorders>
                    <w:tl2br w:val="nil"/>
                    <w:tr2bl w:val="nil"/>
                  </w:tcBorders>
                  <w:vAlign w:val="center"/>
                </w:tcPr>
                <w:p w14:paraId="7B32A950">
                  <w:pPr>
                    <w:widowControl/>
                    <w:jc w:val="center"/>
                    <w:textAlignment w:val="center"/>
                    <w:rPr>
                      <w:rFonts w:hint="default" w:eastAsia="宋体" w:cs="Times New Roman"/>
                      <w:color w:val="auto"/>
                      <w:kern w:val="0"/>
                      <w:szCs w:val="21"/>
                      <w:lang w:val="en-US" w:eastAsia="zh-CN" w:bidi="ar"/>
                    </w:rPr>
                  </w:pPr>
                  <w:r>
                    <w:rPr>
                      <w:rFonts w:hint="eastAsia" w:cs="Times New Roman"/>
                      <w:color w:val="auto"/>
                      <w:kern w:val="0"/>
                      <w:szCs w:val="21"/>
                      <w:lang w:val="en-US" w:eastAsia="zh-CN" w:bidi="ar"/>
                    </w:rPr>
                    <w:t>3.29</w:t>
                  </w:r>
                </w:p>
              </w:tc>
              <w:tc>
                <w:tcPr>
                  <w:tcW w:w="974" w:type="pct"/>
                  <w:tcBorders>
                    <w:tl2br w:val="nil"/>
                    <w:tr2bl w:val="nil"/>
                  </w:tcBorders>
                  <w:vAlign w:val="center"/>
                </w:tcPr>
                <w:p w14:paraId="48D0D02E">
                  <w:pPr>
                    <w:widowControl/>
                    <w:spacing w:line="240" w:lineRule="exact"/>
                    <w:jc w:val="center"/>
                    <w:textAlignment w:val="center"/>
                    <w:rPr>
                      <w:rFonts w:cs="Times New Roman"/>
                      <w:color w:val="auto"/>
                      <w:kern w:val="0"/>
                      <w:sz w:val="18"/>
                      <w:szCs w:val="18"/>
                      <w:lang w:bidi="ar"/>
                    </w:rPr>
                  </w:pPr>
                  <w:r>
                    <w:rPr>
                      <w:rFonts w:hint="eastAsia" w:cs="Times New Roman"/>
                      <w:color w:val="auto"/>
                      <w:kern w:val="0"/>
                      <w:sz w:val="18"/>
                      <w:szCs w:val="18"/>
                      <w:lang w:val="en-US" w:eastAsia="zh-CN" w:bidi="ar"/>
                    </w:rPr>
                    <w:t>7.67</w:t>
                  </w:r>
                  <w:r>
                    <w:rPr>
                      <w:rFonts w:cs="Times New Roman"/>
                      <w:color w:val="auto"/>
                      <w:kern w:val="0"/>
                      <w:sz w:val="18"/>
                      <w:szCs w:val="18"/>
                      <w:lang w:bidi="ar"/>
                    </w:rPr>
                    <w:t>m</w:t>
                  </w:r>
                  <w:r>
                    <w:rPr>
                      <w:rFonts w:cs="Times New Roman"/>
                      <w:color w:val="auto"/>
                      <w:kern w:val="0"/>
                      <w:sz w:val="18"/>
                      <w:szCs w:val="18"/>
                      <w:vertAlign w:val="superscript"/>
                      <w:lang w:bidi="ar"/>
                    </w:rPr>
                    <w:t>3</w:t>
                  </w:r>
                  <w:r>
                    <w:rPr>
                      <w:rFonts w:cs="Times New Roman"/>
                      <w:color w:val="auto"/>
                      <w:kern w:val="0"/>
                      <w:sz w:val="18"/>
                      <w:szCs w:val="18"/>
                      <w:lang w:bidi="ar"/>
                    </w:rPr>
                    <w:t>/d循环使用</w:t>
                  </w:r>
                </w:p>
              </w:tc>
            </w:tr>
            <w:tr w14:paraId="4775DF0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14" w:hRule="atLeast"/>
                <w:jc w:val="center"/>
              </w:trPr>
              <w:tc>
                <w:tcPr>
                  <w:tcW w:w="818" w:type="pct"/>
                  <w:tcBorders>
                    <w:tl2br w:val="nil"/>
                    <w:tr2bl w:val="nil"/>
                  </w:tcBorders>
                  <w:vAlign w:val="center"/>
                </w:tcPr>
                <w:p w14:paraId="026AB7B0">
                  <w:pPr>
                    <w:ind w:left="-40" w:leftChars="-19" w:right="-59" w:rightChars="-28"/>
                    <w:jc w:val="center"/>
                    <w:rPr>
                      <w:rFonts w:cs="Times New Roman"/>
                      <w:color w:val="auto"/>
                      <w:szCs w:val="21"/>
                    </w:rPr>
                  </w:pPr>
                  <w:r>
                    <w:rPr>
                      <w:rFonts w:cs="Times New Roman"/>
                      <w:color w:val="auto"/>
                      <w:szCs w:val="21"/>
                    </w:rPr>
                    <w:t>厂区降尘用水</w:t>
                  </w:r>
                </w:p>
              </w:tc>
              <w:tc>
                <w:tcPr>
                  <w:tcW w:w="893" w:type="pct"/>
                  <w:tcBorders>
                    <w:tl2br w:val="nil"/>
                    <w:tr2bl w:val="nil"/>
                  </w:tcBorders>
                  <w:vAlign w:val="center"/>
                </w:tcPr>
                <w:p w14:paraId="23106935">
                  <w:pPr>
                    <w:jc w:val="center"/>
                    <w:rPr>
                      <w:rFonts w:cs="Times New Roman"/>
                      <w:color w:val="auto"/>
                      <w:szCs w:val="21"/>
                    </w:rPr>
                  </w:pPr>
                  <w:r>
                    <w:rPr>
                      <w:rFonts w:cs="Times New Roman"/>
                      <w:color w:val="auto"/>
                      <w:szCs w:val="21"/>
                    </w:rPr>
                    <w:t>1L/m</w:t>
                  </w:r>
                  <w:r>
                    <w:rPr>
                      <w:rFonts w:cs="Times New Roman"/>
                      <w:color w:val="auto"/>
                      <w:szCs w:val="21"/>
                      <w:vertAlign w:val="superscript"/>
                    </w:rPr>
                    <w:t>2</w:t>
                  </w:r>
                  <w:r>
                    <w:rPr>
                      <w:rFonts w:cs="Times New Roman"/>
                      <w:color w:val="auto"/>
                      <w:szCs w:val="21"/>
                    </w:rPr>
                    <w:t>·d</w:t>
                  </w:r>
                </w:p>
              </w:tc>
              <w:tc>
                <w:tcPr>
                  <w:tcW w:w="597" w:type="pct"/>
                  <w:tcBorders>
                    <w:tl2br w:val="nil"/>
                    <w:tr2bl w:val="nil"/>
                  </w:tcBorders>
                  <w:vAlign w:val="center"/>
                </w:tcPr>
                <w:p w14:paraId="1DB8278C">
                  <w:pPr>
                    <w:jc w:val="center"/>
                    <w:rPr>
                      <w:rFonts w:cs="Times New Roman"/>
                      <w:color w:val="auto"/>
                      <w:szCs w:val="21"/>
                    </w:rPr>
                  </w:pPr>
                  <w:r>
                    <w:rPr>
                      <w:rFonts w:hint="eastAsia" w:cs="Times New Roman"/>
                      <w:color w:val="auto"/>
                      <w:szCs w:val="21"/>
                      <w:lang w:val="en-US" w:eastAsia="zh-CN"/>
                    </w:rPr>
                    <w:t>2000</w:t>
                  </w:r>
                  <w:r>
                    <w:rPr>
                      <w:rFonts w:cs="Times New Roman"/>
                      <w:color w:val="auto"/>
                      <w:szCs w:val="21"/>
                    </w:rPr>
                    <w:t>m</w:t>
                  </w:r>
                  <w:r>
                    <w:rPr>
                      <w:rFonts w:cs="Times New Roman"/>
                      <w:color w:val="auto"/>
                      <w:szCs w:val="21"/>
                      <w:vertAlign w:val="superscript"/>
                    </w:rPr>
                    <w:t>2</w:t>
                  </w:r>
                </w:p>
              </w:tc>
              <w:tc>
                <w:tcPr>
                  <w:tcW w:w="589" w:type="pct"/>
                  <w:tcBorders>
                    <w:tl2br w:val="nil"/>
                    <w:tr2bl w:val="nil"/>
                  </w:tcBorders>
                  <w:vAlign w:val="center"/>
                </w:tcPr>
                <w:p w14:paraId="61AD3610">
                  <w:pPr>
                    <w:widowControl/>
                    <w:jc w:val="center"/>
                    <w:textAlignment w:val="center"/>
                    <w:rPr>
                      <w:rFonts w:cs="Times New Roman"/>
                      <w:color w:val="auto"/>
                      <w:szCs w:val="21"/>
                    </w:rPr>
                  </w:pPr>
                  <w:r>
                    <w:rPr>
                      <w:rFonts w:hint="eastAsia" w:cs="Times New Roman"/>
                      <w:color w:val="auto"/>
                      <w:szCs w:val="21"/>
                      <w:lang w:val="en-US" w:eastAsia="zh-CN"/>
                    </w:rPr>
                    <w:t>4</w:t>
                  </w:r>
                  <w:r>
                    <w:rPr>
                      <w:rFonts w:cs="Times New Roman"/>
                      <w:color w:val="auto"/>
                      <w:szCs w:val="21"/>
                    </w:rPr>
                    <w:t>.00</w:t>
                  </w:r>
                </w:p>
              </w:tc>
              <w:tc>
                <w:tcPr>
                  <w:tcW w:w="531" w:type="pct"/>
                  <w:tcBorders>
                    <w:tl2br w:val="nil"/>
                    <w:tr2bl w:val="nil"/>
                  </w:tcBorders>
                  <w:vAlign w:val="center"/>
                </w:tcPr>
                <w:p w14:paraId="6D585866">
                  <w:pPr>
                    <w:widowControl/>
                    <w:jc w:val="center"/>
                    <w:textAlignment w:val="center"/>
                    <w:rPr>
                      <w:rFonts w:cs="Times New Roman"/>
                      <w:color w:val="auto"/>
                      <w:szCs w:val="21"/>
                    </w:rPr>
                  </w:pPr>
                  <w:r>
                    <w:rPr>
                      <w:rFonts w:cs="Times New Roman"/>
                      <w:color w:val="auto"/>
                      <w:szCs w:val="21"/>
                    </w:rPr>
                    <w:t>0.00</w:t>
                  </w:r>
                </w:p>
              </w:tc>
              <w:tc>
                <w:tcPr>
                  <w:tcW w:w="593" w:type="pct"/>
                  <w:tcBorders>
                    <w:tl2br w:val="nil"/>
                    <w:tr2bl w:val="nil"/>
                  </w:tcBorders>
                  <w:vAlign w:val="center"/>
                </w:tcPr>
                <w:p w14:paraId="4B0A6C45">
                  <w:pPr>
                    <w:widowControl/>
                    <w:jc w:val="center"/>
                    <w:textAlignment w:val="center"/>
                    <w:rPr>
                      <w:rFonts w:cs="Times New Roman"/>
                      <w:color w:val="auto"/>
                      <w:szCs w:val="21"/>
                    </w:rPr>
                  </w:pPr>
                  <w:r>
                    <w:rPr>
                      <w:rFonts w:hint="eastAsia" w:cs="Times New Roman"/>
                      <w:color w:val="auto"/>
                      <w:szCs w:val="21"/>
                      <w:lang w:val="en-US" w:eastAsia="zh-CN"/>
                    </w:rPr>
                    <w:t>4</w:t>
                  </w:r>
                  <w:r>
                    <w:rPr>
                      <w:rFonts w:cs="Times New Roman"/>
                      <w:color w:val="auto"/>
                      <w:szCs w:val="21"/>
                    </w:rPr>
                    <w:t>.00</w:t>
                  </w:r>
                </w:p>
              </w:tc>
              <w:tc>
                <w:tcPr>
                  <w:tcW w:w="974" w:type="pct"/>
                  <w:tcBorders>
                    <w:tl2br w:val="nil"/>
                    <w:tr2bl w:val="nil"/>
                  </w:tcBorders>
                  <w:vAlign w:val="center"/>
                </w:tcPr>
                <w:p w14:paraId="52B7EDF0">
                  <w:pPr>
                    <w:jc w:val="center"/>
                    <w:rPr>
                      <w:rFonts w:cs="Times New Roman"/>
                      <w:color w:val="auto"/>
                      <w:sz w:val="18"/>
                      <w:szCs w:val="18"/>
                    </w:rPr>
                  </w:pPr>
                </w:p>
              </w:tc>
            </w:tr>
            <w:tr w14:paraId="64D9E7A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14" w:hRule="atLeast"/>
                <w:jc w:val="center"/>
              </w:trPr>
              <w:tc>
                <w:tcPr>
                  <w:tcW w:w="818" w:type="pct"/>
                  <w:tcBorders>
                    <w:tl2br w:val="nil"/>
                    <w:tr2bl w:val="nil"/>
                  </w:tcBorders>
                  <w:vAlign w:val="center"/>
                </w:tcPr>
                <w:p w14:paraId="46FF4605">
                  <w:pPr>
                    <w:ind w:left="-40" w:leftChars="-19" w:right="-59" w:rightChars="-28"/>
                    <w:jc w:val="center"/>
                    <w:rPr>
                      <w:rFonts w:cs="Times New Roman"/>
                      <w:color w:val="auto"/>
                      <w:szCs w:val="21"/>
                    </w:rPr>
                  </w:pPr>
                  <w:r>
                    <w:rPr>
                      <w:rFonts w:cs="Times New Roman"/>
                      <w:color w:val="auto"/>
                      <w:szCs w:val="21"/>
                    </w:rPr>
                    <w:t>生活用水</w:t>
                  </w:r>
                </w:p>
              </w:tc>
              <w:tc>
                <w:tcPr>
                  <w:tcW w:w="893" w:type="pct"/>
                  <w:tcBorders>
                    <w:tl2br w:val="nil"/>
                    <w:tr2bl w:val="nil"/>
                  </w:tcBorders>
                  <w:vAlign w:val="center"/>
                </w:tcPr>
                <w:p w14:paraId="7AE47B40">
                  <w:pPr>
                    <w:jc w:val="center"/>
                    <w:rPr>
                      <w:rFonts w:cs="Times New Roman"/>
                      <w:color w:val="auto"/>
                      <w:szCs w:val="21"/>
                    </w:rPr>
                  </w:pPr>
                  <w:r>
                    <w:rPr>
                      <w:rFonts w:cs="Times New Roman"/>
                      <w:color w:val="auto"/>
                      <w:kern w:val="24"/>
                      <w:szCs w:val="21"/>
                    </w:rPr>
                    <w:t>100L/人·d</w:t>
                  </w:r>
                </w:p>
              </w:tc>
              <w:tc>
                <w:tcPr>
                  <w:tcW w:w="597" w:type="pct"/>
                  <w:tcBorders>
                    <w:tl2br w:val="nil"/>
                    <w:tr2bl w:val="nil"/>
                  </w:tcBorders>
                  <w:vAlign w:val="center"/>
                </w:tcPr>
                <w:p w14:paraId="58B979D2">
                  <w:pPr>
                    <w:jc w:val="center"/>
                    <w:rPr>
                      <w:rFonts w:cs="Times New Roman"/>
                      <w:color w:val="auto"/>
                      <w:szCs w:val="21"/>
                    </w:rPr>
                  </w:pPr>
                  <w:r>
                    <w:rPr>
                      <w:rFonts w:hint="eastAsia" w:cs="Times New Roman"/>
                      <w:color w:val="auto"/>
                      <w:szCs w:val="21"/>
                      <w:lang w:val="en-US" w:eastAsia="zh-CN"/>
                    </w:rPr>
                    <w:t>15</w:t>
                  </w:r>
                  <w:r>
                    <w:rPr>
                      <w:rFonts w:cs="Times New Roman"/>
                      <w:color w:val="auto"/>
                      <w:szCs w:val="21"/>
                    </w:rPr>
                    <w:t>人</w:t>
                  </w:r>
                </w:p>
              </w:tc>
              <w:tc>
                <w:tcPr>
                  <w:tcW w:w="589" w:type="pct"/>
                  <w:tcBorders>
                    <w:tl2br w:val="nil"/>
                    <w:tr2bl w:val="nil"/>
                  </w:tcBorders>
                  <w:vAlign w:val="center"/>
                </w:tcPr>
                <w:p w14:paraId="1BD9DB9B">
                  <w:pPr>
                    <w:widowControl/>
                    <w:jc w:val="center"/>
                    <w:textAlignment w:val="center"/>
                    <w:rPr>
                      <w:rFonts w:hint="default" w:eastAsia="宋体" w:cs="Times New Roman"/>
                      <w:color w:val="auto"/>
                      <w:szCs w:val="21"/>
                      <w:lang w:val="en-US" w:eastAsia="zh-CN"/>
                    </w:rPr>
                  </w:pPr>
                  <w:r>
                    <w:rPr>
                      <w:rFonts w:hint="eastAsia" w:cs="Times New Roman"/>
                      <w:color w:val="auto"/>
                      <w:szCs w:val="21"/>
                      <w:lang w:val="en-US" w:eastAsia="zh-CN"/>
                    </w:rPr>
                    <w:t>1.50</w:t>
                  </w:r>
                </w:p>
              </w:tc>
              <w:tc>
                <w:tcPr>
                  <w:tcW w:w="531" w:type="pct"/>
                  <w:tcBorders>
                    <w:tl2br w:val="nil"/>
                    <w:tr2bl w:val="nil"/>
                  </w:tcBorders>
                  <w:vAlign w:val="center"/>
                </w:tcPr>
                <w:p w14:paraId="2394D8BE">
                  <w:pPr>
                    <w:widowControl/>
                    <w:jc w:val="center"/>
                    <w:textAlignment w:val="center"/>
                    <w:rPr>
                      <w:rFonts w:hint="default" w:eastAsia="宋体" w:cs="Times New Roman"/>
                      <w:color w:val="auto"/>
                      <w:szCs w:val="21"/>
                      <w:lang w:val="en-US" w:eastAsia="zh-CN"/>
                    </w:rPr>
                  </w:pPr>
                  <w:r>
                    <w:rPr>
                      <w:rFonts w:hint="eastAsia" w:cs="Times New Roman"/>
                      <w:color w:val="auto"/>
                      <w:szCs w:val="21"/>
                      <w:lang w:val="en-US" w:eastAsia="zh-CN"/>
                    </w:rPr>
                    <w:t>1.20</w:t>
                  </w:r>
                </w:p>
              </w:tc>
              <w:tc>
                <w:tcPr>
                  <w:tcW w:w="593" w:type="pct"/>
                  <w:tcBorders>
                    <w:tl2br w:val="nil"/>
                    <w:tr2bl w:val="nil"/>
                  </w:tcBorders>
                  <w:vAlign w:val="center"/>
                </w:tcPr>
                <w:p w14:paraId="5EF8DFC8">
                  <w:pPr>
                    <w:widowControl/>
                    <w:jc w:val="center"/>
                    <w:textAlignment w:val="center"/>
                    <w:rPr>
                      <w:rFonts w:cs="Times New Roman"/>
                      <w:color w:val="auto"/>
                      <w:szCs w:val="21"/>
                    </w:rPr>
                  </w:pPr>
                  <w:r>
                    <w:rPr>
                      <w:rFonts w:hint="eastAsia" w:cs="Times New Roman"/>
                      <w:color w:val="auto"/>
                      <w:szCs w:val="21"/>
                      <w:lang w:val="en-US" w:eastAsia="zh-CN"/>
                    </w:rPr>
                    <w:t>1</w:t>
                  </w:r>
                  <w:r>
                    <w:rPr>
                      <w:rFonts w:cs="Times New Roman"/>
                      <w:color w:val="auto"/>
                      <w:szCs w:val="21"/>
                    </w:rPr>
                    <w:t>.</w:t>
                  </w:r>
                  <w:r>
                    <w:rPr>
                      <w:rFonts w:hint="eastAsia" w:cs="Times New Roman"/>
                      <w:color w:val="auto"/>
                      <w:szCs w:val="21"/>
                      <w:lang w:val="en-US" w:eastAsia="zh-CN"/>
                    </w:rPr>
                    <w:t>5</w:t>
                  </w:r>
                  <w:r>
                    <w:rPr>
                      <w:rFonts w:cs="Times New Roman"/>
                      <w:color w:val="auto"/>
                      <w:szCs w:val="21"/>
                    </w:rPr>
                    <w:t>0</w:t>
                  </w:r>
                </w:p>
              </w:tc>
              <w:tc>
                <w:tcPr>
                  <w:tcW w:w="974" w:type="pct"/>
                  <w:tcBorders>
                    <w:tl2br w:val="nil"/>
                    <w:tr2bl w:val="nil"/>
                  </w:tcBorders>
                  <w:vAlign w:val="center"/>
                </w:tcPr>
                <w:p w14:paraId="64F737CF">
                  <w:pPr>
                    <w:widowControl/>
                    <w:jc w:val="center"/>
                    <w:textAlignment w:val="center"/>
                    <w:rPr>
                      <w:rFonts w:cs="Times New Roman"/>
                      <w:color w:val="auto"/>
                      <w:kern w:val="0"/>
                      <w:sz w:val="18"/>
                      <w:szCs w:val="18"/>
                      <w:lang w:bidi="ar"/>
                    </w:rPr>
                  </w:pPr>
                </w:p>
              </w:tc>
            </w:tr>
            <w:tr w14:paraId="3441778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14" w:hRule="atLeast"/>
                <w:jc w:val="center"/>
              </w:trPr>
              <w:tc>
                <w:tcPr>
                  <w:tcW w:w="818" w:type="pct"/>
                  <w:tcBorders>
                    <w:tl2br w:val="nil"/>
                    <w:tr2bl w:val="nil"/>
                  </w:tcBorders>
                  <w:vAlign w:val="center"/>
                </w:tcPr>
                <w:p w14:paraId="1EF6B645">
                  <w:pPr>
                    <w:ind w:left="-40" w:leftChars="-19" w:right="-59" w:rightChars="-28"/>
                    <w:jc w:val="center"/>
                    <w:rPr>
                      <w:rFonts w:hint="eastAsia" w:eastAsia="宋体" w:cs="Times New Roman"/>
                      <w:color w:val="auto"/>
                      <w:szCs w:val="21"/>
                      <w:lang w:eastAsia="zh-CN"/>
                    </w:rPr>
                  </w:pPr>
                  <w:r>
                    <w:rPr>
                      <w:rFonts w:hint="eastAsia" w:cs="Times New Roman"/>
                      <w:color w:val="auto"/>
                      <w:szCs w:val="21"/>
                      <w:lang w:eastAsia="zh-CN"/>
                    </w:rPr>
                    <w:t>食堂用水</w:t>
                  </w:r>
                </w:p>
              </w:tc>
              <w:tc>
                <w:tcPr>
                  <w:tcW w:w="893" w:type="pct"/>
                  <w:tcBorders>
                    <w:tl2br w:val="nil"/>
                    <w:tr2bl w:val="nil"/>
                  </w:tcBorders>
                  <w:vAlign w:val="center"/>
                </w:tcPr>
                <w:p w14:paraId="6756710C">
                  <w:pPr>
                    <w:jc w:val="center"/>
                    <w:rPr>
                      <w:rFonts w:cs="Times New Roman"/>
                      <w:color w:val="auto"/>
                      <w:kern w:val="24"/>
                      <w:szCs w:val="21"/>
                    </w:rPr>
                  </w:pPr>
                  <w:r>
                    <w:rPr>
                      <w:rFonts w:hint="eastAsia" w:cs="Times New Roman"/>
                      <w:color w:val="auto"/>
                      <w:kern w:val="24"/>
                      <w:szCs w:val="21"/>
                      <w:lang w:val="en-US" w:eastAsia="zh-CN"/>
                    </w:rPr>
                    <w:t>3</w:t>
                  </w:r>
                  <w:r>
                    <w:rPr>
                      <w:rFonts w:cs="Times New Roman"/>
                      <w:color w:val="auto"/>
                      <w:kern w:val="24"/>
                      <w:szCs w:val="21"/>
                    </w:rPr>
                    <w:t>0L/人·d</w:t>
                  </w:r>
                </w:p>
              </w:tc>
              <w:tc>
                <w:tcPr>
                  <w:tcW w:w="597" w:type="pct"/>
                  <w:tcBorders>
                    <w:tl2br w:val="nil"/>
                    <w:tr2bl w:val="nil"/>
                  </w:tcBorders>
                  <w:vAlign w:val="center"/>
                </w:tcPr>
                <w:p w14:paraId="4DD5C324">
                  <w:pPr>
                    <w:jc w:val="center"/>
                    <w:rPr>
                      <w:rFonts w:hint="eastAsia" w:cs="Times New Roman"/>
                      <w:color w:val="auto"/>
                      <w:szCs w:val="21"/>
                      <w:lang w:val="en-US" w:eastAsia="zh-CN"/>
                    </w:rPr>
                  </w:pPr>
                  <w:r>
                    <w:rPr>
                      <w:rFonts w:hint="eastAsia" w:cs="Times New Roman"/>
                      <w:color w:val="auto"/>
                      <w:szCs w:val="21"/>
                      <w:lang w:val="en-US" w:eastAsia="zh-CN"/>
                    </w:rPr>
                    <w:t>15</w:t>
                  </w:r>
                  <w:r>
                    <w:rPr>
                      <w:rFonts w:cs="Times New Roman"/>
                      <w:color w:val="auto"/>
                      <w:szCs w:val="21"/>
                    </w:rPr>
                    <w:t>人</w:t>
                  </w:r>
                </w:p>
              </w:tc>
              <w:tc>
                <w:tcPr>
                  <w:tcW w:w="589" w:type="pct"/>
                  <w:tcBorders>
                    <w:tl2br w:val="nil"/>
                    <w:tr2bl w:val="nil"/>
                  </w:tcBorders>
                  <w:vAlign w:val="center"/>
                </w:tcPr>
                <w:p w14:paraId="0AFCABF3">
                  <w:pPr>
                    <w:widowControl/>
                    <w:jc w:val="center"/>
                    <w:textAlignment w:val="center"/>
                    <w:rPr>
                      <w:rFonts w:hint="default" w:cs="Times New Roman"/>
                      <w:color w:val="auto"/>
                      <w:szCs w:val="21"/>
                      <w:lang w:val="en-US" w:eastAsia="zh-CN"/>
                    </w:rPr>
                  </w:pPr>
                  <w:r>
                    <w:rPr>
                      <w:rFonts w:hint="eastAsia" w:cs="Times New Roman"/>
                      <w:color w:val="auto"/>
                      <w:szCs w:val="21"/>
                      <w:lang w:val="en-US" w:eastAsia="zh-CN"/>
                    </w:rPr>
                    <w:t>0.45</w:t>
                  </w:r>
                </w:p>
              </w:tc>
              <w:tc>
                <w:tcPr>
                  <w:tcW w:w="531" w:type="pct"/>
                  <w:tcBorders>
                    <w:tl2br w:val="nil"/>
                    <w:tr2bl w:val="nil"/>
                  </w:tcBorders>
                  <w:vAlign w:val="center"/>
                </w:tcPr>
                <w:p w14:paraId="43DFD9C1">
                  <w:pPr>
                    <w:widowControl/>
                    <w:jc w:val="center"/>
                    <w:textAlignment w:val="center"/>
                    <w:rPr>
                      <w:rFonts w:hint="default" w:cs="Times New Roman"/>
                      <w:color w:val="auto"/>
                      <w:szCs w:val="21"/>
                      <w:lang w:val="en-US" w:eastAsia="zh-CN"/>
                    </w:rPr>
                  </w:pPr>
                  <w:r>
                    <w:rPr>
                      <w:rFonts w:hint="eastAsia" w:cs="Times New Roman"/>
                      <w:color w:val="auto"/>
                      <w:szCs w:val="21"/>
                      <w:lang w:val="en-US" w:eastAsia="zh-CN"/>
                    </w:rPr>
                    <w:t>0.36</w:t>
                  </w:r>
                </w:p>
              </w:tc>
              <w:tc>
                <w:tcPr>
                  <w:tcW w:w="593" w:type="pct"/>
                  <w:tcBorders>
                    <w:tl2br w:val="nil"/>
                    <w:tr2bl w:val="nil"/>
                  </w:tcBorders>
                  <w:vAlign w:val="center"/>
                </w:tcPr>
                <w:p w14:paraId="3A72D268">
                  <w:pPr>
                    <w:widowControl/>
                    <w:jc w:val="center"/>
                    <w:textAlignment w:val="center"/>
                    <w:rPr>
                      <w:rFonts w:hint="default" w:cs="Times New Roman"/>
                      <w:color w:val="auto"/>
                      <w:szCs w:val="21"/>
                      <w:lang w:val="en-US" w:eastAsia="zh-CN"/>
                    </w:rPr>
                  </w:pPr>
                  <w:r>
                    <w:rPr>
                      <w:rFonts w:hint="eastAsia" w:cs="Times New Roman"/>
                      <w:color w:val="auto"/>
                      <w:szCs w:val="21"/>
                      <w:lang w:val="en-US" w:eastAsia="zh-CN"/>
                    </w:rPr>
                    <w:t>0.45</w:t>
                  </w:r>
                </w:p>
              </w:tc>
              <w:tc>
                <w:tcPr>
                  <w:tcW w:w="974" w:type="pct"/>
                  <w:tcBorders>
                    <w:tl2br w:val="nil"/>
                    <w:tr2bl w:val="nil"/>
                  </w:tcBorders>
                  <w:vAlign w:val="center"/>
                </w:tcPr>
                <w:p w14:paraId="2FC0AA18">
                  <w:pPr>
                    <w:widowControl/>
                    <w:jc w:val="center"/>
                    <w:textAlignment w:val="center"/>
                    <w:rPr>
                      <w:rFonts w:cs="Times New Roman"/>
                      <w:color w:val="auto"/>
                      <w:kern w:val="0"/>
                      <w:sz w:val="18"/>
                      <w:szCs w:val="18"/>
                      <w:lang w:bidi="ar"/>
                    </w:rPr>
                  </w:pPr>
                </w:p>
              </w:tc>
            </w:tr>
            <w:tr w14:paraId="3D95B35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80" w:hRule="atLeast"/>
                <w:jc w:val="center"/>
              </w:trPr>
              <w:tc>
                <w:tcPr>
                  <w:tcW w:w="2309" w:type="pct"/>
                  <w:gridSpan w:val="3"/>
                  <w:tcBorders>
                    <w:tl2br w:val="nil"/>
                    <w:tr2bl w:val="nil"/>
                  </w:tcBorders>
                  <w:vAlign w:val="center"/>
                </w:tcPr>
                <w:p w14:paraId="55DEAD45">
                  <w:pPr>
                    <w:jc w:val="center"/>
                    <w:rPr>
                      <w:rFonts w:cs="Times New Roman"/>
                      <w:b/>
                      <w:bCs/>
                      <w:color w:val="auto"/>
                      <w:szCs w:val="21"/>
                    </w:rPr>
                  </w:pPr>
                  <w:r>
                    <w:rPr>
                      <w:rFonts w:cs="Times New Roman"/>
                      <w:b/>
                      <w:bCs/>
                      <w:color w:val="auto"/>
                      <w:szCs w:val="21"/>
                    </w:rPr>
                    <w:t>合计</w:t>
                  </w:r>
                </w:p>
              </w:tc>
              <w:tc>
                <w:tcPr>
                  <w:tcW w:w="589" w:type="pct"/>
                  <w:tcBorders>
                    <w:tl2br w:val="nil"/>
                    <w:tr2bl w:val="nil"/>
                  </w:tcBorders>
                  <w:vAlign w:val="center"/>
                </w:tcPr>
                <w:p w14:paraId="268CF61C">
                  <w:pPr>
                    <w:widowControl/>
                    <w:jc w:val="center"/>
                    <w:textAlignment w:val="center"/>
                    <w:rPr>
                      <w:rFonts w:hint="default" w:eastAsia="宋体" w:cs="Times New Roman"/>
                      <w:b/>
                      <w:bCs/>
                      <w:color w:val="auto"/>
                      <w:kern w:val="0"/>
                      <w:szCs w:val="21"/>
                      <w:lang w:val="en-US" w:eastAsia="zh-CN" w:bidi="ar"/>
                    </w:rPr>
                  </w:pPr>
                  <w:r>
                    <w:rPr>
                      <w:rFonts w:hint="eastAsia" w:cs="Times New Roman"/>
                      <w:b/>
                      <w:bCs/>
                      <w:color w:val="auto"/>
                      <w:kern w:val="0"/>
                      <w:szCs w:val="21"/>
                      <w:lang w:val="en-US" w:eastAsia="zh-CN" w:bidi="ar"/>
                    </w:rPr>
                    <w:t>52.11</w:t>
                  </w:r>
                </w:p>
              </w:tc>
              <w:tc>
                <w:tcPr>
                  <w:tcW w:w="531" w:type="pct"/>
                  <w:tcBorders>
                    <w:tl2br w:val="nil"/>
                    <w:tr2bl w:val="nil"/>
                  </w:tcBorders>
                  <w:vAlign w:val="center"/>
                </w:tcPr>
                <w:p w14:paraId="7B4E376B">
                  <w:pPr>
                    <w:widowControl/>
                    <w:jc w:val="center"/>
                    <w:textAlignment w:val="center"/>
                    <w:rPr>
                      <w:rFonts w:hint="default" w:eastAsia="宋体" w:cs="Times New Roman"/>
                      <w:b/>
                      <w:bCs/>
                      <w:color w:val="auto"/>
                      <w:kern w:val="0"/>
                      <w:szCs w:val="21"/>
                      <w:lang w:val="en-US" w:eastAsia="zh-CN" w:bidi="ar"/>
                    </w:rPr>
                  </w:pPr>
                  <w:r>
                    <w:rPr>
                      <w:rFonts w:hint="eastAsia" w:cs="Times New Roman"/>
                      <w:b/>
                      <w:bCs/>
                      <w:color w:val="auto"/>
                      <w:kern w:val="0"/>
                      <w:szCs w:val="21"/>
                      <w:lang w:val="en-US" w:eastAsia="zh-CN" w:bidi="ar"/>
                    </w:rPr>
                    <w:t>33.87</w:t>
                  </w:r>
                </w:p>
              </w:tc>
              <w:tc>
                <w:tcPr>
                  <w:tcW w:w="593" w:type="pct"/>
                  <w:tcBorders>
                    <w:tl2br w:val="nil"/>
                    <w:tr2bl w:val="nil"/>
                  </w:tcBorders>
                  <w:vAlign w:val="center"/>
                </w:tcPr>
                <w:p w14:paraId="495BC051">
                  <w:pPr>
                    <w:widowControl/>
                    <w:jc w:val="center"/>
                    <w:textAlignment w:val="center"/>
                    <w:rPr>
                      <w:rFonts w:hint="default" w:eastAsia="宋体" w:cs="Times New Roman"/>
                      <w:b/>
                      <w:bCs/>
                      <w:color w:val="auto"/>
                      <w:szCs w:val="21"/>
                      <w:lang w:val="en-US" w:eastAsia="zh-CN"/>
                    </w:rPr>
                  </w:pPr>
                  <w:r>
                    <w:rPr>
                      <w:rFonts w:hint="eastAsia" w:cs="Times New Roman"/>
                      <w:b/>
                      <w:bCs/>
                      <w:color w:val="auto"/>
                      <w:szCs w:val="21"/>
                      <w:lang w:val="en-US" w:eastAsia="zh-CN"/>
                    </w:rPr>
                    <w:t>19.80</w:t>
                  </w:r>
                </w:p>
              </w:tc>
              <w:tc>
                <w:tcPr>
                  <w:tcW w:w="974" w:type="pct"/>
                  <w:tcBorders>
                    <w:tl2br w:val="nil"/>
                    <w:tr2bl w:val="nil"/>
                  </w:tcBorders>
                  <w:vAlign w:val="center"/>
                </w:tcPr>
                <w:p w14:paraId="268ACD08">
                  <w:pPr>
                    <w:widowControl/>
                    <w:jc w:val="center"/>
                    <w:textAlignment w:val="center"/>
                    <w:rPr>
                      <w:rFonts w:cs="Times New Roman"/>
                      <w:b/>
                      <w:bCs/>
                      <w:color w:val="auto"/>
                      <w:sz w:val="18"/>
                      <w:szCs w:val="18"/>
                    </w:rPr>
                  </w:pPr>
                  <w:r>
                    <w:rPr>
                      <w:rFonts w:hint="eastAsia" w:cs="Times New Roman"/>
                      <w:color w:val="auto"/>
                      <w:kern w:val="0"/>
                      <w:sz w:val="18"/>
                      <w:szCs w:val="18"/>
                      <w:lang w:val="en-US" w:eastAsia="zh-CN" w:bidi="ar"/>
                    </w:rPr>
                    <w:t>32.31</w:t>
                  </w:r>
                  <w:r>
                    <w:rPr>
                      <w:rFonts w:cs="Times New Roman"/>
                      <w:color w:val="auto"/>
                      <w:kern w:val="0"/>
                      <w:sz w:val="18"/>
                      <w:szCs w:val="18"/>
                      <w:lang w:bidi="ar"/>
                    </w:rPr>
                    <w:t>m</w:t>
                  </w:r>
                  <w:r>
                    <w:rPr>
                      <w:rFonts w:cs="Times New Roman"/>
                      <w:color w:val="auto"/>
                      <w:kern w:val="0"/>
                      <w:sz w:val="18"/>
                      <w:szCs w:val="18"/>
                      <w:vertAlign w:val="superscript"/>
                      <w:lang w:bidi="ar"/>
                    </w:rPr>
                    <w:t>3</w:t>
                  </w:r>
                  <w:r>
                    <w:rPr>
                      <w:rFonts w:cs="Times New Roman"/>
                      <w:color w:val="auto"/>
                      <w:kern w:val="0"/>
                      <w:sz w:val="18"/>
                      <w:szCs w:val="18"/>
                      <w:lang w:bidi="ar"/>
                    </w:rPr>
                    <w:t>/d循环水</w:t>
                  </w:r>
                </w:p>
              </w:tc>
            </w:tr>
          </w:tbl>
          <w:p w14:paraId="438270E1">
            <w:pPr>
              <w:spacing w:line="360" w:lineRule="auto"/>
              <w:ind w:firstLine="482" w:firstLineChars="200"/>
              <w:rPr>
                <w:rFonts w:cs="Times New Roman"/>
                <w:b/>
                <w:color w:val="auto"/>
                <w:kern w:val="24"/>
                <w:sz w:val="24"/>
                <w:szCs w:val="24"/>
              </w:rPr>
            </w:pPr>
            <w:r>
              <w:rPr>
                <w:rFonts w:cs="Times New Roman"/>
                <w:b/>
                <w:color w:val="auto"/>
                <w:kern w:val="24"/>
                <w:sz w:val="24"/>
                <w:szCs w:val="24"/>
              </w:rPr>
              <w:t>（3）排水工程</w:t>
            </w:r>
          </w:p>
          <w:p w14:paraId="0A285212">
            <w:pPr>
              <w:spacing w:line="360" w:lineRule="auto"/>
              <w:ind w:firstLine="480" w:firstLineChars="200"/>
              <w:rPr>
                <w:rFonts w:cs="Times New Roman"/>
                <w:color w:val="auto"/>
                <w:kern w:val="24"/>
                <w:sz w:val="24"/>
                <w:szCs w:val="24"/>
              </w:rPr>
            </w:pPr>
            <w:r>
              <w:rPr>
                <w:rFonts w:cs="Times New Roman"/>
                <w:color w:val="auto"/>
                <w:kern w:val="24"/>
                <w:sz w:val="24"/>
                <w:szCs w:val="24"/>
              </w:rPr>
              <w:t xml:space="preserve">项目各区域实行雨污分流。       </w:t>
            </w:r>
          </w:p>
          <w:p w14:paraId="26064A67">
            <w:pPr>
              <w:spacing w:line="360" w:lineRule="auto"/>
              <w:ind w:firstLine="482" w:firstLineChars="200"/>
              <w:rPr>
                <w:rFonts w:cs="Times New Roman"/>
                <w:color w:val="auto"/>
                <w:kern w:val="24"/>
                <w:sz w:val="24"/>
                <w:szCs w:val="24"/>
              </w:rPr>
            </w:pPr>
            <w:r>
              <w:rPr>
                <w:rFonts w:cs="Times New Roman"/>
                <w:b/>
                <w:bCs/>
                <w:color w:val="auto"/>
                <w:kern w:val="24"/>
                <w:sz w:val="24"/>
                <w:szCs w:val="24"/>
              </w:rPr>
              <w:t>雨水：</w:t>
            </w:r>
            <w:r>
              <w:rPr>
                <w:rFonts w:cs="Times New Roman"/>
                <w:b w:val="0"/>
                <w:bCs w:val="0"/>
                <w:color w:val="auto"/>
                <w:kern w:val="24"/>
                <w:sz w:val="24"/>
                <w:szCs w:val="24"/>
              </w:rPr>
              <w:t>生产车间外的雨水进入厂区雨水沟后，排入附近雨水管网。</w:t>
            </w:r>
          </w:p>
          <w:p w14:paraId="13855F42">
            <w:pPr>
              <w:spacing w:line="360" w:lineRule="auto"/>
              <w:ind w:firstLine="482" w:firstLineChars="200"/>
              <w:rPr>
                <w:rFonts w:cs="Times New Roman"/>
                <w:color w:val="auto"/>
                <w:kern w:val="24"/>
                <w:sz w:val="24"/>
                <w:szCs w:val="24"/>
              </w:rPr>
            </w:pPr>
            <w:r>
              <w:rPr>
                <w:rFonts w:cs="Times New Roman"/>
                <w:b/>
                <w:bCs/>
                <w:color w:val="auto"/>
                <w:kern w:val="24"/>
                <w:sz w:val="24"/>
                <w:szCs w:val="24"/>
              </w:rPr>
              <w:t>污水：</w:t>
            </w:r>
            <w:r>
              <w:rPr>
                <w:rFonts w:cs="Times New Roman"/>
                <w:color w:val="auto"/>
                <w:kern w:val="24"/>
                <w:sz w:val="24"/>
                <w:szCs w:val="24"/>
              </w:rPr>
              <w:t>厂区食堂废水经隔油处理后同生活污水一同排入半挂车项目</w:t>
            </w:r>
            <w:r>
              <w:rPr>
                <w:rFonts w:hint="eastAsia" w:cs="Times New Roman"/>
                <w:color w:val="auto"/>
                <w:kern w:val="24"/>
                <w:sz w:val="24"/>
                <w:szCs w:val="24"/>
                <w:lang w:eastAsia="zh-CN"/>
              </w:rPr>
              <w:t>在本车间内已建的</w:t>
            </w:r>
            <w:r>
              <w:rPr>
                <w:rFonts w:cs="Times New Roman"/>
                <w:color w:val="auto"/>
                <w:kern w:val="24"/>
                <w:sz w:val="24"/>
                <w:szCs w:val="24"/>
              </w:rPr>
              <w:t>化粪池处理后，</w:t>
            </w:r>
            <w:r>
              <w:rPr>
                <w:rFonts w:hint="default" w:cs="Times New Roman"/>
                <w:color w:val="auto"/>
                <w:kern w:val="24"/>
                <w:sz w:val="24"/>
                <w:szCs w:val="24"/>
                <w:lang w:val="en-US" w:eastAsia="zh-CN"/>
              </w:rPr>
              <w:t>定期经罐车拉运至东岳镇生活污水处理厂处理达《城镇污水处理厂污染物排放标准》（GB18918-2002）一级 A 标准后通过污水管网排入双龙河，待东岳镇污水处理厂及配套管网建成后，通过市政污水管网排入东岳镇工业园区污水处理厂处理</w:t>
            </w:r>
            <w:r>
              <w:rPr>
                <w:rFonts w:hint="eastAsia" w:cs="Times New Roman"/>
                <w:color w:val="auto"/>
                <w:kern w:val="24"/>
                <w:sz w:val="24"/>
                <w:szCs w:val="24"/>
                <w:lang w:eastAsia="zh-CN"/>
              </w:rPr>
              <w:t>。</w:t>
            </w:r>
            <w:r>
              <w:rPr>
                <w:rFonts w:cs="Times New Roman"/>
                <w:color w:val="auto"/>
                <w:kern w:val="24"/>
                <w:sz w:val="24"/>
                <w:szCs w:val="24"/>
              </w:rPr>
              <w:t>项目生产废水经排水沟收集进入沉砂池，由螺旋绞砂机将粗砂处理后，进入</w:t>
            </w:r>
            <w:r>
              <w:rPr>
                <w:rFonts w:hint="eastAsia" w:cs="Times New Roman"/>
                <w:color w:val="auto"/>
                <w:kern w:val="24"/>
                <w:sz w:val="24"/>
                <w:szCs w:val="24"/>
                <w:lang w:eastAsia="zh-CN"/>
              </w:rPr>
              <w:t>三</w:t>
            </w:r>
            <w:r>
              <w:rPr>
                <w:rFonts w:cs="Times New Roman"/>
                <w:color w:val="auto"/>
                <w:kern w:val="24"/>
                <w:sz w:val="24"/>
                <w:szCs w:val="24"/>
              </w:rPr>
              <w:t>级沉淀池絮凝处理</w:t>
            </w:r>
            <w:r>
              <w:rPr>
                <w:rFonts w:hint="eastAsia" w:cs="Times New Roman"/>
                <w:color w:val="auto"/>
                <w:kern w:val="24"/>
                <w:sz w:val="24"/>
                <w:szCs w:val="24"/>
                <w:lang w:eastAsia="zh-CN"/>
              </w:rPr>
              <w:t>后</w:t>
            </w:r>
            <w:r>
              <w:rPr>
                <w:rFonts w:cs="Times New Roman"/>
                <w:color w:val="auto"/>
                <w:kern w:val="24"/>
                <w:sz w:val="24"/>
                <w:szCs w:val="24"/>
              </w:rPr>
              <w:t>，</w:t>
            </w:r>
            <w:r>
              <w:rPr>
                <w:rFonts w:hint="eastAsia" w:cs="Times New Roman"/>
                <w:color w:val="auto"/>
                <w:kern w:val="24"/>
                <w:sz w:val="24"/>
                <w:szCs w:val="24"/>
                <w:lang w:eastAsia="zh-CN"/>
              </w:rPr>
              <w:t>底泥</w:t>
            </w:r>
            <w:r>
              <w:rPr>
                <w:rFonts w:cs="Times New Roman"/>
                <w:color w:val="auto"/>
                <w:kern w:val="24"/>
                <w:sz w:val="24"/>
                <w:szCs w:val="24"/>
              </w:rPr>
              <w:t>经板框压滤机压成泥饼，处理后的废水循环使用，不外排。</w:t>
            </w:r>
          </w:p>
          <w:p w14:paraId="08D9364D">
            <w:pPr>
              <w:spacing w:line="360" w:lineRule="auto"/>
              <w:ind w:firstLine="482" w:firstLineChars="200"/>
              <w:rPr>
                <w:rFonts w:cs="Times New Roman"/>
                <w:b/>
                <w:color w:val="auto"/>
                <w:kern w:val="24"/>
                <w:sz w:val="24"/>
                <w:szCs w:val="24"/>
              </w:rPr>
            </w:pPr>
            <w:r>
              <w:rPr>
                <w:rFonts w:cs="Times New Roman"/>
                <w:b/>
                <w:color w:val="auto"/>
                <w:kern w:val="24"/>
                <w:sz w:val="24"/>
                <w:szCs w:val="24"/>
              </w:rPr>
              <w:t>（4）水平衡图</w:t>
            </w:r>
          </w:p>
          <w:p w14:paraId="28636869">
            <w:pPr>
              <w:spacing w:line="360" w:lineRule="auto"/>
              <w:ind w:firstLine="480" w:firstLineChars="200"/>
              <w:rPr>
                <w:rFonts w:cs="Times New Roman"/>
                <w:color w:val="auto"/>
                <w:kern w:val="24"/>
                <w:sz w:val="24"/>
                <w:szCs w:val="24"/>
              </w:rPr>
            </w:pPr>
            <w:r>
              <w:rPr>
                <w:rFonts w:cs="Times New Roman"/>
                <w:color w:val="auto"/>
                <w:kern w:val="24"/>
                <w:sz w:val="24"/>
                <w:szCs w:val="24"/>
              </w:rPr>
              <w:t>根据用水量预测及排水分析，本项目运营期水量平衡见下图：</w:t>
            </w:r>
          </w:p>
          <w:p w14:paraId="2D959E55">
            <w:pPr>
              <w:spacing w:line="360" w:lineRule="auto"/>
              <w:jc w:val="center"/>
              <w:rPr>
                <w:rFonts w:cs="Times New Roman"/>
                <w:color w:val="auto"/>
                <w:kern w:val="24"/>
                <w:sz w:val="24"/>
                <w:szCs w:val="24"/>
                <w:highlight w:val="none"/>
              </w:rPr>
            </w:pPr>
            <w:r>
              <w:rPr>
                <w:highlight w:val="none"/>
              </w:rPr>
              <w:drawing>
                <wp:inline distT="0" distB="0" distL="114300" distR="114300">
                  <wp:extent cx="5464175" cy="3267710"/>
                  <wp:effectExtent l="0" t="0" r="3175" b="8890"/>
                  <wp:docPr id="1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pic:cNvPicPr>
                            <a:picLocks noChangeAspect="1"/>
                          </pic:cNvPicPr>
                        </pic:nvPicPr>
                        <pic:blipFill>
                          <a:blip r:embed="rId12"/>
                          <a:stretch>
                            <a:fillRect/>
                          </a:stretch>
                        </pic:blipFill>
                        <pic:spPr>
                          <a:xfrm>
                            <a:off x="0" y="0"/>
                            <a:ext cx="5464175" cy="3267710"/>
                          </a:xfrm>
                          <a:prstGeom prst="rect">
                            <a:avLst/>
                          </a:prstGeom>
                          <a:noFill/>
                          <a:ln>
                            <a:noFill/>
                          </a:ln>
                        </pic:spPr>
                      </pic:pic>
                    </a:graphicData>
                  </a:graphic>
                </wp:inline>
              </w:drawing>
            </w:r>
          </w:p>
          <w:p w14:paraId="67985384">
            <w:pPr>
              <w:spacing w:line="360" w:lineRule="auto"/>
              <w:jc w:val="center"/>
              <w:rPr>
                <w:rFonts w:cs="Times New Roman"/>
                <w:b/>
                <w:bCs/>
                <w:color w:val="auto"/>
                <w:sz w:val="24"/>
                <w:szCs w:val="24"/>
                <w:highlight w:val="none"/>
              </w:rPr>
            </w:pPr>
            <w:r>
              <w:rPr>
                <w:rFonts w:cs="Times New Roman"/>
                <w:b/>
                <w:bCs/>
                <w:color w:val="auto"/>
                <w:sz w:val="24"/>
                <w:szCs w:val="24"/>
                <w:highlight w:val="none"/>
              </w:rPr>
              <w:t>图2-1  本项目水平衡图（m</w:t>
            </w:r>
            <w:r>
              <w:rPr>
                <w:rFonts w:cs="Times New Roman"/>
                <w:b/>
                <w:bCs/>
                <w:color w:val="auto"/>
                <w:sz w:val="24"/>
                <w:szCs w:val="24"/>
                <w:highlight w:val="none"/>
                <w:vertAlign w:val="superscript"/>
              </w:rPr>
              <w:t>3</w:t>
            </w:r>
            <w:r>
              <w:rPr>
                <w:rFonts w:cs="Times New Roman"/>
                <w:b/>
                <w:bCs/>
                <w:color w:val="auto"/>
                <w:sz w:val="24"/>
                <w:szCs w:val="24"/>
                <w:highlight w:val="none"/>
              </w:rPr>
              <w:t>/d）</w:t>
            </w:r>
          </w:p>
          <w:p w14:paraId="52DB925A">
            <w:pPr>
              <w:keepNext w:val="0"/>
              <w:keepLines w:val="0"/>
              <w:pageBreakBefore w:val="0"/>
              <w:widowControl w:val="0"/>
              <w:kinsoku/>
              <w:wordWrap/>
              <w:overflowPunct/>
              <w:topLinePunct w:val="0"/>
              <w:autoSpaceDE/>
              <w:autoSpaceDN/>
              <w:bidi w:val="0"/>
              <w:adjustRightInd/>
              <w:snapToGrid/>
              <w:spacing w:line="312" w:lineRule="auto"/>
              <w:ind w:firstLine="482" w:firstLineChars="200"/>
              <w:textAlignment w:val="auto"/>
              <w:rPr>
                <w:rFonts w:cs="Times New Roman"/>
                <w:b/>
                <w:color w:val="auto"/>
                <w:sz w:val="24"/>
                <w:szCs w:val="24"/>
              </w:rPr>
            </w:pPr>
            <w:r>
              <w:rPr>
                <w:rFonts w:hint="eastAsia" w:cs="Times New Roman"/>
                <w:b/>
                <w:color w:val="auto"/>
                <w:sz w:val="24"/>
                <w:szCs w:val="24"/>
                <w:lang w:val="en-US" w:eastAsia="zh-CN"/>
              </w:rPr>
              <w:t>8</w:t>
            </w:r>
            <w:r>
              <w:rPr>
                <w:rFonts w:cs="Times New Roman"/>
                <w:b/>
                <w:color w:val="auto"/>
                <w:sz w:val="24"/>
                <w:szCs w:val="24"/>
              </w:rPr>
              <w:t>、劳动定员及工作制度</w:t>
            </w:r>
          </w:p>
          <w:p w14:paraId="69C8C7A6">
            <w:pPr>
              <w:keepNext w:val="0"/>
              <w:keepLines w:val="0"/>
              <w:pageBreakBefore w:val="0"/>
              <w:widowControl w:val="0"/>
              <w:kinsoku/>
              <w:wordWrap/>
              <w:overflowPunct/>
              <w:topLinePunct w:val="0"/>
              <w:autoSpaceDE/>
              <w:autoSpaceDN/>
              <w:bidi w:val="0"/>
              <w:adjustRightInd/>
              <w:snapToGrid/>
              <w:spacing w:line="312" w:lineRule="auto"/>
              <w:ind w:firstLine="480" w:firstLineChars="200"/>
              <w:textAlignment w:val="auto"/>
              <w:rPr>
                <w:rFonts w:cs="Times New Roman"/>
                <w:color w:val="auto"/>
                <w:kern w:val="24"/>
                <w:sz w:val="24"/>
                <w:szCs w:val="24"/>
              </w:rPr>
            </w:pPr>
            <w:r>
              <w:rPr>
                <w:rFonts w:cs="Times New Roman"/>
                <w:color w:val="auto"/>
                <w:kern w:val="24"/>
                <w:sz w:val="24"/>
                <w:szCs w:val="24"/>
              </w:rPr>
              <w:t>项目现有劳动定员</w:t>
            </w:r>
            <w:r>
              <w:rPr>
                <w:rFonts w:hint="eastAsia" w:cs="Times New Roman"/>
                <w:color w:val="auto"/>
                <w:kern w:val="24"/>
                <w:sz w:val="24"/>
                <w:szCs w:val="24"/>
                <w:lang w:val="en-US" w:eastAsia="zh-CN"/>
              </w:rPr>
              <w:t>15</w:t>
            </w:r>
            <w:r>
              <w:rPr>
                <w:rFonts w:cs="Times New Roman"/>
                <w:color w:val="auto"/>
                <w:kern w:val="24"/>
                <w:sz w:val="24"/>
                <w:szCs w:val="24"/>
              </w:rPr>
              <w:t>人，一班制，每班8小时，全年生产300天。</w:t>
            </w:r>
          </w:p>
          <w:p w14:paraId="1F38F7BE">
            <w:pPr>
              <w:keepNext w:val="0"/>
              <w:keepLines w:val="0"/>
              <w:pageBreakBefore w:val="0"/>
              <w:widowControl w:val="0"/>
              <w:kinsoku/>
              <w:wordWrap/>
              <w:overflowPunct/>
              <w:topLinePunct w:val="0"/>
              <w:autoSpaceDE/>
              <w:autoSpaceDN/>
              <w:bidi w:val="0"/>
              <w:adjustRightInd/>
              <w:snapToGrid/>
              <w:spacing w:line="312" w:lineRule="auto"/>
              <w:ind w:firstLine="482" w:firstLineChars="200"/>
              <w:textAlignment w:val="auto"/>
              <w:rPr>
                <w:rFonts w:cs="Times New Roman"/>
                <w:b/>
                <w:color w:val="auto"/>
                <w:sz w:val="24"/>
                <w:szCs w:val="24"/>
              </w:rPr>
            </w:pPr>
            <w:r>
              <w:rPr>
                <w:rFonts w:hint="eastAsia" w:cs="Times New Roman"/>
                <w:b/>
                <w:color w:val="auto"/>
                <w:sz w:val="24"/>
                <w:szCs w:val="24"/>
                <w:lang w:val="en-US" w:eastAsia="zh-CN"/>
              </w:rPr>
              <w:t>9</w:t>
            </w:r>
            <w:r>
              <w:rPr>
                <w:rFonts w:cs="Times New Roman"/>
                <w:b/>
                <w:color w:val="auto"/>
                <w:sz w:val="24"/>
                <w:szCs w:val="24"/>
              </w:rPr>
              <w:t>、厂区平面布置</w:t>
            </w:r>
          </w:p>
          <w:p w14:paraId="655B85B8">
            <w:pPr>
              <w:keepNext w:val="0"/>
              <w:keepLines w:val="0"/>
              <w:pageBreakBefore w:val="0"/>
              <w:widowControl w:val="0"/>
              <w:kinsoku/>
              <w:wordWrap/>
              <w:overflowPunct/>
              <w:topLinePunct w:val="0"/>
              <w:autoSpaceDE/>
              <w:autoSpaceDN/>
              <w:bidi w:val="0"/>
              <w:adjustRightInd/>
              <w:snapToGrid/>
              <w:spacing w:line="312" w:lineRule="auto"/>
              <w:ind w:firstLine="482" w:firstLineChars="200"/>
              <w:textAlignment w:val="auto"/>
              <w:rPr>
                <w:rFonts w:cs="Times New Roman"/>
                <w:b/>
                <w:bCs/>
                <w:color w:val="auto"/>
                <w:sz w:val="24"/>
                <w:szCs w:val="24"/>
              </w:rPr>
            </w:pPr>
            <w:r>
              <w:rPr>
                <w:rFonts w:cs="Times New Roman"/>
                <w:b/>
                <w:bCs/>
                <w:color w:val="auto"/>
                <w:sz w:val="24"/>
                <w:szCs w:val="24"/>
              </w:rPr>
              <w:t>（1）总体布局</w:t>
            </w:r>
          </w:p>
          <w:p w14:paraId="60C1A204">
            <w:pPr>
              <w:keepNext w:val="0"/>
              <w:keepLines w:val="0"/>
              <w:pageBreakBefore w:val="0"/>
              <w:widowControl w:val="0"/>
              <w:kinsoku/>
              <w:wordWrap/>
              <w:overflowPunct/>
              <w:topLinePunct w:val="0"/>
              <w:autoSpaceDE/>
              <w:autoSpaceDN/>
              <w:bidi w:val="0"/>
              <w:adjustRightInd/>
              <w:snapToGrid/>
              <w:spacing w:line="312" w:lineRule="auto"/>
              <w:ind w:firstLine="480" w:firstLineChars="200"/>
              <w:textAlignment w:val="auto"/>
              <w:rPr>
                <w:rFonts w:hint="eastAsia" w:eastAsia="宋体" w:cs="Times New Roman"/>
                <w:color w:val="auto"/>
                <w:sz w:val="24"/>
                <w:szCs w:val="24"/>
                <w:lang w:eastAsia="zh-CN"/>
              </w:rPr>
            </w:pPr>
            <w:r>
              <w:rPr>
                <w:rFonts w:cs="Times New Roman"/>
                <w:color w:val="auto"/>
                <w:sz w:val="24"/>
                <w:szCs w:val="24"/>
              </w:rPr>
              <w:t>本项目生产车间系租用半挂车项目的</w:t>
            </w:r>
            <w:r>
              <w:rPr>
                <w:rFonts w:hint="eastAsia" w:cs="Times New Roman"/>
                <w:color w:val="auto"/>
                <w:sz w:val="24"/>
                <w:szCs w:val="24"/>
                <w:lang w:eastAsia="zh-CN"/>
              </w:rPr>
              <w:t>北侧</w:t>
            </w:r>
            <w:r>
              <w:rPr>
                <w:rFonts w:cs="Times New Roman"/>
                <w:color w:val="auto"/>
                <w:sz w:val="24"/>
                <w:szCs w:val="24"/>
              </w:rPr>
              <w:t>闲置</w:t>
            </w:r>
            <w:r>
              <w:rPr>
                <w:rFonts w:hint="eastAsia" w:cs="Times New Roman"/>
                <w:color w:val="auto"/>
                <w:sz w:val="24"/>
                <w:szCs w:val="24"/>
                <w:lang w:eastAsia="zh-CN"/>
              </w:rPr>
              <w:t>的</w:t>
            </w:r>
            <w:r>
              <w:rPr>
                <w:rFonts w:hint="eastAsia" w:cs="Times New Roman"/>
                <w:color w:val="auto"/>
                <w:sz w:val="24"/>
                <w:szCs w:val="24"/>
                <w:lang w:val="en-US" w:eastAsia="zh-CN"/>
              </w:rPr>
              <w:t>1号车间及空地区域</w:t>
            </w:r>
            <w:r>
              <w:rPr>
                <w:rFonts w:cs="Times New Roman"/>
                <w:color w:val="auto"/>
                <w:sz w:val="24"/>
                <w:szCs w:val="24"/>
              </w:rPr>
              <w:t>，该厂房为南北短东西长的规则长方形，东西两侧均设置有进出大门</w:t>
            </w:r>
            <w:r>
              <w:rPr>
                <w:rFonts w:hint="eastAsia" w:cs="Times New Roman"/>
                <w:color w:val="auto"/>
                <w:sz w:val="24"/>
                <w:szCs w:val="24"/>
                <w:lang w:eastAsia="zh-CN"/>
              </w:rPr>
              <w:t>。</w:t>
            </w:r>
          </w:p>
          <w:p w14:paraId="549F407F">
            <w:pPr>
              <w:keepNext w:val="0"/>
              <w:keepLines w:val="0"/>
              <w:pageBreakBefore w:val="0"/>
              <w:widowControl w:val="0"/>
              <w:kinsoku/>
              <w:wordWrap/>
              <w:overflowPunct/>
              <w:topLinePunct w:val="0"/>
              <w:autoSpaceDE/>
              <w:autoSpaceDN/>
              <w:bidi w:val="0"/>
              <w:adjustRightInd/>
              <w:snapToGrid/>
              <w:spacing w:line="312" w:lineRule="auto"/>
              <w:ind w:firstLine="480" w:firstLineChars="200"/>
              <w:textAlignment w:val="auto"/>
              <w:rPr>
                <w:rFonts w:cs="Times New Roman"/>
                <w:color w:val="auto"/>
                <w:kern w:val="24"/>
                <w:sz w:val="24"/>
                <w:szCs w:val="24"/>
              </w:rPr>
            </w:pPr>
            <w:r>
              <w:rPr>
                <w:rFonts w:cs="Times New Roman"/>
                <w:color w:val="auto"/>
                <w:sz w:val="24"/>
                <w:szCs w:val="24"/>
              </w:rPr>
              <w:t>项目</w:t>
            </w:r>
            <w:r>
              <w:rPr>
                <w:rFonts w:hint="eastAsia" w:cs="Times New Roman"/>
                <w:color w:val="auto"/>
                <w:sz w:val="24"/>
                <w:szCs w:val="24"/>
                <w:lang w:eastAsia="zh-CN"/>
              </w:rPr>
              <w:t>厂区</w:t>
            </w:r>
            <w:r>
              <w:rPr>
                <w:rFonts w:cs="Times New Roman"/>
                <w:color w:val="auto"/>
                <w:sz w:val="24"/>
                <w:szCs w:val="24"/>
              </w:rPr>
              <w:t>呈</w:t>
            </w:r>
            <w:r>
              <w:rPr>
                <w:rFonts w:hint="eastAsia" w:cs="Times New Roman"/>
                <w:color w:val="auto"/>
                <w:sz w:val="24"/>
                <w:szCs w:val="24"/>
                <w:lang w:eastAsia="zh-CN"/>
              </w:rPr>
              <w:t>长方形</w:t>
            </w:r>
            <w:r>
              <w:rPr>
                <w:rFonts w:cs="Times New Roman"/>
                <w:color w:val="auto"/>
                <w:sz w:val="24"/>
                <w:szCs w:val="24"/>
              </w:rPr>
              <w:t>，占地面积</w:t>
            </w:r>
            <w:r>
              <w:rPr>
                <w:rFonts w:cs="Times New Roman"/>
                <w:color w:val="auto"/>
                <w:sz w:val="24"/>
                <w:szCs w:val="24"/>
                <w:highlight w:val="none"/>
              </w:rPr>
              <w:t>约</w:t>
            </w:r>
            <w:r>
              <w:rPr>
                <w:rFonts w:hint="eastAsia" w:cs="Times New Roman"/>
                <w:color w:val="auto"/>
                <w:sz w:val="24"/>
                <w:szCs w:val="24"/>
                <w:highlight w:val="none"/>
                <w:lang w:val="en-US" w:eastAsia="zh-CN"/>
              </w:rPr>
              <w:t>5480</w:t>
            </w:r>
            <w:r>
              <w:rPr>
                <w:rFonts w:cs="Times New Roman"/>
                <w:color w:val="auto"/>
                <w:sz w:val="24"/>
                <w:szCs w:val="24"/>
                <w:highlight w:val="none"/>
              </w:rPr>
              <w:t>m</w:t>
            </w:r>
            <w:r>
              <w:rPr>
                <w:rFonts w:cs="Times New Roman"/>
                <w:color w:val="auto"/>
                <w:sz w:val="24"/>
                <w:szCs w:val="24"/>
                <w:highlight w:val="none"/>
                <w:vertAlign w:val="superscript"/>
              </w:rPr>
              <w:t>2</w:t>
            </w:r>
            <w:r>
              <w:rPr>
                <w:rFonts w:cs="Times New Roman"/>
                <w:color w:val="auto"/>
                <w:kern w:val="24"/>
                <w:sz w:val="24"/>
                <w:szCs w:val="24"/>
                <w:highlight w:val="none"/>
              </w:rPr>
              <w:t>，</w:t>
            </w:r>
            <w:r>
              <w:rPr>
                <w:rFonts w:hint="eastAsia" w:cs="Times New Roman"/>
                <w:color w:val="auto"/>
                <w:kern w:val="24"/>
                <w:sz w:val="24"/>
                <w:szCs w:val="24"/>
                <w:highlight w:val="none"/>
                <w:lang w:eastAsia="zh-CN"/>
              </w:rPr>
              <w:t>项目</w:t>
            </w:r>
            <w:r>
              <w:rPr>
                <w:rFonts w:hint="eastAsia" w:cs="Times New Roman"/>
                <w:color w:val="auto"/>
                <w:kern w:val="24"/>
                <w:sz w:val="24"/>
                <w:szCs w:val="24"/>
                <w:lang w:eastAsia="zh-CN"/>
              </w:rPr>
              <w:t>主出入口设置在东侧</w:t>
            </w:r>
            <w:r>
              <w:rPr>
                <w:rFonts w:cs="Times New Roman"/>
                <w:color w:val="auto"/>
                <w:kern w:val="24"/>
                <w:sz w:val="24"/>
                <w:szCs w:val="24"/>
              </w:rPr>
              <w:t>，</w:t>
            </w:r>
            <w:r>
              <w:rPr>
                <w:rFonts w:cs="Times New Roman"/>
                <w:color w:val="auto"/>
                <w:sz w:val="24"/>
                <w:szCs w:val="24"/>
              </w:rPr>
              <w:t>紧邻</w:t>
            </w:r>
            <w:r>
              <w:rPr>
                <w:rFonts w:hint="eastAsia" w:cs="Times New Roman"/>
                <w:color w:val="auto"/>
                <w:sz w:val="24"/>
                <w:szCs w:val="24"/>
                <w:lang w:eastAsia="zh-CN"/>
              </w:rPr>
              <w:t>园区道路</w:t>
            </w:r>
            <w:r>
              <w:rPr>
                <w:rFonts w:cs="Times New Roman"/>
                <w:color w:val="auto"/>
                <w:sz w:val="24"/>
                <w:szCs w:val="24"/>
              </w:rPr>
              <w:t>，方便车辆进出。</w:t>
            </w:r>
            <w:r>
              <w:rPr>
                <w:rFonts w:cs="Times New Roman"/>
                <w:color w:val="auto"/>
                <w:kern w:val="24"/>
                <w:sz w:val="24"/>
                <w:szCs w:val="24"/>
              </w:rPr>
              <w:t>项目在设计时根据功能分区、物流以及厂区外道路现状，将</w:t>
            </w:r>
            <w:r>
              <w:rPr>
                <w:rFonts w:hint="eastAsia" w:cs="Times New Roman"/>
                <w:color w:val="auto"/>
                <w:kern w:val="24"/>
                <w:sz w:val="24"/>
                <w:szCs w:val="24"/>
                <w:lang w:eastAsia="zh-CN"/>
              </w:rPr>
              <w:t>项目</w:t>
            </w:r>
            <w:r>
              <w:rPr>
                <w:rFonts w:cs="Times New Roman"/>
                <w:color w:val="auto"/>
                <w:kern w:val="24"/>
                <w:sz w:val="24"/>
                <w:szCs w:val="24"/>
              </w:rPr>
              <w:t>厂区分为生产区</w:t>
            </w:r>
            <w:r>
              <w:rPr>
                <w:rFonts w:hint="eastAsia" w:cs="Times New Roman"/>
                <w:color w:val="auto"/>
                <w:kern w:val="24"/>
                <w:sz w:val="24"/>
                <w:szCs w:val="24"/>
                <w:lang w:eastAsia="zh-CN"/>
              </w:rPr>
              <w:t>、</w:t>
            </w:r>
            <w:r>
              <w:rPr>
                <w:rFonts w:cs="Times New Roman"/>
                <w:color w:val="auto"/>
                <w:kern w:val="24"/>
                <w:sz w:val="24"/>
                <w:szCs w:val="24"/>
              </w:rPr>
              <w:t>办公</w:t>
            </w:r>
            <w:r>
              <w:rPr>
                <w:rFonts w:hint="eastAsia" w:cs="Times New Roman"/>
                <w:color w:val="auto"/>
                <w:kern w:val="24"/>
                <w:sz w:val="24"/>
                <w:szCs w:val="24"/>
                <w:lang w:eastAsia="zh-CN"/>
              </w:rPr>
              <w:t>生活</w:t>
            </w:r>
            <w:r>
              <w:rPr>
                <w:rFonts w:cs="Times New Roman"/>
                <w:color w:val="auto"/>
                <w:kern w:val="24"/>
                <w:sz w:val="24"/>
                <w:szCs w:val="24"/>
              </w:rPr>
              <w:t>区</w:t>
            </w:r>
            <w:r>
              <w:rPr>
                <w:rFonts w:hint="eastAsia" w:cs="Times New Roman"/>
                <w:color w:val="auto"/>
                <w:kern w:val="24"/>
                <w:sz w:val="24"/>
                <w:szCs w:val="24"/>
                <w:lang w:eastAsia="zh-CN"/>
              </w:rPr>
              <w:t>、石材堆场、污水处理区四</w:t>
            </w:r>
            <w:r>
              <w:rPr>
                <w:rFonts w:cs="Times New Roman"/>
                <w:color w:val="auto"/>
                <w:kern w:val="24"/>
                <w:sz w:val="24"/>
                <w:szCs w:val="24"/>
              </w:rPr>
              <w:t>个部分。</w:t>
            </w:r>
            <w:r>
              <w:rPr>
                <w:rFonts w:hint="eastAsia" w:cs="Times New Roman"/>
                <w:color w:val="auto"/>
                <w:kern w:val="24"/>
                <w:sz w:val="24"/>
                <w:szCs w:val="24"/>
                <w:lang w:eastAsia="zh-CN"/>
              </w:rPr>
              <w:t>生产区位于项目南侧钢结构车间内，</w:t>
            </w:r>
            <w:r>
              <w:rPr>
                <w:rFonts w:cs="Times New Roman"/>
                <w:color w:val="auto"/>
                <w:kern w:val="24"/>
                <w:sz w:val="24"/>
                <w:szCs w:val="24"/>
              </w:rPr>
              <w:t>办公</w:t>
            </w:r>
            <w:r>
              <w:rPr>
                <w:rFonts w:hint="eastAsia" w:cs="Times New Roman"/>
                <w:color w:val="auto"/>
                <w:kern w:val="24"/>
                <w:sz w:val="24"/>
                <w:szCs w:val="24"/>
                <w:lang w:eastAsia="zh-CN"/>
              </w:rPr>
              <w:t>生活</w:t>
            </w:r>
            <w:r>
              <w:rPr>
                <w:rFonts w:cs="Times New Roman"/>
                <w:color w:val="auto"/>
                <w:kern w:val="24"/>
                <w:sz w:val="24"/>
                <w:szCs w:val="24"/>
              </w:rPr>
              <w:t>区位于</w:t>
            </w:r>
            <w:r>
              <w:rPr>
                <w:rFonts w:hint="eastAsia" w:cs="Times New Roman"/>
                <w:color w:val="auto"/>
                <w:kern w:val="24"/>
                <w:sz w:val="24"/>
                <w:szCs w:val="24"/>
                <w:lang w:eastAsia="zh-CN"/>
              </w:rPr>
              <w:t>生产车间西侧</w:t>
            </w:r>
            <w:r>
              <w:rPr>
                <w:rFonts w:cs="Times New Roman"/>
                <w:color w:val="auto"/>
                <w:kern w:val="24"/>
                <w:sz w:val="24"/>
                <w:szCs w:val="24"/>
              </w:rPr>
              <w:t>，位于生产区上风向。</w:t>
            </w:r>
            <w:r>
              <w:rPr>
                <w:rFonts w:hint="eastAsia" w:cs="Times New Roman"/>
                <w:color w:val="auto"/>
                <w:kern w:val="24"/>
                <w:sz w:val="24"/>
                <w:szCs w:val="24"/>
                <w:lang w:eastAsia="zh-CN"/>
              </w:rPr>
              <w:t>石材堆场位于生产车间北侧，污水处理区位于生产车间东北侧。</w:t>
            </w:r>
            <w:r>
              <w:rPr>
                <w:rFonts w:cs="Times New Roman"/>
                <w:color w:val="auto"/>
                <w:sz w:val="24"/>
                <w:szCs w:val="24"/>
              </w:rPr>
              <w:t>厂区总平面布局根据管理及生产特点，并考虑环保、生产工艺和厂区排水等方面的要求，采用将功能相近、生产联系紧密的建筑就近分区布局形式。</w:t>
            </w:r>
          </w:p>
          <w:p w14:paraId="4598ABEA">
            <w:pPr>
              <w:keepNext w:val="0"/>
              <w:keepLines w:val="0"/>
              <w:pageBreakBefore w:val="0"/>
              <w:widowControl w:val="0"/>
              <w:kinsoku/>
              <w:wordWrap/>
              <w:overflowPunct/>
              <w:topLinePunct w:val="0"/>
              <w:autoSpaceDE/>
              <w:autoSpaceDN/>
              <w:bidi w:val="0"/>
              <w:adjustRightInd/>
              <w:snapToGrid/>
              <w:spacing w:line="312" w:lineRule="auto"/>
              <w:ind w:firstLine="482" w:firstLineChars="200"/>
              <w:textAlignment w:val="auto"/>
              <w:rPr>
                <w:rFonts w:cs="Times New Roman"/>
                <w:b/>
                <w:bCs/>
                <w:color w:val="auto"/>
                <w:sz w:val="24"/>
                <w:szCs w:val="24"/>
              </w:rPr>
            </w:pPr>
            <w:r>
              <w:rPr>
                <w:rFonts w:cs="Times New Roman"/>
                <w:b/>
                <w:bCs/>
                <w:color w:val="auto"/>
                <w:sz w:val="24"/>
                <w:szCs w:val="24"/>
              </w:rPr>
              <w:t xml:space="preserve">（2）生产布局 </w:t>
            </w:r>
          </w:p>
          <w:p w14:paraId="22A4C2F9">
            <w:pPr>
              <w:keepNext w:val="0"/>
              <w:keepLines w:val="0"/>
              <w:pageBreakBefore w:val="0"/>
              <w:widowControl w:val="0"/>
              <w:kinsoku/>
              <w:wordWrap/>
              <w:overflowPunct/>
              <w:topLinePunct w:val="0"/>
              <w:autoSpaceDE/>
              <w:autoSpaceDN/>
              <w:bidi w:val="0"/>
              <w:adjustRightInd/>
              <w:snapToGrid/>
              <w:spacing w:line="312" w:lineRule="auto"/>
              <w:ind w:firstLine="480" w:firstLineChars="200"/>
              <w:textAlignment w:val="auto"/>
              <w:rPr>
                <w:rFonts w:cs="Times New Roman"/>
                <w:color w:val="auto"/>
                <w:sz w:val="24"/>
                <w:szCs w:val="24"/>
              </w:rPr>
            </w:pPr>
            <w:r>
              <w:rPr>
                <w:rFonts w:cs="Times New Roman"/>
                <w:color w:val="auto"/>
                <w:sz w:val="24"/>
                <w:szCs w:val="24"/>
              </w:rPr>
              <w:t>根据</w:t>
            </w:r>
            <w:r>
              <w:rPr>
                <w:rFonts w:hint="eastAsia" w:cs="Times New Roman"/>
                <w:color w:val="auto"/>
                <w:sz w:val="24"/>
                <w:szCs w:val="24"/>
                <w:lang w:eastAsia="zh-CN"/>
              </w:rPr>
              <w:t>项目</w:t>
            </w:r>
            <w:r>
              <w:rPr>
                <w:rFonts w:cs="Times New Roman"/>
                <w:color w:val="auto"/>
                <w:sz w:val="24"/>
                <w:szCs w:val="24"/>
              </w:rPr>
              <w:t>厂区场地分布状况，</w:t>
            </w:r>
            <w:r>
              <w:rPr>
                <w:rFonts w:hint="eastAsia" w:cs="Times New Roman"/>
                <w:color w:val="auto"/>
                <w:sz w:val="24"/>
                <w:szCs w:val="24"/>
                <w:lang w:eastAsia="zh-CN"/>
              </w:rPr>
              <w:t>生产区北侧为切割区，安装大切机、中切机、小切机；南侧为造型区</w:t>
            </w:r>
            <w:r>
              <w:rPr>
                <w:rFonts w:hint="eastAsia" w:cs="Times New Roman"/>
                <w:color w:val="auto"/>
                <w:sz w:val="24"/>
                <w:szCs w:val="24"/>
                <w:highlight w:val="none"/>
                <w:lang w:eastAsia="zh-CN"/>
              </w:rPr>
              <w:t>，安装</w:t>
            </w:r>
            <w:r>
              <w:rPr>
                <w:rFonts w:cs="Times New Roman"/>
                <w:color w:val="auto"/>
                <w:sz w:val="24"/>
                <w:szCs w:val="24"/>
                <w:highlight w:val="none"/>
              </w:rPr>
              <w:t>雕刻机、喷砂机、抛光机、火烧面机等生产设备。</w:t>
            </w:r>
            <w:r>
              <w:rPr>
                <w:rFonts w:hint="eastAsia" w:cs="Times New Roman"/>
                <w:color w:val="auto"/>
                <w:sz w:val="24"/>
                <w:szCs w:val="24"/>
                <w:highlight w:val="none"/>
                <w:lang w:eastAsia="zh-CN"/>
              </w:rPr>
              <w:t>在厂区东北侧设备</w:t>
            </w:r>
            <w:r>
              <w:rPr>
                <w:rFonts w:cs="Times New Roman"/>
                <w:color w:val="auto"/>
                <w:sz w:val="24"/>
                <w:szCs w:val="24"/>
                <w:highlight w:val="none"/>
              </w:rPr>
              <w:t>1套生产废水处理系统，主要布置</w:t>
            </w:r>
            <w:r>
              <w:rPr>
                <w:rFonts w:hint="eastAsia" w:cs="Times New Roman"/>
                <w:color w:val="auto"/>
                <w:sz w:val="24"/>
                <w:szCs w:val="24"/>
                <w:highlight w:val="none"/>
                <w:lang w:eastAsia="zh-CN"/>
              </w:rPr>
              <w:t>沉砂池、螺旋绞砂机、三</w:t>
            </w:r>
            <w:r>
              <w:rPr>
                <w:rFonts w:cs="Times New Roman"/>
                <w:color w:val="auto"/>
                <w:sz w:val="24"/>
                <w:szCs w:val="24"/>
                <w:highlight w:val="none"/>
              </w:rPr>
              <w:t>级沉淀池、压滤机等，生产废水压滤后的泥饼暂存于压滤机下方的泥饼暂存区内。厂区北侧设置</w:t>
            </w:r>
            <w:r>
              <w:rPr>
                <w:rFonts w:hint="eastAsia" w:cs="Times New Roman"/>
                <w:color w:val="auto"/>
                <w:sz w:val="24"/>
                <w:szCs w:val="24"/>
                <w:highlight w:val="none"/>
                <w:lang w:eastAsia="zh-CN"/>
              </w:rPr>
              <w:t>成品</w:t>
            </w:r>
            <w:r>
              <w:rPr>
                <w:rFonts w:cs="Times New Roman"/>
                <w:color w:val="auto"/>
                <w:sz w:val="24"/>
                <w:szCs w:val="24"/>
                <w:highlight w:val="none"/>
              </w:rPr>
              <w:t>堆场，中部设置</w:t>
            </w:r>
            <w:r>
              <w:rPr>
                <w:rFonts w:hint="eastAsia" w:cs="Times New Roman"/>
                <w:color w:val="auto"/>
                <w:sz w:val="24"/>
                <w:szCs w:val="24"/>
                <w:highlight w:val="none"/>
                <w:lang w:eastAsia="zh-CN"/>
              </w:rPr>
              <w:t>原料</w:t>
            </w:r>
            <w:r>
              <w:rPr>
                <w:rFonts w:cs="Times New Roman"/>
                <w:color w:val="auto"/>
                <w:sz w:val="24"/>
                <w:szCs w:val="24"/>
                <w:highlight w:val="none"/>
              </w:rPr>
              <w:t>堆场。项目各工序之间相互协调连贯，各功能区之间通道方便货物相互装运，布局较为合</w:t>
            </w:r>
            <w:r>
              <w:rPr>
                <w:rFonts w:cs="Times New Roman"/>
                <w:color w:val="auto"/>
                <w:sz w:val="24"/>
                <w:szCs w:val="24"/>
              </w:rPr>
              <w:t>理。</w:t>
            </w:r>
          </w:p>
          <w:p w14:paraId="690CDC68">
            <w:pPr>
              <w:keepNext w:val="0"/>
              <w:keepLines w:val="0"/>
              <w:pageBreakBefore w:val="0"/>
              <w:widowControl w:val="0"/>
              <w:kinsoku/>
              <w:wordWrap/>
              <w:overflowPunct/>
              <w:topLinePunct w:val="0"/>
              <w:autoSpaceDE/>
              <w:autoSpaceDN/>
              <w:bidi w:val="0"/>
              <w:adjustRightInd/>
              <w:snapToGrid/>
              <w:spacing w:line="312" w:lineRule="auto"/>
              <w:ind w:firstLine="482" w:firstLineChars="200"/>
              <w:textAlignment w:val="auto"/>
              <w:rPr>
                <w:rFonts w:cs="Times New Roman"/>
                <w:b/>
                <w:bCs/>
                <w:color w:val="auto"/>
                <w:sz w:val="24"/>
                <w:szCs w:val="24"/>
              </w:rPr>
            </w:pPr>
            <w:r>
              <w:rPr>
                <w:rFonts w:cs="Times New Roman"/>
                <w:b/>
                <w:bCs/>
                <w:color w:val="auto"/>
                <w:sz w:val="24"/>
                <w:szCs w:val="24"/>
              </w:rPr>
              <w:t>（3）环保设施布局</w:t>
            </w:r>
          </w:p>
          <w:p w14:paraId="7258BD8C">
            <w:pPr>
              <w:keepNext w:val="0"/>
              <w:keepLines w:val="0"/>
              <w:pageBreakBefore w:val="0"/>
              <w:widowControl w:val="0"/>
              <w:kinsoku/>
              <w:wordWrap/>
              <w:overflowPunct/>
              <w:topLinePunct w:val="0"/>
              <w:autoSpaceDE/>
              <w:autoSpaceDN/>
              <w:bidi w:val="0"/>
              <w:adjustRightInd/>
              <w:snapToGrid/>
              <w:spacing w:line="312" w:lineRule="auto"/>
              <w:ind w:firstLine="480" w:firstLineChars="200"/>
              <w:textAlignment w:val="auto"/>
              <w:rPr>
                <w:rFonts w:cs="Times New Roman"/>
                <w:color w:val="auto"/>
                <w:sz w:val="24"/>
                <w:szCs w:val="24"/>
                <w:highlight w:val="yellow"/>
              </w:rPr>
            </w:pPr>
            <w:r>
              <w:rPr>
                <w:rFonts w:cs="Times New Roman"/>
                <w:color w:val="auto"/>
                <w:sz w:val="24"/>
                <w:szCs w:val="24"/>
                <w:highlight w:val="none"/>
              </w:rPr>
              <w:t>项目石材加工粉尘经厂房阻隔和湿法作业后无组织排放；运输扬尘经洒水降尘后无组织排放；食堂油烟经自带油烟净化功能的抽油烟机处理后外排。</w:t>
            </w:r>
            <w:r>
              <w:rPr>
                <w:rFonts w:hint="eastAsia" w:cs="Times New Roman"/>
                <w:color w:val="auto"/>
                <w:sz w:val="24"/>
                <w:szCs w:val="24"/>
                <w:highlight w:val="none"/>
                <w:lang w:eastAsia="zh-CN"/>
              </w:rPr>
              <w:t>项目</w:t>
            </w:r>
            <w:r>
              <w:rPr>
                <w:rFonts w:cs="Times New Roman"/>
                <w:color w:val="auto"/>
                <w:sz w:val="24"/>
                <w:szCs w:val="24"/>
                <w:highlight w:val="none"/>
              </w:rPr>
              <w:t>生产废水经螺旋绞砂机对粗砂颗粒分离后，进入</w:t>
            </w:r>
            <w:r>
              <w:rPr>
                <w:rFonts w:hint="eastAsia" w:cs="Times New Roman"/>
                <w:color w:val="auto"/>
                <w:sz w:val="24"/>
                <w:szCs w:val="24"/>
                <w:highlight w:val="none"/>
                <w:lang w:eastAsia="zh-CN"/>
              </w:rPr>
              <w:t>三</w:t>
            </w:r>
            <w:r>
              <w:rPr>
                <w:rFonts w:cs="Times New Roman"/>
                <w:color w:val="auto"/>
                <w:sz w:val="24"/>
                <w:szCs w:val="24"/>
                <w:highlight w:val="none"/>
              </w:rPr>
              <w:t>级沉淀池</w:t>
            </w:r>
            <w:r>
              <w:rPr>
                <w:rFonts w:hint="eastAsia" w:cs="Times New Roman"/>
                <w:color w:val="auto"/>
                <w:sz w:val="24"/>
                <w:szCs w:val="24"/>
                <w:highlight w:val="none"/>
                <w:lang w:eastAsia="zh-CN"/>
              </w:rPr>
              <w:t>沉淀处理，底泥经</w:t>
            </w:r>
            <w:r>
              <w:rPr>
                <w:rFonts w:cs="Times New Roman"/>
                <w:color w:val="auto"/>
                <w:sz w:val="24"/>
                <w:szCs w:val="24"/>
                <w:highlight w:val="none"/>
              </w:rPr>
              <w:t>板框压滤机压</w:t>
            </w:r>
            <w:r>
              <w:rPr>
                <w:rFonts w:hint="eastAsia" w:cs="Times New Roman"/>
                <w:color w:val="auto"/>
                <w:sz w:val="24"/>
                <w:szCs w:val="24"/>
                <w:highlight w:val="none"/>
              </w:rPr>
              <w:t>滤</w:t>
            </w:r>
            <w:r>
              <w:rPr>
                <w:rFonts w:cs="Times New Roman"/>
                <w:color w:val="auto"/>
                <w:sz w:val="24"/>
                <w:szCs w:val="24"/>
                <w:highlight w:val="none"/>
              </w:rPr>
              <w:t>后</w:t>
            </w:r>
            <w:r>
              <w:rPr>
                <w:rFonts w:hint="eastAsia" w:cs="Times New Roman"/>
                <w:color w:val="auto"/>
                <w:sz w:val="24"/>
                <w:szCs w:val="24"/>
                <w:highlight w:val="none"/>
                <w:lang w:eastAsia="zh-CN"/>
              </w:rPr>
              <w:t>，清水</w:t>
            </w:r>
            <w:r>
              <w:rPr>
                <w:rFonts w:cs="Times New Roman"/>
                <w:color w:val="auto"/>
                <w:sz w:val="24"/>
                <w:szCs w:val="24"/>
                <w:highlight w:val="none"/>
              </w:rPr>
              <w:t>全部循环使用，不外排；沉淀池</w:t>
            </w:r>
            <w:r>
              <w:rPr>
                <w:rFonts w:hint="eastAsia" w:cs="Times New Roman"/>
                <w:color w:val="auto"/>
                <w:sz w:val="24"/>
                <w:szCs w:val="24"/>
                <w:highlight w:val="none"/>
                <w:lang w:eastAsia="zh-CN"/>
              </w:rPr>
              <w:t>泥沙</w:t>
            </w:r>
            <w:r>
              <w:rPr>
                <w:rFonts w:cs="Times New Roman"/>
                <w:color w:val="auto"/>
                <w:sz w:val="24"/>
                <w:szCs w:val="24"/>
                <w:highlight w:val="none"/>
              </w:rPr>
              <w:t>经板框压滤机压成泥饼外售；生活污水（食堂废水先经隔油处理）排入半挂车项目</w:t>
            </w:r>
            <w:r>
              <w:rPr>
                <w:rFonts w:hint="eastAsia" w:cs="Times New Roman"/>
                <w:color w:val="auto"/>
                <w:sz w:val="24"/>
                <w:szCs w:val="24"/>
                <w:highlight w:val="none"/>
                <w:lang w:eastAsia="zh-CN"/>
              </w:rPr>
              <w:t>已建的</w:t>
            </w:r>
            <w:r>
              <w:rPr>
                <w:rFonts w:cs="Times New Roman"/>
                <w:color w:val="auto"/>
                <w:sz w:val="24"/>
                <w:szCs w:val="24"/>
                <w:highlight w:val="none"/>
              </w:rPr>
              <w:t>化粪池处理后，</w:t>
            </w:r>
            <w:r>
              <w:rPr>
                <w:rFonts w:hint="default" w:cs="Times New Roman"/>
                <w:color w:val="auto"/>
                <w:sz w:val="24"/>
                <w:szCs w:val="24"/>
                <w:highlight w:val="none"/>
                <w:lang w:val="en-US" w:eastAsia="zh-CN"/>
              </w:rPr>
              <w:t>定期经罐车拉运至东岳镇生活污水处理厂处理达《城镇污水处理厂污染物排放标准》（GB18918-2002）一级 A 标准后通过污水管网排入双龙河，待东岳镇污水处理厂及配套管网建成后，通过市政污水管网排入东岳镇工业园区污水处理厂处理</w:t>
            </w:r>
            <w:r>
              <w:rPr>
                <w:rFonts w:hint="eastAsia" w:cs="Times New Roman"/>
                <w:color w:val="auto"/>
                <w:sz w:val="24"/>
                <w:szCs w:val="24"/>
                <w:highlight w:val="none"/>
                <w:lang w:eastAsia="zh-CN"/>
              </w:rPr>
              <w:t>。</w:t>
            </w:r>
            <w:r>
              <w:rPr>
                <w:rFonts w:cs="Times New Roman"/>
                <w:color w:val="auto"/>
                <w:sz w:val="24"/>
                <w:szCs w:val="24"/>
                <w:highlight w:val="none"/>
              </w:rPr>
              <w:t>生产过程产生的粗砂、泥饼</w:t>
            </w:r>
            <w:r>
              <w:rPr>
                <w:rFonts w:hint="eastAsia" w:cs="Times New Roman"/>
                <w:color w:val="auto"/>
                <w:sz w:val="24"/>
                <w:szCs w:val="24"/>
                <w:highlight w:val="none"/>
              </w:rPr>
              <w:t>、废</w:t>
            </w:r>
            <w:r>
              <w:rPr>
                <w:rFonts w:cs="Times New Roman"/>
                <w:color w:val="auto"/>
                <w:sz w:val="24"/>
                <w:szCs w:val="24"/>
                <w:highlight w:val="none"/>
              </w:rPr>
              <w:t>边角料定期外售。</w:t>
            </w:r>
            <w:r>
              <w:rPr>
                <w:rFonts w:hint="eastAsia" w:cs="Times New Roman"/>
                <w:color w:val="auto"/>
                <w:sz w:val="24"/>
                <w:szCs w:val="24"/>
                <w:highlight w:val="none"/>
                <w:lang w:eastAsia="zh-CN"/>
              </w:rPr>
              <w:t>泥饼暂存场</w:t>
            </w:r>
            <w:r>
              <w:rPr>
                <w:rFonts w:cs="Times New Roman"/>
                <w:color w:val="auto"/>
                <w:sz w:val="24"/>
                <w:szCs w:val="24"/>
                <w:highlight w:val="none"/>
              </w:rPr>
              <w:t>应按要求采取</w:t>
            </w:r>
            <w:r>
              <w:rPr>
                <w:rFonts w:hint="eastAsia" w:cs="Times New Roman"/>
                <w:color w:val="auto"/>
                <w:sz w:val="24"/>
                <w:szCs w:val="24"/>
                <w:highlight w:val="none"/>
                <w:lang w:eastAsia="zh-CN"/>
              </w:rPr>
              <w:t>“</w:t>
            </w:r>
            <w:r>
              <w:rPr>
                <w:rFonts w:cs="Times New Roman"/>
                <w:color w:val="auto"/>
                <w:sz w:val="24"/>
                <w:szCs w:val="24"/>
                <w:highlight w:val="none"/>
              </w:rPr>
              <w:t>三防</w:t>
            </w:r>
            <w:r>
              <w:rPr>
                <w:rFonts w:hint="eastAsia" w:cs="Times New Roman"/>
                <w:color w:val="auto"/>
                <w:sz w:val="24"/>
                <w:szCs w:val="24"/>
                <w:highlight w:val="none"/>
                <w:lang w:eastAsia="zh-CN"/>
              </w:rPr>
              <w:t>”</w:t>
            </w:r>
            <w:r>
              <w:rPr>
                <w:rFonts w:cs="Times New Roman"/>
                <w:color w:val="auto"/>
                <w:sz w:val="24"/>
                <w:szCs w:val="24"/>
                <w:highlight w:val="none"/>
              </w:rPr>
              <w:t>措施，即防渗漏、防雨淋、防扬尘。环评要求在</w:t>
            </w:r>
            <w:r>
              <w:rPr>
                <w:rFonts w:hint="eastAsia" w:cs="Times New Roman"/>
                <w:color w:val="auto"/>
                <w:sz w:val="24"/>
                <w:szCs w:val="24"/>
                <w:highlight w:val="none"/>
                <w:lang w:eastAsia="zh-CN"/>
              </w:rPr>
              <w:t>生产车间西侧</w:t>
            </w:r>
            <w:r>
              <w:rPr>
                <w:rFonts w:cs="Times New Roman"/>
                <w:color w:val="auto"/>
                <w:sz w:val="24"/>
                <w:szCs w:val="24"/>
                <w:highlight w:val="none"/>
              </w:rPr>
              <w:t>新建1间危废暂存间，面积约5m</w:t>
            </w:r>
            <w:r>
              <w:rPr>
                <w:rFonts w:cs="Times New Roman"/>
                <w:color w:val="auto"/>
                <w:sz w:val="24"/>
                <w:szCs w:val="24"/>
                <w:highlight w:val="none"/>
                <w:vertAlign w:val="superscript"/>
              </w:rPr>
              <w:t>2</w:t>
            </w:r>
            <w:r>
              <w:rPr>
                <w:rFonts w:cs="Times New Roman"/>
                <w:color w:val="auto"/>
                <w:sz w:val="24"/>
                <w:szCs w:val="24"/>
                <w:highlight w:val="none"/>
              </w:rPr>
              <w:t>，用于设备维护过程中产生的废机油等危险废物暂存。</w:t>
            </w:r>
          </w:p>
          <w:p w14:paraId="2874F0D5">
            <w:pPr>
              <w:keepNext w:val="0"/>
              <w:keepLines w:val="0"/>
              <w:pageBreakBefore w:val="0"/>
              <w:widowControl w:val="0"/>
              <w:kinsoku/>
              <w:wordWrap/>
              <w:overflowPunct/>
              <w:topLinePunct w:val="0"/>
              <w:autoSpaceDE/>
              <w:autoSpaceDN/>
              <w:bidi w:val="0"/>
              <w:adjustRightInd/>
              <w:snapToGrid/>
              <w:spacing w:line="312" w:lineRule="auto"/>
              <w:ind w:firstLine="480" w:firstLineChars="200"/>
              <w:textAlignment w:val="auto"/>
              <w:rPr>
                <w:rFonts w:cs="Times New Roman"/>
                <w:color w:val="auto"/>
                <w:kern w:val="24"/>
                <w:sz w:val="24"/>
                <w:szCs w:val="24"/>
              </w:rPr>
            </w:pPr>
            <w:r>
              <w:rPr>
                <w:rFonts w:cs="Times New Roman"/>
                <w:color w:val="auto"/>
                <w:sz w:val="24"/>
                <w:szCs w:val="24"/>
              </w:rPr>
              <w:t>综上分析，项目各功能分区明确、间距合理、工艺流程顺畅，场区布局时满足工艺流程，也满足功能分区要求及运输作业要求，环保措施布置合理。因此，评价认为本项目厂区平面布置合理。</w:t>
            </w:r>
            <w:r>
              <w:rPr>
                <w:rFonts w:cs="Times New Roman"/>
                <w:color w:val="auto"/>
                <w:kern w:val="24"/>
                <w:sz w:val="24"/>
                <w:szCs w:val="24"/>
              </w:rPr>
              <w:t>项目总平面布置见附图。</w:t>
            </w:r>
          </w:p>
          <w:p w14:paraId="3928903B">
            <w:pPr>
              <w:keepNext w:val="0"/>
              <w:keepLines w:val="0"/>
              <w:pageBreakBefore w:val="0"/>
              <w:widowControl w:val="0"/>
              <w:kinsoku/>
              <w:wordWrap/>
              <w:overflowPunct/>
              <w:topLinePunct w:val="0"/>
              <w:autoSpaceDE/>
              <w:autoSpaceDN/>
              <w:bidi w:val="0"/>
              <w:adjustRightInd/>
              <w:snapToGrid/>
              <w:spacing w:line="312" w:lineRule="auto"/>
              <w:ind w:firstLine="482" w:firstLineChars="200"/>
              <w:textAlignment w:val="auto"/>
              <w:rPr>
                <w:rFonts w:cs="Times New Roman"/>
                <w:b/>
                <w:bCs/>
                <w:color w:val="auto"/>
                <w:kern w:val="24"/>
                <w:sz w:val="24"/>
                <w:szCs w:val="24"/>
              </w:rPr>
            </w:pPr>
            <w:r>
              <w:rPr>
                <w:rFonts w:cs="Times New Roman"/>
                <w:b/>
                <w:bCs/>
                <w:color w:val="auto"/>
                <w:kern w:val="24"/>
                <w:sz w:val="24"/>
                <w:szCs w:val="24"/>
              </w:rPr>
              <w:t>1</w:t>
            </w:r>
            <w:r>
              <w:rPr>
                <w:rFonts w:hint="eastAsia" w:cs="Times New Roman"/>
                <w:b/>
                <w:bCs/>
                <w:color w:val="auto"/>
                <w:kern w:val="24"/>
                <w:sz w:val="24"/>
                <w:szCs w:val="24"/>
                <w:lang w:val="en-US" w:eastAsia="zh-CN"/>
              </w:rPr>
              <w:t>0</w:t>
            </w:r>
            <w:r>
              <w:rPr>
                <w:rFonts w:cs="Times New Roman"/>
                <w:b/>
                <w:bCs/>
                <w:color w:val="auto"/>
                <w:kern w:val="24"/>
                <w:sz w:val="24"/>
                <w:szCs w:val="24"/>
              </w:rPr>
              <w:t>、</w:t>
            </w:r>
            <w:r>
              <w:rPr>
                <w:rFonts w:hint="eastAsia" w:cs="Times New Roman"/>
                <w:b/>
                <w:bCs/>
                <w:color w:val="auto"/>
                <w:kern w:val="24"/>
                <w:sz w:val="24"/>
                <w:szCs w:val="24"/>
                <w:lang w:eastAsia="zh-CN"/>
              </w:rPr>
              <w:t>依托</w:t>
            </w:r>
            <w:r>
              <w:rPr>
                <w:rFonts w:cs="Times New Roman"/>
                <w:b/>
                <w:bCs/>
                <w:color w:val="auto"/>
                <w:kern w:val="24"/>
                <w:sz w:val="24"/>
                <w:szCs w:val="24"/>
              </w:rPr>
              <w:t>可行性分析</w:t>
            </w:r>
          </w:p>
          <w:p w14:paraId="7B1330F2">
            <w:pPr>
              <w:keepNext w:val="0"/>
              <w:keepLines w:val="0"/>
              <w:pageBreakBefore w:val="0"/>
              <w:widowControl w:val="0"/>
              <w:kinsoku/>
              <w:wordWrap/>
              <w:overflowPunct/>
              <w:topLinePunct w:val="0"/>
              <w:autoSpaceDE/>
              <w:autoSpaceDN/>
              <w:bidi w:val="0"/>
              <w:adjustRightInd/>
              <w:snapToGrid/>
              <w:spacing w:line="312" w:lineRule="auto"/>
              <w:ind w:firstLine="480" w:firstLineChars="200"/>
              <w:textAlignment w:val="auto"/>
              <w:rPr>
                <w:rFonts w:cs="Times New Roman"/>
                <w:color w:val="auto"/>
                <w:kern w:val="24"/>
                <w:sz w:val="24"/>
                <w:szCs w:val="24"/>
              </w:rPr>
            </w:pPr>
            <w:r>
              <w:rPr>
                <w:rFonts w:cs="Times New Roman"/>
                <w:color w:val="auto"/>
                <w:kern w:val="24"/>
                <w:sz w:val="24"/>
                <w:szCs w:val="24"/>
              </w:rPr>
              <w:t>本项目</w:t>
            </w:r>
            <w:r>
              <w:rPr>
                <w:rFonts w:hint="eastAsia" w:cs="Times New Roman"/>
                <w:color w:val="auto"/>
                <w:kern w:val="24"/>
                <w:sz w:val="24"/>
                <w:szCs w:val="24"/>
                <w:lang w:eastAsia="zh-CN"/>
              </w:rPr>
              <w:t>依托</w:t>
            </w:r>
            <w:r>
              <w:rPr>
                <w:rFonts w:cs="Times New Roman"/>
                <w:color w:val="auto"/>
                <w:kern w:val="24"/>
                <w:sz w:val="24"/>
                <w:szCs w:val="24"/>
              </w:rPr>
              <w:t xml:space="preserve">可行性分析见下表：  </w:t>
            </w:r>
          </w:p>
          <w:p w14:paraId="56EBA5FF">
            <w:pPr>
              <w:spacing w:line="360" w:lineRule="auto"/>
              <w:jc w:val="center"/>
              <w:rPr>
                <w:rFonts w:cs="Times New Roman"/>
                <w:b/>
                <w:bCs/>
                <w:color w:val="auto"/>
                <w:kern w:val="24"/>
                <w:sz w:val="24"/>
                <w:szCs w:val="24"/>
              </w:rPr>
            </w:pPr>
            <w:r>
              <w:rPr>
                <w:rFonts w:cs="Times New Roman"/>
                <w:b/>
                <w:bCs/>
                <w:color w:val="auto"/>
                <w:kern w:val="24"/>
                <w:sz w:val="24"/>
                <w:szCs w:val="24"/>
              </w:rPr>
              <w:t>表 2-</w:t>
            </w:r>
            <w:r>
              <w:rPr>
                <w:rFonts w:hint="eastAsia" w:cs="Times New Roman"/>
                <w:b/>
                <w:bCs/>
                <w:color w:val="auto"/>
                <w:kern w:val="24"/>
                <w:sz w:val="24"/>
                <w:szCs w:val="24"/>
                <w:lang w:val="en-US" w:eastAsia="zh-CN"/>
              </w:rPr>
              <w:t>6</w:t>
            </w:r>
            <w:r>
              <w:rPr>
                <w:rFonts w:cs="Times New Roman"/>
                <w:b/>
                <w:bCs/>
                <w:color w:val="auto"/>
                <w:kern w:val="24"/>
                <w:sz w:val="24"/>
                <w:szCs w:val="24"/>
              </w:rPr>
              <w:t xml:space="preserve"> 项目</w:t>
            </w:r>
            <w:r>
              <w:rPr>
                <w:rFonts w:hint="eastAsia" w:cs="Times New Roman"/>
                <w:b/>
                <w:bCs/>
                <w:color w:val="auto"/>
                <w:kern w:val="24"/>
                <w:sz w:val="24"/>
                <w:szCs w:val="24"/>
                <w:lang w:eastAsia="zh-CN"/>
              </w:rPr>
              <w:t>依托</w:t>
            </w:r>
            <w:r>
              <w:rPr>
                <w:rFonts w:cs="Times New Roman"/>
                <w:b/>
                <w:bCs/>
                <w:color w:val="auto"/>
                <w:kern w:val="24"/>
                <w:sz w:val="24"/>
                <w:szCs w:val="24"/>
              </w:rPr>
              <w:t>情况及可行性</w:t>
            </w:r>
          </w:p>
          <w:tbl>
            <w:tblPr>
              <w:tblStyle w:val="25"/>
              <w:tblW w:w="8579"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359"/>
              <w:gridCol w:w="6066"/>
              <w:gridCol w:w="1154"/>
            </w:tblGrid>
            <w:tr w14:paraId="25F3818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7" w:hRule="atLeast"/>
              </w:trPr>
              <w:tc>
                <w:tcPr>
                  <w:tcW w:w="792" w:type="pct"/>
                  <w:tcBorders>
                    <w:tl2br w:val="nil"/>
                    <w:tr2bl w:val="nil"/>
                  </w:tcBorders>
                  <w:shd w:val="clear" w:color="000000" w:themeColor="text1" w:fill="auto"/>
                  <w:vAlign w:val="center"/>
                </w:tcPr>
                <w:p w14:paraId="59CA4C36">
                  <w:pPr>
                    <w:jc w:val="center"/>
                    <w:rPr>
                      <w:rFonts w:cs="Times New Roman"/>
                      <w:b/>
                      <w:bCs/>
                      <w:color w:val="auto"/>
                      <w:szCs w:val="21"/>
                    </w:rPr>
                  </w:pPr>
                  <w:r>
                    <w:rPr>
                      <w:rFonts w:hint="eastAsia" w:cs="Times New Roman"/>
                      <w:b/>
                      <w:bCs/>
                      <w:color w:val="auto"/>
                      <w:szCs w:val="21"/>
                    </w:rPr>
                    <w:t>利旧</w:t>
                  </w:r>
                  <w:r>
                    <w:rPr>
                      <w:rFonts w:cs="Times New Roman"/>
                      <w:b/>
                      <w:bCs/>
                      <w:color w:val="auto"/>
                      <w:szCs w:val="21"/>
                    </w:rPr>
                    <w:t>设施</w:t>
                  </w:r>
                </w:p>
              </w:tc>
              <w:tc>
                <w:tcPr>
                  <w:tcW w:w="3535" w:type="pct"/>
                  <w:tcBorders>
                    <w:tl2br w:val="nil"/>
                    <w:tr2bl w:val="nil"/>
                  </w:tcBorders>
                  <w:shd w:val="clear" w:color="000000" w:themeColor="text1" w:fill="auto"/>
                  <w:vAlign w:val="center"/>
                </w:tcPr>
                <w:p w14:paraId="2C8FE9CD">
                  <w:pPr>
                    <w:jc w:val="center"/>
                    <w:rPr>
                      <w:rFonts w:cs="Times New Roman"/>
                      <w:b/>
                      <w:bCs/>
                      <w:color w:val="auto"/>
                      <w:szCs w:val="21"/>
                    </w:rPr>
                  </w:pPr>
                  <w:r>
                    <w:rPr>
                      <w:rFonts w:hint="eastAsia" w:cs="Times New Roman"/>
                      <w:b/>
                      <w:bCs/>
                      <w:color w:val="auto"/>
                      <w:szCs w:val="21"/>
                    </w:rPr>
                    <w:t>利旧</w:t>
                  </w:r>
                  <w:r>
                    <w:rPr>
                      <w:rFonts w:cs="Times New Roman"/>
                      <w:b/>
                      <w:bCs/>
                      <w:color w:val="auto"/>
                      <w:szCs w:val="21"/>
                    </w:rPr>
                    <w:t>可行性分析</w:t>
                  </w:r>
                </w:p>
              </w:tc>
              <w:tc>
                <w:tcPr>
                  <w:tcW w:w="672" w:type="pct"/>
                  <w:tcBorders>
                    <w:tl2br w:val="nil"/>
                    <w:tr2bl w:val="nil"/>
                  </w:tcBorders>
                  <w:shd w:val="clear" w:color="000000" w:themeColor="text1" w:fill="auto"/>
                  <w:vAlign w:val="center"/>
                </w:tcPr>
                <w:p w14:paraId="2F3F7AEF">
                  <w:pPr>
                    <w:jc w:val="center"/>
                    <w:rPr>
                      <w:rFonts w:cs="Times New Roman"/>
                      <w:b/>
                      <w:bCs/>
                      <w:color w:val="auto"/>
                      <w:szCs w:val="21"/>
                    </w:rPr>
                  </w:pPr>
                  <w:r>
                    <w:rPr>
                      <w:rFonts w:cs="Times New Roman"/>
                      <w:b/>
                      <w:bCs/>
                      <w:color w:val="auto"/>
                      <w:szCs w:val="21"/>
                    </w:rPr>
                    <w:t>可行性</w:t>
                  </w:r>
                </w:p>
                <w:p w14:paraId="392CF700">
                  <w:pPr>
                    <w:jc w:val="center"/>
                    <w:rPr>
                      <w:rFonts w:cs="Times New Roman"/>
                      <w:b/>
                      <w:bCs/>
                      <w:color w:val="auto"/>
                      <w:szCs w:val="21"/>
                    </w:rPr>
                  </w:pPr>
                  <w:r>
                    <w:rPr>
                      <w:rFonts w:cs="Times New Roman"/>
                      <w:b/>
                      <w:bCs/>
                      <w:color w:val="auto"/>
                      <w:szCs w:val="21"/>
                    </w:rPr>
                    <w:t>结论</w:t>
                  </w:r>
                </w:p>
              </w:tc>
            </w:tr>
            <w:tr w14:paraId="4A58AA7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792" w:type="pct"/>
                  <w:tcBorders>
                    <w:tl2br w:val="nil"/>
                    <w:tr2bl w:val="nil"/>
                  </w:tcBorders>
                  <w:vAlign w:val="center"/>
                </w:tcPr>
                <w:p w14:paraId="2E1A821E">
                  <w:pPr>
                    <w:jc w:val="center"/>
                    <w:rPr>
                      <w:rFonts w:cs="Times New Roman"/>
                      <w:color w:val="auto"/>
                      <w:szCs w:val="21"/>
                      <w:highlight w:val="none"/>
                    </w:rPr>
                  </w:pPr>
                  <w:r>
                    <w:rPr>
                      <w:rFonts w:cs="Times New Roman"/>
                      <w:color w:val="auto"/>
                      <w:szCs w:val="21"/>
                      <w:highlight w:val="none"/>
                    </w:rPr>
                    <w:t>供水</w:t>
                  </w:r>
                </w:p>
              </w:tc>
              <w:tc>
                <w:tcPr>
                  <w:tcW w:w="3535" w:type="pct"/>
                  <w:tcBorders>
                    <w:tl2br w:val="nil"/>
                    <w:tr2bl w:val="nil"/>
                  </w:tcBorders>
                  <w:vAlign w:val="center"/>
                </w:tcPr>
                <w:p w14:paraId="78C938C4">
                  <w:pPr>
                    <w:spacing w:line="240" w:lineRule="exact"/>
                    <w:jc w:val="left"/>
                    <w:rPr>
                      <w:rFonts w:cs="Times New Roman"/>
                      <w:color w:val="auto"/>
                      <w:szCs w:val="21"/>
                      <w:highlight w:val="none"/>
                    </w:rPr>
                  </w:pPr>
                  <w:r>
                    <w:rPr>
                      <w:rFonts w:cs="Times New Roman"/>
                      <w:color w:val="auto"/>
                      <w:szCs w:val="21"/>
                      <w:highlight w:val="none"/>
                    </w:rPr>
                    <w:t>项目生产及生活用水均来自当地自来水管网</w:t>
                  </w:r>
                  <w:r>
                    <w:rPr>
                      <w:rFonts w:hint="eastAsia" w:cs="Times New Roman"/>
                      <w:color w:val="auto"/>
                      <w:szCs w:val="21"/>
                      <w:highlight w:val="none"/>
                      <w:lang w:eastAsia="zh-CN"/>
                    </w:rPr>
                    <w:t>，目前半挂车项目已建成配套供水管网，项目只需自行安装室内供水系统即可使用，</w:t>
                  </w:r>
                  <w:r>
                    <w:rPr>
                      <w:rFonts w:cs="Times New Roman"/>
                      <w:color w:val="auto"/>
                      <w:szCs w:val="21"/>
                      <w:highlight w:val="none"/>
                    </w:rPr>
                    <w:t>故</w:t>
                  </w:r>
                  <w:r>
                    <w:rPr>
                      <w:rFonts w:hint="eastAsia" w:cs="Times New Roman"/>
                      <w:color w:val="auto"/>
                      <w:szCs w:val="21"/>
                      <w:highlight w:val="none"/>
                    </w:rPr>
                    <w:t>利旧</w:t>
                  </w:r>
                  <w:r>
                    <w:rPr>
                      <w:rFonts w:cs="Times New Roman"/>
                      <w:color w:val="auto"/>
                      <w:szCs w:val="21"/>
                      <w:highlight w:val="none"/>
                    </w:rPr>
                    <w:t>可行。</w:t>
                  </w:r>
                </w:p>
              </w:tc>
              <w:tc>
                <w:tcPr>
                  <w:tcW w:w="672" w:type="pct"/>
                  <w:tcBorders>
                    <w:tl2br w:val="nil"/>
                    <w:tr2bl w:val="nil"/>
                  </w:tcBorders>
                  <w:vAlign w:val="center"/>
                </w:tcPr>
                <w:p w14:paraId="7EBDCA27">
                  <w:pPr>
                    <w:jc w:val="center"/>
                    <w:rPr>
                      <w:rFonts w:cs="Times New Roman"/>
                      <w:color w:val="auto"/>
                      <w:szCs w:val="21"/>
                    </w:rPr>
                  </w:pPr>
                  <w:r>
                    <w:rPr>
                      <w:rFonts w:cs="Times New Roman"/>
                      <w:color w:val="auto"/>
                      <w:szCs w:val="21"/>
                    </w:rPr>
                    <w:t>可行</w:t>
                  </w:r>
                </w:p>
              </w:tc>
            </w:tr>
            <w:tr w14:paraId="3677F26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7" w:hRule="atLeast"/>
              </w:trPr>
              <w:tc>
                <w:tcPr>
                  <w:tcW w:w="792" w:type="pct"/>
                  <w:tcBorders>
                    <w:tl2br w:val="nil"/>
                    <w:tr2bl w:val="nil"/>
                  </w:tcBorders>
                  <w:vAlign w:val="center"/>
                </w:tcPr>
                <w:p w14:paraId="7F5D993C">
                  <w:pPr>
                    <w:spacing w:line="240" w:lineRule="exact"/>
                    <w:jc w:val="center"/>
                    <w:rPr>
                      <w:rFonts w:cs="Times New Roman"/>
                      <w:color w:val="auto"/>
                      <w:szCs w:val="21"/>
                      <w:highlight w:val="none"/>
                    </w:rPr>
                  </w:pPr>
                  <w:r>
                    <w:rPr>
                      <w:rFonts w:cs="Times New Roman"/>
                      <w:color w:val="auto"/>
                      <w:szCs w:val="21"/>
                      <w:highlight w:val="none"/>
                    </w:rPr>
                    <w:t>原料堆场</w:t>
                  </w:r>
                </w:p>
              </w:tc>
              <w:tc>
                <w:tcPr>
                  <w:tcW w:w="3535" w:type="pct"/>
                  <w:tcBorders>
                    <w:tl2br w:val="nil"/>
                    <w:tr2bl w:val="nil"/>
                  </w:tcBorders>
                  <w:vAlign w:val="center"/>
                </w:tcPr>
                <w:p w14:paraId="26F4EA95">
                  <w:pPr>
                    <w:spacing w:line="240" w:lineRule="exact"/>
                    <w:jc w:val="left"/>
                    <w:rPr>
                      <w:rFonts w:cs="Times New Roman"/>
                      <w:color w:val="auto"/>
                      <w:szCs w:val="21"/>
                      <w:highlight w:val="none"/>
                    </w:rPr>
                  </w:pPr>
                  <w:r>
                    <w:rPr>
                      <w:rFonts w:cs="Times New Roman"/>
                      <w:snapToGrid w:val="0"/>
                      <w:color w:val="auto"/>
                      <w:kern w:val="0"/>
                      <w:szCs w:val="21"/>
                      <w:highlight w:val="none"/>
                    </w:rPr>
                    <w:t>位于</w:t>
                  </w:r>
                  <w:r>
                    <w:rPr>
                      <w:rFonts w:hint="eastAsia" w:cs="Times New Roman"/>
                      <w:color w:val="auto"/>
                      <w:szCs w:val="21"/>
                      <w:highlight w:val="none"/>
                      <w:lang w:eastAsia="zh-CN"/>
                    </w:rPr>
                    <w:t>半挂车项目</w:t>
                  </w:r>
                  <w:r>
                    <w:rPr>
                      <w:rFonts w:hint="eastAsia" w:cs="Times New Roman"/>
                      <w:snapToGrid w:val="0"/>
                      <w:color w:val="auto"/>
                      <w:kern w:val="0"/>
                      <w:szCs w:val="21"/>
                      <w:highlight w:val="none"/>
                      <w:lang w:eastAsia="zh-CN"/>
                    </w:rPr>
                    <w:t>北侧生产车间外空地，</w:t>
                  </w:r>
                  <w:r>
                    <w:rPr>
                      <w:rFonts w:cs="Times New Roman"/>
                      <w:snapToGrid w:val="0"/>
                      <w:color w:val="auto"/>
                      <w:kern w:val="0"/>
                      <w:szCs w:val="21"/>
                      <w:highlight w:val="none"/>
                    </w:rPr>
                    <w:t>占地面积约1000m</w:t>
                  </w:r>
                  <w:r>
                    <w:rPr>
                      <w:rFonts w:cs="Times New Roman"/>
                      <w:snapToGrid w:val="0"/>
                      <w:color w:val="auto"/>
                      <w:kern w:val="0"/>
                      <w:szCs w:val="21"/>
                      <w:highlight w:val="none"/>
                      <w:vertAlign w:val="superscript"/>
                    </w:rPr>
                    <w:t>2</w:t>
                  </w:r>
                  <w:r>
                    <w:rPr>
                      <w:rFonts w:cs="Times New Roman"/>
                      <w:snapToGrid w:val="0"/>
                      <w:color w:val="auto"/>
                      <w:kern w:val="0"/>
                      <w:szCs w:val="21"/>
                      <w:highlight w:val="none"/>
                    </w:rPr>
                    <w:t>，露天布置，地面已进行硬化，用于</w:t>
                  </w:r>
                  <w:r>
                    <w:rPr>
                      <w:rFonts w:hint="eastAsia" w:cs="Times New Roman"/>
                      <w:snapToGrid w:val="0"/>
                      <w:color w:val="auto"/>
                      <w:kern w:val="0"/>
                      <w:szCs w:val="21"/>
                      <w:highlight w:val="none"/>
                      <w:lang w:eastAsia="zh-CN"/>
                    </w:rPr>
                    <w:t>石材</w:t>
                  </w:r>
                  <w:r>
                    <w:rPr>
                      <w:rFonts w:cs="Times New Roman"/>
                      <w:snapToGrid w:val="0"/>
                      <w:color w:val="auto"/>
                      <w:kern w:val="0"/>
                      <w:szCs w:val="21"/>
                      <w:highlight w:val="none"/>
                    </w:rPr>
                    <w:t>原料暂存</w:t>
                  </w:r>
                  <w:r>
                    <w:rPr>
                      <w:rFonts w:hint="eastAsia" w:cs="Times New Roman"/>
                      <w:snapToGrid w:val="0"/>
                      <w:color w:val="auto"/>
                      <w:kern w:val="0"/>
                      <w:szCs w:val="21"/>
                      <w:highlight w:val="none"/>
                      <w:lang w:eastAsia="zh-CN"/>
                    </w:rPr>
                    <w:t>，</w:t>
                  </w:r>
                  <w:r>
                    <w:rPr>
                      <w:rFonts w:hint="eastAsia" w:cs="Times New Roman"/>
                      <w:snapToGrid w:val="0"/>
                      <w:color w:val="auto"/>
                      <w:kern w:val="0"/>
                      <w:szCs w:val="21"/>
                      <w:highlight w:val="none"/>
                    </w:rPr>
                    <w:t>利旧</w:t>
                  </w:r>
                  <w:r>
                    <w:rPr>
                      <w:rFonts w:cs="Times New Roman"/>
                      <w:snapToGrid w:val="0"/>
                      <w:color w:val="auto"/>
                      <w:kern w:val="0"/>
                      <w:szCs w:val="21"/>
                      <w:highlight w:val="none"/>
                    </w:rPr>
                    <w:t>可行。</w:t>
                  </w:r>
                </w:p>
              </w:tc>
              <w:tc>
                <w:tcPr>
                  <w:tcW w:w="672" w:type="pct"/>
                  <w:tcBorders>
                    <w:tl2br w:val="nil"/>
                    <w:tr2bl w:val="nil"/>
                  </w:tcBorders>
                  <w:vAlign w:val="center"/>
                </w:tcPr>
                <w:p w14:paraId="07E98CAE">
                  <w:pPr>
                    <w:jc w:val="center"/>
                    <w:rPr>
                      <w:rFonts w:cs="Times New Roman"/>
                      <w:color w:val="auto"/>
                      <w:szCs w:val="21"/>
                    </w:rPr>
                  </w:pPr>
                  <w:r>
                    <w:rPr>
                      <w:rFonts w:cs="Times New Roman"/>
                      <w:color w:val="auto"/>
                      <w:szCs w:val="21"/>
                    </w:rPr>
                    <w:t>可行</w:t>
                  </w:r>
                </w:p>
              </w:tc>
            </w:tr>
            <w:tr w14:paraId="3AF0377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7" w:hRule="atLeast"/>
              </w:trPr>
              <w:tc>
                <w:tcPr>
                  <w:tcW w:w="792" w:type="pct"/>
                  <w:tcBorders>
                    <w:tl2br w:val="nil"/>
                    <w:tr2bl w:val="nil"/>
                  </w:tcBorders>
                  <w:vAlign w:val="center"/>
                </w:tcPr>
                <w:p w14:paraId="7BC2929B">
                  <w:pPr>
                    <w:spacing w:line="240" w:lineRule="exact"/>
                    <w:jc w:val="center"/>
                    <w:rPr>
                      <w:rFonts w:cs="Times New Roman"/>
                      <w:color w:val="auto"/>
                      <w:szCs w:val="21"/>
                      <w:highlight w:val="none"/>
                    </w:rPr>
                  </w:pPr>
                  <w:r>
                    <w:rPr>
                      <w:rFonts w:cs="Times New Roman"/>
                      <w:color w:val="auto"/>
                      <w:szCs w:val="21"/>
                      <w:highlight w:val="none"/>
                    </w:rPr>
                    <w:t>成品堆场</w:t>
                  </w:r>
                </w:p>
              </w:tc>
              <w:tc>
                <w:tcPr>
                  <w:tcW w:w="3535" w:type="pct"/>
                  <w:tcBorders>
                    <w:tl2br w:val="nil"/>
                    <w:tr2bl w:val="nil"/>
                  </w:tcBorders>
                  <w:vAlign w:val="center"/>
                </w:tcPr>
                <w:p w14:paraId="11CA3DB7">
                  <w:pPr>
                    <w:spacing w:line="240" w:lineRule="exact"/>
                    <w:jc w:val="left"/>
                    <w:rPr>
                      <w:rFonts w:cs="Times New Roman"/>
                      <w:color w:val="auto"/>
                      <w:szCs w:val="21"/>
                      <w:highlight w:val="none"/>
                    </w:rPr>
                  </w:pPr>
                  <w:r>
                    <w:rPr>
                      <w:rFonts w:cs="Times New Roman"/>
                      <w:snapToGrid w:val="0"/>
                      <w:color w:val="auto"/>
                      <w:kern w:val="0"/>
                      <w:szCs w:val="21"/>
                      <w:highlight w:val="none"/>
                    </w:rPr>
                    <w:t>位于</w:t>
                  </w:r>
                  <w:r>
                    <w:rPr>
                      <w:rFonts w:hint="eastAsia" w:cs="Times New Roman"/>
                      <w:color w:val="auto"/>
                      <w:szCs w:val="21"/>
                      <w:highlight w:val="none"/>
                      <w:lang w:eastAsia="zh-CN"/>
                    </w:rPr>
                    <w:t>半挂车项目</w:t>
                  </w:r>
                  <w:r>
                    <w:rPr>
                      <w:rFonts w:hint="eastAsia" w:cs="Times New Roman"/>
                      <w:snapToGrid w:val="0"/>
                      <w:color w:val="auto"/>
                      <w:kern w:val="0"/>
                      <w:szCs w:val="21"/>
                      <w:highlight w:val="none"/>
                      <w:lang w:eastAsia="zh-CN"/>
                    </w:rPr>
                    <w:t>北侧生产车间外空地，</w:t>
                  </w:r>
                  <w:r>
                    <w:rPr>
                      <w:rFonts w:cs="Times New Roman"/>
                      <w:snapToGrid w:val="0"/>
                      <w:color w:val="auto"/>
                      <w:kern w:val="0"/>
                      <w:szCs w:val="21"/>
                      <w:highlight w:val="none"/>
                    </w:rPr>
                    <w:t>占地面积约1000m</w:t>
                  </w:r>
                  <w:r>
                    <w:rPr>
                      <w:rFonts w:cs="Times New Roman"/>
                      <w:snapToGrid w:val="0"/>
                      <w:color w:val="auto"/>
                      <w:kern w:val="0"/>
                      <w:szCs w:val="21"/>
                      <w:highlight w:val="none"/>
                      <w:vertAlign w:val="superscript"/>
                    </w:rPr>
                    <w:t>2</w:t>
                  </w:r>
                  <w:r>
                    <w:rPr>
                      <w:rFonts w:cs="Times New Roman"/>
                      <w:snapToGrid w:val="0"/>
                      <w:color w:val="auto"/>
                      <w:kern w:val="0"/>
                      <w:szCs w:val="21"/>
                      <w:highlight w:val="none"/>
                    </w:rPr>
                    <w:t>，露天布置，地面已进行硬化，用于</w:t>
                  </w:r>
                  <w:r>
                    <w:rPr>
                      <w:rFonts w:hint="eastAsia" w:cs="Times New Roman"/>
                      <w:snapToGrid w:val="0"/>
                      <w:color w:val="auto"/>
                      <w:kern w:val="0"/>
                      <w:szCs w:val="21"/>
                      <w:highlight w:val="none"/>
                      <w:lang w:eastAsia="zh-CN"/>
                    </w:rPr>
                    <w:t>石材成品</w:t>
                  </w:r>
                  <w:r>
                    <w:rPr>
                      <w:rFonts w:cs="Times New Roman"/>
                      <w:snapToGrid w:val="0"/>
                      <w:color w:val="auto"/>
                      <w:kern w:val="0"/>
                      <w:szCs w:val="21"/>
                      <w:highlight w:val="none"/>
                    </w:rPr>
                    <w:t>暂存</w:t>
                  </w:r>
                  <w:r>
                    <w:rPr>
                      <w:rFonts w:hint="eastAsia" w:cs="Times New Roman"/>
                      <w:snapToGrid w:val="0"/>
                      <w:color w:val="auto"/>
                      <w:kern w:val="0"/>
                      <w:szCs w:val="21"/>
                      <w:highlight w:val="none"/>
                      <w:lang w:eastAsia="zh-CN"/>
                    </w:rPr>
                    <w:t>，</w:t>
                  </w:r>
                  <w:r>
                    <w:rPr>
                      <w:rFonts w:hint="eastAsia" w:cs="Times New Roman"/>
                      <w:snapToGrid w:val="0"/>
                      <w:color w:val="auto"/>
                      <w:kern w:val="0"/>
                      <w:szCs w:val="21"/>
                      <w:highlight w:val="none"/>
                    </w:rPr>
                    <w:t>利旧</w:t>
                  </w:r>
                  <w:r>
                    <w:rPr>
                      <w:rFonts w:cs="Times New Roman"/>
                      <w:snapToGrid w:val="0"/>
                      <w:color w:val="auto"/>
                      <w:kern w:val="0"/>
                      <w:szCs w:val="21"/>
                      <w:highlight w:val="none"/>
                    </w:rPr>
                    <w:t>可行。</w:t>
                  </w:r>
                </w:p>
              </w:tc>
              <w:tc>
                <w:tcPr>
                  <w:tcW w:w="672" w:type="pct"/>
                  <w:tcBorders>
                    <w:tl2br w:val="nil"/>
                    <w:tr2bl w:val="nil"/>
                  </w:tcBorders>
                  <w:vAlign w:val="center"/>
                </w:tcPr>
                <w:p w14:paraId="45AE1BD5">
                  <w:pPr>
                    <w:jc w:val="center"/>
                    <w:rPr>
                      <w:rFonts w:cs="Times New Roman"/>
                      <w:color w:val="auto"/>
                      <w:szCs w:val="21"/>
                    </w:rPr>
                  </w:pPr>
                  <w:r>
                    <w:rPr>
                      <w:rFonts w:cs="Times New Roman"/>
                      <w:color w:val="auto"/>
                      <w:szCs w:val="21"/>
                    </w:rPr>
                    <w:t>可行</w:t>
                  </w:r>
                </w:p>
              </w:tc>
            </w:tr>
            <w:tr w14:paraId="2246EF8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93" w:hRule="atLeast"/>
              </w:trPr>
              <w:tc>
                <w:tcPr>
                  <w:tcW w:w="792" w:type="pct"/>
                  <w:tcBorders>
                    <w:tl2br w:val="nil"/>
                    <w:tr2bl w:val="nil"/>
                  </w:tcBorders>
                  <w:vAlign w:val="center"/>
                </w:tcPr>
                <w:p w14:paraId="56F7DB19">
                  <w:pPr>
                    <w:jc w:val="center"/>
                    <w:rPr>
                      <w:rFonts w:hint="eastAsia" w:eastAsia="宋体" w:cs="Times New Roman"/>
                      <w:color w:val="auto"/>
                      <w:szCs w:val="21"/>
                      <w:highlight w:val="none"/>
                      <w:lang w:eastAsia="zh-CN"/>
                    </w:rPr>
                  </w:pPr>
                  <w:r>
                    <w:rPr>
                      <w:rFonts w:hint="eastAsia" w:cs="Times New Roman"/>
                      <w:color w:val="auto"/>
                      <w:szCs w:val="21"/>
                      <w:highlight w:val="none"/>
                      <w:lang w:eastAsia="zh-CN"/>
                    </w:rPr>
                    <w:t>排水</w:t>
                  </w:r>
                </w:p>
              </w:tc>
              <w:tc>
                <w:tcPr>
                  <w:tcW w:w="3535" w:type="pct"/>
                  <w:tcBorders>
                    <w:tl2br w:val="nil"/>
                    <w:tr2bl w:val="nil"/>
                  </w:tcBorders>
                  <w:vAlign w:val="center"/>
                </w:tcPr>
                <w:p w14:paraId="073FD713">
                  <w:pPr>
                    <w:jc w:val="left"/>
                    <w:rPr>
                      <w:rFonts w:cs="Times New Roman"/>
                      <w:color w:val="auto"/>
                      <w:szCs w:val="21"/>
                      <w:highlight w:val="none"/>
                    </w:rPr>
                  </w:pPr>
                  <w:r>
                    <w:rPr>
                      <w:rFonts w:hint="eastAsia" w:cs="Times New Roman"/>
                      <w:color w:val="auto"/>
                      <w:szCs w:val="21"/>
                      <w:highlight w:val="none"/>
                      <w:lang w:eastAsia="zh-CN"/>
                    </w:rPr>
                    <w:t>半挂车项目</w:t>
                  </w:r>
                  <w:r>
                    <w:rPr>
                      <w:rFonts w:cs="Times New Roman"/>
                      <w:color w:val="auto"/>
                      <w:szCs w:val="21"/>
                    </w:rPr>
                    <w:t>生产车间外</w:t>
                  </w:r>
                  <w:r>
                    <w:rPr>
                      <w:rFonts w:hint="eastAsia" w:cs="Times New Roman"/>
                      <w:color w:val="auto"/>
                      <w:szCs w:val="21"/>
                      <w:lang w:eastAsia="zh-CN"/>
                    </w:rPr>
                    <w:t>已建设了规范的</w:t>
                  </w:r>
                  <w:r>
                    <w:rPr>
                      <w:rFonts w:cs="Times New Roman"/>
                      <w:color w:val="auto"/>
                      <w:szCs w:val="21"/>
                    </w:rPr>
                    <w:t>雨水</w:t>
                  </w:r>
                  <w:r>
                    <w:rPr>
                      <w:rFonts w:hint="eastAsia" w:cs="Times New Roman"/>
                      <w:color w:val="auto"/>
                      <w:szCs w:val="21"/>
                      <w:lang w:eastAsia="zh-CN"/>
                    </w:rPr>
                    <w:t>收集沟</w:t>
                  </w:r>
                  <w:r>
                    <w:rPr>
                      <w:rFonts w:cs="Times New Roman"/>
                      <w:color w:val="auto"/>
                      <w:szCs w:val="21"/>
                    </w:rPr>
                    <w:t>，</w:t>
                  </w:r>
                  <w:r>
                    <w:rPr>
                      <w:rFonts w:hint="eastAsia" w:cs="Times New Roman"/>
                      <w:color w:val="auto"/>
                      <w:szCs w:val="21"/>
                      <w:lang w:eastAsia="zh-CN"/>
                    </w:rPr>
                    <w:t>雨水可顺利</w:t>
                  </w:r>
                  <w:r>
                    <w:rPr>
                      <w:rFonts w:cs="Times New Roman"/>
                      <w:color w:val="auto"/>
                      <w:szCs w:val="21"/>
                    </w:rPr>
                    <w:t>排入附近雨水</w:t>
                  </w:r>
                  <w:r>
                    <w:rPr>
                      <w:rFonts w:cs="Times New Roman"/>
                      <w:color w:val="auto"/>
                      <w:szCs w:val="21"/>
                      <w:highlight w:val="none"/>
                    </w:rPr>
                    <w:t>管网。</w:t>
                  </w:r>
                  <w:r>
                    <w:rPr>
                      <w:rFonts w:hint="eastAsia" w:cs="Times New Roman"/>
                      <w:color w:val="auto"/>
                      <w:szCs w:val="21"/>
                      <w:highlight w:val="none"/>
                      <w:lang w:eastAsia="zh-CN"/>
                    </w:rPr>
                    <w:t>在</w:t>
                  </w:r>
                  <w:r>
                    <w:rPr>
                      <w:rFonts w:hint="eastAsia" w:cs="Times New Roman"/>
                      <w:color w:val="auto"/>
                      <w:szCs w:val="21"/>
                      <w:highlight w:val="none"/>
                      <w:lang w:val="en-US" w:eastAsia="zh-CN"/>
                    </w:rPr>
                    <w:t>1号车间</w:t>
                  </w:r>
                  <w:r>
                    <w:rPr>
                      <w:rFonts w:hint="eastAsia" w:cs="Times New Roman"/>
                      <w:color w:val="auto"/>
                      <w:szCs w:val="21"/>
                      <w:highlight w:val="none"/>
                      <w:lang w:eastAsia="zh-CN"/>
                    </w:rPr>
                    <w:t>西北侧已</w:t>
                  </w:r>
                  <w:r>
                    <w:rPr>
                      <w:rFonts w:cs="Times New Roman"/>
                      <w:color w:val="auto"/>
                      <w:szCs w:val="21"/>
                      <w:highlight w:val="none"/>
                    </w:rPr>
                    <w:t>设置有1个化粪池，容积均为</w:t>
                  </w:r>
                  <w:r>
                    <w:rPr>
                      <w:rFonts w:hint="eastAsia" w:cs="Times New Roman"/>
                      <w:color w:val="auto"/>
                      <w:szCs w:val="21"/>
                      <w:highlight w:val="none"/>
                      <w:lang w:val="en-US" w:eastAsia="zh-CN"/>
                    </w:rPr>
                    <w:t>10</w:t>
                  </w:r>
                  <w:r>
                    <w:rPr>
                      <w:rFonts w:cs="Times New Roman"/>
                      <w:color w:val="auto"/>
                      <w:szCs w:val="21"/>
                      <w:highlight w:val="none"/>
                    </w:rPr>
                    <w:t>m</w:t>
                  </w:r>
                  <w:r>
                    <w:rPr>
                      <w:rFonts w:cs="Times New Roman"/>
                      <w:color w:val="auto"/>
                      <w:szCs w:val="21"/>
                      <w:highlight w:val="none"/>
                      <w:vertAlign w:val="superscript"/>
                    </w:rPr>
                    <w:t>3</w:t>
                  </w:r>
                  <w:r>
                    <w:rPr>
                      <w:rFonts w:cs="Times New Roman"/>
                      <w:color w:val="auto"/>
                      <w:szCs w:val="21"/>
                      <w:highlight w:val="none"/>
                    </w:rPr>
                    <w:t>，</w:t>
                  </w:r>
                  <w:r>
                    <w:rPr>
                      <w:rFonts w:hint="eastAsia" w:cs="Times New Roman"/>
                      <w:color w:val="auto"/>
                      <w:szCs w:val="21"/>
                      <w:highlight w:val="none"/>
                      <w:lang w:eastAsia="zh-CN"/>
                    </w:rPr>
                    <w:t>项目产生的污水经已建的污水管道进入化粪池内，</w:t>
                  </w:r>
                  <w:r>
                    <w:rPr>
                      <w:rFonts w:hint="eastAsia" w:cs="Times New Roman"/>
                      <w:color w:val="auto"/>
                      <w:szCs w:val="21"/>
                      <w:highlight w:val="none"/>
                      <w:lang w:val="en-US" w:eastAsia="zh-CN"/>
                    </w:rPr>
                    <w:t>定期经罐车拉运至东岳镇生活污水处理厂处理达《城镇污水处理厂污染物排放标准》（GB18918-2002）一级 A 标准后通过污水管网排入双龙河，待东岳镇污水处理厂及配套管网建成后，通过市政污水管网排入东岳镇工业园区污水处理厂处理</w:t>
                  </w:r>
                  <w:r>
                    <w:rPr>
                      <w:rFonts w:hint="eastAsia" w:cs="Times New Roman"/>
                      <w:color w:val="auto"/>
                      <w:szCs w:val="21"/>
                      <w:highlight w:val="none"/>
                      <w:lang w:eastAsia="zh-CN"/>
                    </w:rPr>
                    <w:t>。该化粪池无其他企业废水进入，项目仅员工生活污水排入该化粪池，产生量仅</w:t>
                  </w:r>
                  <w:r>
                    <w:rPr>
                      <w:rFonts w:hint="eastAsia" w:cs="Times New Roman"/>
                      <w:color w:val="auto"/>
                      <w:szCs w:val="21"/>
                      <w:highlight w:val="none"/>
                      <w:lang w:val="en-US" w:eastAsia="zh-CN"/>
                    </w:rPr>
                    <w:t>1.2</w:t>
                  </w:r>
                  <w:r>
                    <w:rPr>
                      <w:rFonts w:cs="Times New Roman"/>
                      <w:color w:val="auto"/>
                      <w:sz w:val="24"/>
                      <w:szCs w:val="24"/>
                      <w:highlight w:val="none"/>
                    </w:rPr>
                    <w:t>m</w:t>
                  </w:r>
                  <w:r>
                    <w:rPr>
                      <w:rFonts w:cs="Times New Roman"/>
                      <w:color w:val="auto"/>
                      <w:sz w:val="24"/>
                      <w:szCs w:val="24"/>
                      <w:highlight w:val="none"/>
                      <w:vertAlign w:val="superscript"/>
                    </w:rPr>
                    <w:t>3</w:t>
                  </w:r>
                  <w:r>
                    <w:rPr>
                      <w:rFonts w:cs="Times New Roman"/>
                      <w:color w:val="auto"/>
                      <w:sz w:val="24"/>
                      <w:szCs w:val="24"/>
                      <w:highlight w:val="none"/>
                    </w:rPr>
                    <w:t>/d</w:t>
                  </w:r>
                  <w:r>
                    <w:rPr>
                      <w:rFonts w:hint="eastAsia" w:cs="Times New Roman"/>
                      <w:color w:val="auto"/>
                      <w:sz w:val="24"/>
                      <w:szCs w:val="24"/>
                      <w:highlight w:val="none"/>
                      <w:lang w:val="en-US" w:eastAsia="zh-CN"/>
                    </w:rPr>
                    <w:t>，</w:t>
                  </w:r>
                  <w:r>
                    <w:rPr>
                      <w:rFonts w:hint="eastAsia" w:cs="Times New Roman"/>
                      <w:color w:val="auto"/>
                      <w:szCs w:val="21"/>
                      <w:highlight w:val="none"/>
                      <w:lang w:eastAsia="zh-CN"/>
                    </w:rPr>
                    <w:t>故</w:t>
                  </w:r>
                  <w:r>
                    <w:rPr>
                      <w:rFonts w:cs="Times New Roman"/>
                      <w:color w:val="auto"/>
                      <w:szCs w:val="21"/>
                      <w:highlight w:val="none"/>
                    </w:rPr>
                    <w:t>化粪池</w:t>
                  </w:r>
                  <w:r>
                    <w:rPr>
                      <w:rFonts w:hint="eastAsia" w:cs="Times New Roman"/>
                      <w:color w:val="auto"/>
                      <w:szCs w:val="21"/>
                      <w:highlight w:val="none"/>
                      <w:lang w:eastAsia="zh-CN"/>
                    </w:rPr>
                    <w:t>容积满足项目需求，依托</w:t>
                  </w:r>
                  <w:r>
                    <w:rPr>
                      <w:rFonts w:cs="Times New Roman"/>
                      <w:color w:val="auto"/>
                      <w:szCs w:val="21"/>
                      <w:highlight w:val="none"/>
                    </w:rPr>
                    <w:t>可行。</w:t>
                  </w:r>
                </w:p>
              </w:tc>
              <w:tc>
                <w:tcPr>
                  <w:tcW w:w="672" w:type="pct"/>
                  <w:tcBorders>
                    <w:tl2br w:val="nil"/>
                    <w:tr2bl w:val="nil"/>
                  </w:tcBorders>
                  <w:vAlign w:val="center"/>
                </w:tcPr>
                <w:p w14:paraId="2A1D0C22">
                  <w:pPr>
                    <w:jc w:val="center"/>
                    <w:rPr>
                      <w:rFonts w:cs="Times New Roman"/>
                      <w:color w:val="auto"/>
                      <w:szCs w:val="21"/>
                    </w:rPr>
                  </w:pPr>
                  <w:r>
                    <w:rPr>
                      <w:rFonts w:cs="Times New Roman"/>
                      <w:color w:val="auto"/>
                      <w:szCs w:val="21"/>
                    </w:rPr>
                    <w:t>可行</w:t>
                  </w:r>
                </w:p>
              </w:tc>
            </w:tr>
            <w:tr w14:paraId="699E95D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2" w:hRule="atLeast"/>
              </w:trPr>
              <w:tc>
                <w:tcPr>
                  <w:tcW w:w="792" w:type="pct"/>
                  <w:tcBorders>
                    <w:tl2br w:val="nil"/>
                    <w:tr2bl w:val="nil"/>
                  </w:tcBorders>
                  <w:vAlign w:val="center"/>
                </w:tcPr>
                <w:p w14:paraId="24B656F5">
                  <w:pPr>
                    <w:jc w:val="center"/>
                    <w:rPr>
                      <w:rFonts w:hint="eastAsia" w:cs="Times New Roman"/>
                      <w:color w:val="auto"/>
                      <w:szCs w:val="21"/>
                      <w:highlight w:val="none"/>
                      <w:lang w:eastAsia="zh-CN"/>
                    </w:rPr>
                  </w:pPr>
                  <w:r>
                    <w:rPr>
                      <w:rFonts w:hint="eastAsia" w:cs="Times New Roman"/>
                      <w:color w:val="auto"/>
                      <w:szCs w:val="21"/>
                      <w:highlight w:val="none"/>
                      <w:lang w:eastAsia="zh-CN"/>
                    </w:rPr>
                    <w:t>运输道路</w:t>
                  </w:r>
                </w:p>
              </w:tc>
              <w:tc>
                <w:tcPr>
                  <w:tcW w:w="3535" w:type="pct"/>
                  <w:tcBorders>
                    <w:tl2br w:val="nil"/>
                    <w:tr2bl w:val="nil"/>
                  </w:tcBorders>
                  <w:vAlign w:val="center"/>
                </w:tcPr>
                <w:p w14:paraId="59665D57">
                  <w:pPr>
                    <w:jc w:val="left"/>
                    <w:rPr>
                      <w:rFonts w:hint="eastAsia" w:cs="Times New Roman"/>
                      <w:color w:val="auto"/>
                      <w:szCs w:val="21"/>
                      <w:highlight w:val="none"/>
                      <w:lang w:eastAsia="zh-CN"/>
                    </w:rPr>
                  </w:pPr>
                  <w:r>
                    <w:rPr>
                      <w:rFonts w:hint="eastAsia" w:cs="Times New Roman"/>
                      <w:color w:val="auto"/>
                      <w:szCs w:val="21"/>
                      <w:lang w:val="en-US" w:eastAsia="zh-CN"/>
                    </w:rPr>
                    <w:t>半挂车项目厂区内已建好水泥硬化道路，可开展运输作业。</w:t>
                  </w:r>
                </w:p>
              </w:tc>
              <w:tc>
                <w:tcPr>
                  <w:tcW w:w="672" w:type="pct"/>
                  <w:tcBorders>
                    <w:tl2br w:val="nil"/>
                    <w:tr2bl w:val="nil"/>
                  </w:tcBorders>
                  <w:vAlign w:val="center"/>
                </w:tcPr>
                <w:p w14:paraId="002911CA">
                  <w:pPr>
                    <w:jc w:val="center"/>
                    <w:rPr>
                      <w:rFonts w:hint="eastAsia" w:cs="Times New Roman"/>
                      <w:color w:val="auto"/>
                      <w:szCs w:val="21"/>
                      <w:lang w:eastAsia="zh-CN"/>
                    </w:rPr>
                  </w:pPr>
                  <w:r>
                    <w:rPr>
                      <w:rFonts w:cs="Times New Roman"/>
                      <w:color w:val="auto"/>
                      <w:szCs w:val="21"/>
                    </w:rPr>
                    <w:t>可行</w:t>
                  </w:r>
                </w:p>
              </w:tc>
            </w:tr>
          </w:tbl>
          <w:p w14:paraId="2EB9D0F1">
            <w:pPr>
              <w:spacing w:line="360" w:lineRule="auto"/>
              <w:ind w:firstLine="480" w:firstLineChars="200"/>
              <w:rPr>
                <w:rFonts w:cs="Times New Roman"/>
                <w:color w:val="auto"/>
                <w:kern w:val="24"/>
                <w:sz w:val="24"/>
                <w:szCs w:val="24"/>
              </w:rPr>
            </w:pPr>
          </w:p>
        </w:tc>
      </w:tr>
      <w:tr w14:paraId="25229F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736" w:type="dxa"/>
            <w:vAlign w:val="center"/>
          </w:tcPr>
          <w:p w14:paraId="506AAB32">
            <w:pPr>
              <w:jc w:val="center"/>
              <w:rPr>
                <w:rFonts w:cs="Times New Roman"/>
                <w:color w:val="auto"/>
                <w:sz w:val="24"/>
                <w:szCs w:val="24"/>
              </w:rPr>
            </w:pPr>
            <w:r>
              <w:rPr>
                <w:rFonts w:cs="Times New Roman"/>
                <w:color w:val="auto"/>
                <w:sz w:val="24"/>
                <w:szCs w:val="24"/>
              </w:rPr>
              <w:t>工艺流程和产排污环节</w:t>
            </w:r>
          </w:p>
        </w:tc>
        <w:tc>
          <w:tcPr>
            <w:tcW w:w="8834" w:type="dxa"/>
            <w:vAlign w:val="center"/>
          </w:tcPr>
          <w:p w14:paraId="411C92B1">
            <w:pPr>
              <w:spacing w:line="360" w:lineRule="auto"/>
              <w:ind w:firstLine="482" w:firstLineChars="200"/>
              <w:rPr>
                <w:rFonts w:cs="Times New Roman"/>
                <w:b/>
                <w:bCs/>
                <w:color w:val="auto"/>
                <w:sz w:val="24"/>
                <w:szCs w:val="24"/>
              </w:rPr>
            </w:pPr>
            <w:r>
              <w:rPr>
                <w:rFonts w:cs="Times New Roman"/>
                <w:b/>
                <w:bCs/>
                <w:color w:val="auto"/>
                <w:sz w:val="24"/>
                <w:szCs w:val="24"/>
              </w:rPr>
              <w:t>工艺流程及污染工艺流程简述（图示）：</w:t>
            </w:r>
          </w:p>
          <w:p w14:paraId="63FB905A">
            <w:pPr>
              <w:spacing w:line="360" w:lineRule="auto"/>
              <w:ind w:firstLine="482" w:firstLineChars="200"/>
              <w:rPr>
                <w:rFonts w:cs="Times New Roman"/>
                <w:b/>
                <w:bCs/>
                <w:color w:val="auto"/>
                <w:sz w:val="24"/>
                <w:szCs w:val="24"/>
              </w:rPr>
            </w:pPr>
            <w:r>
              <w:rPr>
                <w:rFonts w:cs="Times New Roman"/>
                <w:b/>
                <w:bCs/>
                <w:color w:val="auto"/>
                <w:sz w:val="24"/>
                <w:szCs w:val="24"/>
              </w:rPr>
              <w:t>1、施工期工艺流程和产污环节</w:t>
            </w:r>
          </w:p>
          <w:p w14:paraId="6DE3E68A">
            <w:pPr>
              <w:spacing w:line="360" w:lineRule="auto"/>
              <w:ind w:firstLine="480" w:firstLineChars="200"/>
              <w:rPr>
                <w:rFonts w:cs="Times New Roman"/>
                <w:color w:val="auto"/>
                <w:sz w:val="24"/>
                <w:szCs w:val="24"/>
              </w:rPr>
            </w:pPr>
            <w:r>
              <w:rPr>
                <w:rFonts w:cs="Times New Roman"/>
                <w:color w:val="auto"/>
                <w:sz w:val="24"/>
                <w:szCs w:val="24"/>
              </w:rPr>
              <w:t>本次环评施工期主要为设备安装、</w:t>
            </w:r>
            <w:r>
              <w:rPr>
                <w:rFonts w:hint="eastAsia" w:cs="Times New Roman"/>
                <w:color w:val="auto"/>
                <w:sz w:val="24"/>
                <w:szCs w:val="24"/>
                <w:lang w:eastAsia="zh-CN"/>
              </w:rPr>
              <w:t>修建</w:t>
            </w:r>
            <w:r>
              <w:rPr>
                <w:rFonts w:cs="Times New Roman"/>
                <w:color w:val="auto"/>
                <w:sz w:val="24"/>
                <w:szCs w:val="24"/>
              </w:rPr>
              <w:t>废水处理系统等。施工期不设住宿，</w:t>
            </w:r>
            <w:r>
              <w:rPr>
                <w:rFonts w:hint="eastAsia" w:cs="Times New Roman"/>
                <w:color w:val="auto"/>
                <w:sz w:val="24"/>
                <w:szCs w:val="24"/>
                <w:lang w:eastAsia="zh-CN"/>
              </w:rPr>
              <w:t>项目</w:t>
            </w:r>
            <w:r>
              <w:rPr>
                <w:rFonts w:cs="Times New Roman"/>
                <w:color w:val="auto"/>
                <w:sz w:val="24"/>
                <w:szCs w:val="24"/>
              </w:rPr>
              <w:t>施工建设阶段将产生噪声、扬尘、固体废物、少量污水和废气等污染物，其排放量随工期和施工强度不同而有所变化，施工期工艺流程及产污环节如图2-3所示。</w:t>
            </w:r>
          </w:p>
          <w:p w14:paraId="212D7A75">
            <w:pPr>
              <w:spacing w:line="360" w:lineRule="auto"/>
              <w:jc w:val="center"/>
              <w:rPr>
                <w:rFonts w:cs="Times New Roman"/>
                <w:color w:val="auto"/>
                <w:sz w:val="24"/>
                <w:szCs w:val="24"/>
                <w:highlight w:val="none"/>
              </w:rPr>
            </w:pPr>
            <w:r>
              <w:rPr>
                <w:sz w:val="24"/>
              </w:rPr>
              <mc:AlternateContent>
                <mc:Choice Requires="wps">
                  <w:drawing>
                    <wp:anchor distT="0" distB="0" distL="114300" distR="114300" simplePos="0" relativeHeight="251670528" behindDoc="0" locked="0" layoutInCell="1" allowOverlap="1">
                      <wp:simplePos x="0" y="0"/>
                      <wp:positionH relativeFrom="column">
                        <wp:posOffset>835660</wp:posOffset>
                      </wp:positionH>
                      <wp:positionV relativeFrom="paragraph">
                        <wp:posOffset>1936750</wp:posOffset>
                      </wp:positionV>
                      <wp:extent cx="786765" cy="214630"/>
                      <wp:effectExtent l="0" t="0" r="13335" b="13970"/>
                      <wp:wrapNone/>
                      <wp:docPr id="2" name="矩形 2"/>
                      <wp:cNvGraphicFramePr/>
                      <a:graphic xmlns:a="http://schemas.openxmlformats.org/drawingml/2006/main">
                        <a:graphicData uri="http://schemas.microsoft.com/office/word/2010/wordprocessingShape">
                          <wps:wsp>
                            <wps:cNvSpPr/>
                            <wps:spPr>
                              <a:xfrm>
                                <a:off x="0" y="0"/>
                                <a:ext cx="786765" cy="214630"/>
                              </a:xfrm>
                              <a:prstGeom prst="rect">
                                <a:avLst/>
                              </a:prstGeom>
                              <a:solidFill>
                                <a:schemeClr val="bg1"/>
                              </a:solidFill>
                              <a:ln w="3175">
                                <a:noFill/>
                              </a:ln>
                            </wps:spPr>
                            <wps:style>
                              <a:lnRef idx="2">
                                <a:schemeClr val="accent1">
                                  <a:lumMod val="75000"/>
                                </a:schemeClr>
                              </a:lnRef>
                              <a:fillRef idx="1">
                                <a:schemeClr val="accent1"/>
                              </a:fillRef>
                              <a:effectRef idx="0">
                                <a:srgbClr val="FFFFFF"/>
                              </a:effectRef>
                              <a:fontRef idx="minor">
                                <a:schemeClr val="lt1"/>
                              </a:fontRef>
                            </wps:style>
                            <wps:txbx>
                              <w:txbxContent>
                                <w:p w14:paraId="5DA97CA0">
                                  <w:pPr>
                                    <w:keepNext w:val="0"/>
                                    <w:keepLines w:val="0"/>
                                    <w:pageBreakBefore w:val="0"/>
                                    <w:widowControl w:val="0"/>
                                    <w:kinsoku/>
                                    <w:wordWrap/>
                                    <w:overflowPunct/>
                                    <w:topLinePunct w:val="0"/>
                                    <w:bidi w:val="0"/>
                                    <w:adjustRightInd/>
                                    <w:snapToGrid/>
                                    <w:spacing w:line="240" w:lineRule="exact"/>
                                    <w:jc w:val="center"/>
                                    <w:textAlignment w:val="auto"/>
                                    <w:rPr>
                                      <w:rFonts w:hint="eastAsia" w:eastAsia="宋体"/>
                                      <w:b/>
                                      <w:bCs/>
                                      <w:color w:val="000000" w:themeColor="text1"/>
                                      <w:sz w:val="15"/>
                                      <w:szCs w:val="15"/>
                                      <w:lang w:eastAsia="zh-CN"/>
                                      <w14:textFill>
                                        <w14:solidFill>
                                          <w14:schemeClr w14:val="tx1"/>
                                        </w14:solidFill>
                                      </w14:textFill>
                                    </w:rPr>
                                  </w:pPr>
                                  <w:r>
                                    <w:rPr>
                                      <w:rFonts w:hint="eastAsia"/>
                                      <w:b/>
                                      <w:bCs/>
                                      <w:color w:val="000000" w:themeColor="text1"/>
                                      <w:sz w:val="15"/>
                                      <w:szCs w:val="15"/>
                                      <w:lang w:eastAsia="zh-CN"/>
                                      <w14:textFill>
                                        <w14:solidFill>
                                          <w14:schemeClr w14:val="tx1"/>
                                        </w14:solidFill>
                                      </w14:textFill>
                                    </w:rPr>
                                    <w:t>至指定弃土场</w:t>
                                  </w:r>
                                </w:p>
                              </w:txbxContent>
                            </wps:txbx>
                            <wps:bodyPr rot="0" spcFirstLastPara="0" vertOverflow="overflow" horzOverflow="overflow" vert="horz" wrap="square" lIns="0" tIns="0" rIns="0" bIns="0" numCol="1" spcCol="0" rtlCol="0" fromWordArt="0" anchor="ctr" anchorCtr="0" forceAA="0" compatLnSpc="1">
                              <a:noAutofit/>
                            </wps:bodyPr>
                          </wps:wsp>
                        </a:graphicData>
                      </a:graphic>
                    </wp:anchor>
                  </w:drawing>
                </mc:Choice>
                <mc:Fallback>
                  <w:pict>
                    <v:rect id="_x0000_s1026" o:spid="_x0000_s1026" o:spt="1" style="position:absolute;left:0pt;margin-left:65.8pt;margin-top:152.5pt;height:16.9pt;width:61.95pt;z-index:251670528;v-text-anchor:middle;mso-width-relative:page;mso-height-relative:page;" fillcolor="#FFFFFF [3212]" filled="t" stroked="f" coordsize="21600,21600" o:gfxdata="UEsDBAoAAAAAAIdO4kAAAAAAAAAAAAAAAAAEAAAAZHJzL1BLAwQUAAAACACHTuJAF9SfztgAAAAL&#10;AQAADwAAAGRycy9kb3ducmV2LnhtbE2PzWrDMBCE74W+g9hCb41kGwXjWs4hYOghhTbNoUfFUiwT&#10;/RhJSZy37/bUHmf2Y3am3SzOkquOaQpeQLFiQLQfgpr8KODw1b/UQFKWXkkbvBZw1wk23eNDKxsV&#10;bv5TX/d5JBjiUyMFmJznhtI0GO1kWoVZe7ydQnQyo4wjVVHeMNxZWjK2pk5OHj8YOeut0cN5f3EC&#10;yuG03Nn3h3o3vWU8vu1y2e+EeH4q2CuQrJf8B8NvfawOHXY6hotXiVjUVbFGVEDFOI5CouScAzmi&#10;U9U10K6l/zd0P1BLAwQUAAAACACHTuJAAMb1clsCAACtBAAADgAAAGRycy9lMm9Eb2MueG1srVTB&#10;bhMxEL0j8Q+W73STFNIq6qaKGgUhVbRSQZwdr521ZHvM2Mmm/AwSNz6Cz6n4DcbeTQqFQw/k4Izt&#10;8Xszb2b24nLvLNspjAZ8zccnI86Ul9AYv6n5xw+rV+ecxSR8Iyx4VfN7Ffnl/OWLiy7M1ARasI1C&#10;RiA+zrpQ8zalMKuqKFvlRDyBoDxdakAnEm1xUzUoOkJ3tpqMRtOqA2wCglQx0umyv+QDIj4HELQ2&#10;Ui1Bbp3yqUdFZUWilGJrQuTzEq3WSqYbraNKzNacMk1lJRKy13mt5hditkERWiOHEMRzQniSkxPG&#10;E+kRaimSYFs0f0E5IxEi6HQiwVV9IkURymI8eqLNXSuCKrmQ1DEcRY//D1a+390iM03NJ5x54ajg&#10;P79+f/jxjU2yNl2IM3K5C7c47CKZOdG9Rpf/KQW2L3reH/VU+8QkHZ6dT8+mbziTdDUZv56eFr2r&#10;x8cBY3qrwLFs1BypXEVFsbuOiQjJ9eCSuSJY06yMtWWDm/WVRbYTVNpV+eWI6ckfbtazruan47Mc&#10;h6B+1dQnZLpAOUe/4UzYDQ2CTFioPWQCAuqplyK2PUVBHRisJ6KsTa9GttJ+vR8kWkNzT6Ii9N0W&#10;g1wZyu9axHQrkNqLmo8GMN3Qoi1QeDBYnLWAX/51nv2p6nTLWUftSrF/3gpUnNl3nvoh9/bBwIOx&#10;Phh+666AZBrTaAdZTHqAyR5MjeA+0VwuMgtdCS+Jq1dl2FylfmxosqVaLIob9XAQ6drfBZnBs2ge&#10;FtsE2pTyZWF6NQa9qItLiYaJy2Py+754PX5l5r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F9Sf&#10;ztgAAAALAQAADwAAAAAAAAABACAAAAAiAAAAZHJzL2Rvd25yZXYueG1sUEsBAhQAFAAAAAgAh07i&#10;QADG9XJbAgAArQQAAA4AAAAAAAAAAQAgAAAAJwEAAGRycy9lMm9Eb2MueG1sUEsFBgAAAAAGAAYA&#10;WQEAAPQFAAAAAA==&#10;">
                      <v:fill on="t" focussize="0,0"/>
                      <v:stroke on="f" weight="0.25pt"/>
                      <v:imagedata o:title=""/>
                      <o:lock v:ext="edit" aspectratio="f"/>
                      <v:textbox inset="0mm,0mm,0mm,0mm">
                        <w:txbxContent>
                          <w:p w14:paraId="5DA97CA0">
                            <w:pPr>
                              <w:keepNext w:val="0"/>
                              <w:keepLines w:val="0"/>
                              <w:pageBreakBefore w:val="0"/>
                              <w:widowControl w:val="0"/>
                              <w:kinsoku/>
                              <w:wordWrap/>
                              <w:overflowPunct/>
                              <w:topLinePunct w:val="0"/>
                              <w:bidi w:val="0"/>
                              <w:adjustRightInd/>
                              <w:snapToGrid/>
                              <w:spacing w:line="240" w:lineRule="exact"/>
                              <w:jc w:val="center"/>
                              <w:textAlignment w:val="auto"/>
                              <w:rPr>
                                <w:rFonts w:hint="eastAsia" w:eastAsia="宋体"/>
                                <w:b/>
                                <w:bCs/>
                                <w:color w:val="000000" w:themeColor="text1"/>
                                <w:sz w:val="15"/>
                                <w:szCs w:val="15"/>
                                <w:lang w:eastAsia="zh-CN"/>
                                <w14:textFill>
                                  <w14:solidFill>
                                    <w14:schemeClr w14:val="tx1"/>
                                  </w14:solidFill>
                                </w14:textFill>
                              </w:rPr>
                            </w:pPr>
                            <w:r>
                              <w:rPr>
                                <w:rFonts w:hint="eastAsia"/>
                                <w:b/>
                                <w:bCs/>
                                <w:color w:val="000000" w:themeColor="text1"/>
                                <w:sz w:val="15"/>
                                <w:szCs w:val="15"/>
                                <w:lang w:eastAsia="zh-CN"/>
                                <w14:textFill>
                                  <w14:solidFill>
                                    <w14:schemeClr w14:val="tx1"/>
                                  </w14:solidFill>
                                </w14:textFill>
                              </w:rPr>
                              <w:t>至指定弃土场</w:t>
                            </w:r>
                          </w:p>
                        </w:txbxContent>
                      </v:textbox>
                    </v:rect>
                  </w:pict>
                </mc:Fallback>
              </mc:AlternateContent>
            </w:r>
            <w:r>
              <w:rPr>
                <w:sz w:val="24"/>
              </w:rPr>
              <mc:AlternateContent>
                <mc:Choice Requires="wps">
                  <w:drawing>
                    <wp:anchor distT="0" distB="0" distL="114300" distR="114300" simplePos="0" relativeHeight="251669504" behindDoc="0" locked="0" layoutInCell="1" allowOverlap="1">
                      <wp:simplePos x="0" y="0"/>
                      <wp:positionH relativeFrom="column">
                        <wp:posOffset>787400</wp:posOffset>
                      </wp:positionH>
                      <wp:positionV relativeFrom="paragraph">
                        <wp:posOffset>174625</wp:posOffset>
                      </wp:positionV>
                      <wp:extent cx="635000" cy="214630"/>
                      <wp:effectExtent l="0" t="0" r="12700" b="13970"/>
                      <wp:wrapNone/>
                      <wp:docPr id="17" name="矩形 17"/>
                      <wp:cNvGraphicFramePr/>
                      <a:graphic xmlns:a="http://schemas.openxmlformats.org/drawingml/2006/main">
                        <a:graphicData uri="http://schemas.microsoft.com/office/word/2010/wordprocessingShape">
                          <wps:wsp>
                            <wps:cNvSpPr/>
                            <wps:spPr>
                              <a:xfrm>
                                <a:off x="2281555" y="6423025"/>
                                <a:ext cx="635000" cy="214630"/>
                              </a:xfrm>
                              <a:prstGeom prst="rect">
                                <a:avLst/>
                              </a:prstGeom>
                              <a:solidFill>
                                <a:schemeClr val="bg1"/>
                              </a:solidFill>
                              <a:ln w="3175">
                                <a:noFill/>
                              </a:ln>
                            </wps:spPr>
                            <wps:style>
                              <a:lnRef idx="2">
                                <a:schemeClr val="accent1">
                                  <a:lumMod val="75000"/>
                                </a:schemeClr>
                              </a:lnRef>
                              <a:fillRef idx="1">
                                <a:schemeClr val="accent1"/>
                              </a:fillRef>
                              <a:effectRef idx="0">
                                <a:srgbClr val="FFFFFF"/>
                              </a:effectRef>
                              <a:fontRef idx="minor">
                                <a:schemeClr val="lt1"/>
                              </a:fontRef>
                            </wps:style>
                            <wps:txbx>
                              <w:txbxContent>
                                <w:p w14:paraId="56840126">
                                  <w:pPr>
                                    <w:keepNext w:val="0"/>
                                    <w:keepLines w:val="0"/>
                                    <w:pageBreakBefore w:val="0"/>
                                    <w:widowControl w:val="0"/>
                                    <w:kinsoku/>
                                    <w:wordWrap/>
                                    <w:overflowPunct/>
                                    <w:topLinePunct w:val="0"/>
                                    <w:bidi w:val="0"/>
                                    <w:adjustRightInd/>
                                    <w:snapToGrid/>
                                    <w:spacing w:line="240" w:lineRule="exact"/>
                                    <w:jc w:val="center"/>
                                    <w:textAlignment w:val="auto"/>
                                    <w:rPr>
                                      <w:rFonts w:hint="eastAsia" w:eastAsia="宋体"/>
                                      <w:b/>
                                      <w:bCs/>
                                      <w:color w:val="000000" w:themeColor="text1"/>
                                      <w:sz w:val="15"/>
                                      <w:szCs w:val="15"/>
                                      <w:lang w:eastAsia="zh-CN"/>
                                      <w14:textFill>
                                        <w14:solidFill>
                                          <w14:schemeClr w14:val="tx1"/>
                                        </w14:solidFill>
                                      </w14:textFill>
                                    </w:rPr>
                                  </w:pPr>
                                  <w:r>
                                    <w:rPr>
                                      <w:rFonts w:hint="eastAsia"/>
                                      <w:b/>
                                      <w:bCs/>
                                      <w:color w:val="000000" w:themeColor="text1"/>
                                      <w:sz w:val="15"/>
                                      <w:szCs w:val="15"/>
                                      <w:lang w:eastAsia="zh-CN"/>
                                      <w14:textFill>
                                        <w14:solidFill>
                                          <w14:schemeClr w14:val="tx1"/>
                                        </w14:solidFill>
                                      </w14:textFill>
                                    </w:rPr>
                                    <w:t>污水处理厂</w:t>
                                  </w:r>
                                </w:p>
                              </w:txbxContent>
                            </wps:txbx>
                            <wps:bodyPr rot="0" spcFirstLastPara="0" vertOverflow="overflow" horzOverflow="overflow" vert="horz" wrap="square" lIns="0" tIns="0" rIns="0" bIns="0" numCol="1" spcCol="0" rtlCol="0" fromWordArt="0" anchor="ctr" anchorCtr="0" forceAA="0" compatLnSpc="1">
                              <a:noAutofit/>
                            </wps:bodyPr>
                          </wps:wsp>
                        </a:graphicData>
                      </a:graphic>
                    </wp:anchor>
                  </w:drawing>
                </mc:Choice>
                <mc:Fallback>
                  <w:pict>
                    <v:rect id="_x0000_s1026" o:spid="_x0000_s1026" o:spt="1" style="position:absolute;left:0pt;margin-left:62pt;margin-top:13.75pt;height:16.9pt;width:50pt;z-index:251669504;v-text-anchor:middle;mso-width-relative:page;mso-height-relative:page;" fillcolor="#FFFFFF [3212]" filled="t" stroked="f" coordsize="21600,21600" o:gfxdata="UEsDBAoAAAAAAIdO4kAAAAAAAAAAAAAAAAAEAAAAZHJzL1BLAwQUAAAACACHTuJAaThbxdYAAAAJ&#10;AQAADwAAAGRycy9kb3ducmV2LnhtbE2PzU7DMBCE70i8g7VI3KgdQwsKcXpAisShSFA4cHTjbRzh&#10;n8h22/TtWbjAcWZH384069k7dsSUxxgUVAsBDEMfzRgGBR/v3c0DsFx0MNrFgArOmGHdXl40ujbx&#10;FN7wuC0DI0jItVZgS5lqznNv0eu8iBMGuu1j8rqQTAM3SZ8I7h2XQqy412OgD1ZP+GSx/9oevALZ&#10;7+ez+Hw1L7ZzYpmeN0V2G6WuryrxCKzgXP7C8FOfqkNLnXbxEExmjrS8oy2FYPdLYBSQv8ZOwaq6&#10;Bd42/P+C9htQSwMEFAAAAAgAh07iQKk71YdqAgAAuwQAAA4AAABkcnMvZTJvRG9jLnhtbK1US27b&#10;MBTcF+gdCO5ryXLsBEbkwIjhokDQBHCLrmmKsgTwV5K2nF6mQHc9RI8T9BodUnLSpl1kUS/oR/Fp&#10;5r3hPF1eHZUkB+F8a3RJx6OcEqG5qVq9K+nHD+s3F5T4wHTFpNGipPfC06vF61eXnZ2LwjRGVsIR&#10;gGg/72xJmxDsPMs8b4RifmSs0DisjVMsYOt2WeVYB3QlsyLPZ1lnXGWd4cJ7PF31h3RAdC8BNHXd&#10;crEyfK+EDj2qE5IFtOSb1nq6SNXWteDhtq69CESWFJ2GtIIE8Tau2eKSzXeO2ablQwnsJSU860mx&#10;VoP0EWrFAiN71/4FpVrujDd1GHGjsr6RpAi6GOfPtNk0zIrUC6T29lF0//9g+fvDnSNtBSecU6KZ&#10;wo3//Pr94cc3ggdQp7N+jqSNvXPDziOMrR5rp+I/miDHkhbFxXg6nVJyX9LZWTHJi2mvrjgGwpEw&#10;m0zzHLpzJBTjs9kkqZ89AVnnw1thFIlBSR0uL2nKDjc+gBypp5TI641sq3UrZdq43fZaOnJguOh1&#10;+kV2vPJHmtSkK+lkfI46OYN7a7gGobJQwOsdJUzuMBY8uEStTSQAUE+9Yr7pKRLqwCA1iKJOvTIx&#10;CsftcZBra6p7SOxM7z1v+bpFfzfMhzvmYDZIgnEMt1hqaVCeGSJKGuO+/Ot5zIcHcEpJB/Oi9s97&#10;5gQl8p2GO6LTT4E7BdtToPfq2kCmMQbd8hTiBRfkKaydUZ8wpcvIgiOmObh6VYbNdeiHCHPOxXKZ&#10;0uBoy8KN3lgewaNo2iz3wdRtur4oTK/GoBc8na5omL84NL/vU9bTN2fxC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Gk4W8XWAAAACQEAAA8AAAAAAAAAAQAgAAAAIgAAAGRycy9kb3ducmV2LnhtbFBL&#10;AQIUABQAAAAIAIdO4kCpO9WHagIAALsEAAAOAAAAAAAAAAEAIAAAACUBAABkcnMvZTJvRG9jLnht&#10;bFBLBQYAAAAABgAGAFkBAAABBgAAAAA=&#10;">
                      <v:fill on="t" focussize="0,0"/>
                      <v:stroke on="f" weight="0.25pt"/>
                      <v:imagedata o:title=""/>
                      <o:lock v:ext="edit" aspectratio="f"/>
                      <v:textbox inset="0mm,0mm,0mm,0mm">
                        <w:txbxContent>
                          <w:p w14:paraId="56840126">
                            <w:pPr>
                              <w:keepNext w:val="0"/>
                              <w:keepLines w:val="0"/>
                              <w:pageBreakBefore w:val="0"/>
                              <w:widowControl w:val="0"/>
                              <w:kinsoku/>
                              <w:wordWrap/>
                              <w:overflowPunct/>
                              <w:topLinePunct w:val="0"/>
                              <w:bidi w:val="0"/>
                              <w:adjustRightInd/>
                              <w:snapToGrid/>
                              <w:spacing w:line="240" w:lineRule="exact"/>
                              <w:jc w:val="center"/>
                              <w:textAlignment w:val="auto"/>
                              <w:rPr>
                                <w:rFonts w:hint="eastAsia" w:eastAsia="宋体"/>
                                <w:b/>
                                <w:bCs/>
                                <w:color w:val="000000" w:themeColor="text1"/>
                                <w:sz w:val="15"/>
                                <w:szCs w:val="15"/>
                                <w:lang w:eastAsia="zh-CN"/>
                                <w14:textFill>
                                  <w14:solidFill>
                                    <w14:schemeClr w14:val="tx1"/>
                                  </w14:solidFill>
                                </w14:textFill>
                              </w:rPr>
                            </w:pPr>
                            <w:r>
                              <w:rPr>
                                <w:rFonts w:hint="eastAsia"/>
                                <w:b/>
                                <w:bCs/>
                                <w:color w:val="000000" w:themeColor="text1"/>
                                <w:sz w:val="15"/>
                                <w:szCs w:val="15"/>
                                <w:lang w:eastAsia="zh-CN"/>
                                <w14:textFill>
                                  <w14:solidFill>
                                    <w14:schemeClr w14:val="tx1"/>
                                  </w14:solidFill>
                                </w14:textFill>
                              </w:rPr>
                              <w:t>污水处理厂</w:t>
                            </w:r>
                          </w:p>
                        </w:txbxContent>
                      </v:textbox>
                    </v:rect>
                  </w:pict>
                </mc:Fallback>
              </mc:AlternateContent>
            </w:r>
            <w:r>
              <w:rPr>
                <w:rFonts w:cs="Times New Roman"/>
                <w:color w:val="auto"/>
                <w:sz w:val="24"/>
                <w:szCs w:val="24"/>
                <w:highlight w:val="none"/>
              </w:rPr>
              <w:object>
                <v:shape id="_x0000_i1025" o:spt="75" type="#_x0000_t75" style="height:170.55pt;width:279.35pt;" o:ole="t" filled="f" o:preferrelative="t" stroked="f" coordsize="21600,21600">
                  <v:path/>
                  <v:fill on="f" focussize="0,0"/>
                  <v:stroke on="f"/>
                  <v:imagedata r:id="rId14" o:title=""/>
                  <o:lock v:ext="edit" aspectratio="t"/>
                  <w10:wrap type="none"/>
                  <w10:anchorlock/>
                </v:shape>
                <o:OLEObject Type="Embed" ProgID="Visio.Drawing.15" ShapeID="_x0000_i1025" DrawAspect="Content" ObjectID="_1468075725" r:id="rId13">
                  <o:LockedField>false</o:LockedField>
                </o:OLEObject>
              </w:object>
            </w:r>
          </w:p>
          <w:p w14:paraId="6B086032">
            <w:pPr>
              <w:spacing w:line="360" w:lineRule="auto"/>
              <w:jc w:val="center"/>
              <w:rPr>
                <w:rFonts w:cs="Times New Roman"/>
                <w:color w:val="auto"/>
                <w:kern w:val="24"/>
                <w:sz w:val="24"/>
                <w:szCs w:val="24"/>
              </w:rPr>
            </w:pPr>
            <w:r>
              <w:rPr>
                <w:rFonts w:cs="Times New Roman"/>
                <w:b/>
                <w:bCs/>
                <w:color w:val="auto"/>
                <w:sz w:val="24"/>
                <w:szCs w:val="24"/>
                <w:highlight w:val="none"/>
              </w:rPr>
              <w:t>图2-2  施工期工艺流程及产污环节图</w:t>
            </w:r>
          </w:p>
        </w:tc>
      </w:tr>
      <w:tr w14:paraId="0F1922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3" w:hRule="atLeast"/>
          <w:jc w:val="center"/>
        </w:trPr>
        <w:tc>
          <w:tcPr>
            <w:tcW w:w="736" w:type="dxa"/>
            <w:vAlign w:val="center"/>
          </w:tcPr>
          <w:p w14:paraId="5839097D">
            <w:pPr>
              <w:jc w:val="center"/>
              <w:rPr>
                <w:rFonts w:cs="Times New Roman"/>
                <w:color w:val="auto"/>
                <w:sz w:val="24"/>
                <w:szCs w:val="24"/>
              </w:rPr>
            </w:pPr>
            <w:r>
              <w:rPr>
                <w:rFonts w:cs="Times New Roman"/>
                <w:color w:val="auto"/>
                <w:sz w:val="24"/>
                <w:szCs w:val="24"/>
              </w:rPr>
              <w:t>工艺流程和产排污环节</w:t>
            </w:r>
          </w:p>
        </w:tc>
        <w:tc>
          <w:tcPr>
            <w:tcW w:w="8834" w:type="dxa"/>
            <w:vAlign w:val="center"/>
          </w:tcPr>
          <w:p w14:paraId="0754CF74">
            <w:pPr>
              <w:spacing w:line="360" w:lineRule="auto"/>
              <w:ind w:firstLine="482" w:firstLineChars="200"/>
              <w:rPr>
                <w:rFonts w:cs="Times New Roman"/>
                <w:b/>
                <w:bCs/>
                <w:color w:val="auto"/>
                <w:sz w:val="24"/>
                <w:szCs w:val="24"/>
              </w:rPr>
            </w:pPr>
            <w:r>
              <w:rPr>
                <w:rFonts w:cs="Times New Roman"/>
                <w:b/>
                <w:bCs/>
                <w:color w:val="auto"/>
                <w:sz w:val="24"/>
                <w:szCs w:val="24"/>
              </w:rPr>
              <w:t>主要工序简述：</w:t>
            </w:r>
          </w:p>
          <w:p w14:paraId="25D6CDE8">
            <w:pPr>
              <w:spacing w:line="360" w:lineRule="auto"/>
              <w:ind w:firstLine="480" w:firstLineChars="200"/>
              <w:rPr>
                <w:rFonts w:cs="Times New Roman"/>
                <w:color w:val="auto"/>
                <w:sz w:val="24"/>
                <w:szCs w:val="24"/>
              </w:rPr>
            </w:pPr>
            <w:r>
              <w:rPr>
                <w:rFonts w:cs="Times New Roman"/>
                <w:color w:val="auto"/>
                <w:sz w:val="24"/>
                <w:szCs w:val="24"/>
              </w:rPr>
              <w:t>①基础工程</w:t>
            </w:r>
          </w:p>
          <w:p w14:paraId="0C3C933B">
            <w:pPr>
              <w:spacing w:line="360" w:lineRule="auto"/>
              <w:ind w:firstLine="480" w:firstLineChars="200"/>
              <w:rPr>
                <w:rFonts w:cs="Times New Roman"/>
                <w:color w:val="auto"/>
                <w:sz w:val="24"/>
                <w:szCs w:val="24"/>
              </w:rPr>
            </w:pPr>
            <w:r>
              <w:rPr>
                <w:rFonts w:cs="Times New Roman"/>
                <w:color w:val="auto"/>
                <w:sz w:val="24"/>
                <w:szCs w:val="24"/>
              </w:rPr>
              <w:t>主体工程主要为各类沉淀池体地基开挖，项目施工方式采用机械和人工相结合，适当配置工程技术和管理人员，挖掘机、汽车等施工过程中施工扬尘、生活污水、施工噪声、生活垃圾、建筑垃圾等。</w:t>
            </w:r>
          </w:p>
          <w:p w14:paraId="3573ECAA">
            <w:pPr>
              <w:spacing w:line="360" w:lineRule="auto"/>
              <w:ind w:firstLine="480" w:firstLineChars="200"/>
              <w:rPr>
                <w:rFonts w:cs="Times New Roman"/>
                <w:color w:val="auto"/>
                <w:sz w:val="24"/>
                <w:szCs w:val="24"/>
              </w:rPr>
            </w:pPr>
            <w:r>
              <w:rPr>
                <w:rFonts w:cs="Times New Roman"/>
                <w:color w:val="auto"/>
                <w:sz w:val="24"/>
                <w:szCs w:val="24"/>
              </w:rPr>
              <w:t>②主体工程</w:t>
            </w:r>
          </w:p>
          <w:p w14:paraId="3410EC0D">
            <w:pPr>
              <w:spacing w:line="360" w:lineRule="auto"/>
              <w:ind w:firstLine="480" w:firstLineChars="200"/>
              <w:rPr>
                <w:rFonts w:cs="Times New Roman"/>
                <w:color w:val="auto"/>
                <w:sz w:val="24"/>
                <w:szCs w:val="24"/>
              </w:rPr>
            </w:pPr>
            <w:r>
              <w:rPr>
                <w:rFonts w:cs="Times New Roman"/>
                <w:color w:val="auto"/>
                <w:sz w:val="24"/>
                <w:szCs w:val="24"/>
              </w:rPr>
              <w:t>主要为污水处理区</w:t>
            </w:r>
            <w:r>
              <w:rPr>
                <w:rFonts w:hint="eastAsia" w:cs="Times New Roman"/>
                <w:color w:val="auto"/>
                <w:sz w:val="24"/>
                <w:szCs w:val="24"/>
                <w:lang w:eastAsia="zh-CN"/>
              </w:rPr>
              <w:t>和</w:t>
            </w:r>
            <w:r>
              <w:rPr>
                <w:rFonts w:cs="Times New Roman"/>
                <w:color w:val="auto"/>
                <w:sz w:val="24"/>
                <w:szCs w:val="24"/>
              </w:rPr>
              <w:t>沟渠的修建，施工时会产生噪声，同时产生扬尘。此外，还有一些原材料废弃料以及生产和生活污水产生。</w:t>
            </w:r>
          </w:p>
          <w:p w14:paraId="05BBA5AA">
            <w:pPr>
              <w:spacing w:line="360" w:lineRule="auto"/>
              <w:ind w:firstLine="480" w:firstLineChars="200"/>
              <w:rPr>
                <w:rFonts w:cs="Times New Roman"/>
                <w:color w:val="auto"/>
                <w:sz w:val="24"/>
                <w:szCs w:val="24"/>
              </w:rPr>
            </w:pPr>
            <w:r>
              <w:rPr>
                <w:rFonts w:cs="Times New Roman"/>
                <w:color w:val="auto"/>
                <w:sz w:val="24"/>
                <w:szCs w:val="24"/>
              </w:rPr>
              <w:t>③设备安装</w:t>
            </w:r>
          </w:p>
          <w:p w14:paraId="2846EE9F">
            <w:pPr>
              <w:spacing w:line="360" w:lineRule="auto"/>
              <w:ind w:firstLine="480" w:firstLineChars="200"/>
              <w:rPr>
                <w:rFonts w:cs="Times New Roman"/>
                <w:color w:val="auto"/>
                <w:sz w:val="24"/>
                <w:szCs w:val="24"/>
              </w:rPr>
            </w:pPr>
            <w:r>
              <w:rPr>
                <w:rFonts w:cs="Times New Roman"/>
                <w:color w:val="auto"/>
                <w:sz w:val="24"/>
                <w:szCs w:val="24"/>
              </w:rPr>
              <w:t>主要包括车间生产设备以及配套环保设施设备安装。</w:t>
            </w:r>
          </w:p>
          <w:p w14:paraId="59555F9A">
            <w:pPr>
              <w:spacing w:line="360" w:lineRule="auto"/>
              <w:ind w:firstLine="482" w:firstLineChars="200"/>
              <w:rPr>
                <w:rFonts w:cs="Times New Roman"/>
                <w:b/>
                <w:bCs/>
                <w:color w:val="auto"/>
                <w:sz w:val="24"/>
                <w:szCs w:val="24"/>
              </w:rPr>
            </w:pPr>
            <w:r>
              <w:rPr>
                <w:rFonts w:cs="Times New Roman"/>
                <w:b/>
                <w:bCs/>
                <w:color w:val="auto"/>
                <w:sz w:val="24"/>
                <w:szCs w:val="24"/>
              </w:rPr>
              <w:t>2、运营期工艺流程和产污环节</w:t>
            </w:r>
          </w:p>
          <w:p w14:paraId="73FBA06D">
            <w:pPr>
              <w:spacing w:line="360" w:lineRule="auto"/>
              <w:ind w:firstLine="480" w:firstLineChars="200"/>
              <w:rPr>
                <w:rFonts w:cs="Times New Roman"/>
                <w:color w:val="auto"/>
                <w:sz w:val="24"/>
                <w:szCs w:val="24"/>
              </w:rPr>
            </w:pPr>
            <w:r>
              <w:rPr>
                <w:rFonts w:cs="Times New Roman"/>
                <w:color w:val="auto"/>
                <w:sz w:val="24"/>
                <w:szCs w:val="24"/>
              </w:rPr>
              <w:t>项目工艺流程及产污环节见图2-3。</w:t>
            </w:r>
          </w:p>
          <w:p w14:paraId="4BD795A5">
            <w:pPr>
              <w:spacing w:line="360" w:lineRule="auto"/>
              <w:jc w:val="center"/>
              <w:rPr>
                <w:rFonts w:cs="Times New Roman"/>
                <w:color w:val="auto"/>
                <w:sz w:val="24"/>
                <w:szCs w:val="24"/>
                <w:highlight w:val="none"/>
              </w:rPr>
            </w:pPr>
            <w:r>
              <w:rPr>
                <w:highlight w:val="none"/>
              </w:rPr>
              <w:drawing>
                <wp:inline distT="0" distB="0" distL="114300" distR="114300">
                  <wp:extent cx="5464810" cy="4573270"/>
                  <wp:effectExtent l="0" t="0" r="2540" b="17780"/>
                  <wp:docPr id="1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7"/>
                          <pic:cNvPicPr>
                            <a:picLocks noChangeAspect="1"/>
                          </pic:cNvPicPr>
                        </pic:nvPicPr>
                        <pic:blipFill>
                          <a:blip r:embed="rId15"/>
                          <a:stretch>
                            <a:fillRect/>
                          </a:stretch>
                        </pic:blipFill>
                        <pic:spPr>
                          <a:xfrm>
                            <a:off x="0" y="0"/>
                            <a:ext cx="5464810" cy="4573270"/>
                          </a:xfrm>
                          <a:prstGeom prst="rect">
                            <a:avLst/>
                          </a:prstGeom>
                          <a:noFill/>
                          <a:ln>
                            <a:noFill/>
                          </a:ln>
                        </pic:spPr>
                      </pic:pic>
                    </a:graphicData>
                  </a:graphic>
                </wp:inline>
              </w:drawing>
            </w:r>
          </w:p>
          <w:p w14:paraId="090528EE">
            <w:pPr>
              <w:spacing w:line="360" w:lineRule="auto"/>
              <w:jc w:val="center"/>
              <w:rPr>
                <w:rFonts w:cs="Times New Roman"/>
                <w:b/>
                <w:bCs/>
                <w:color w:val="auto"/>
                <w:sz w:val="24"/>
                <w:szCs w:val="24"/>
                <w:highlight w:val="none"/>
              </w:rPr>
            </w:pPr>
            <w:r>
              <w:rPr>
                <w:rFonts w:cs="Times New Roman"/>
                <w:b/>
                <w:bCs/>
                <w:color w:val="auto"/>
                <w:sz w:val="24"/>
                <w:szCs w:val="24"/>
                <w:highlight w:val="none"/>
              </w:rPr>
              <w:t>图2-3  本项目生产工艺流程及产污环节图</w:t>
            </w:r>
          </w:p>
          <w:p w14:paraId="74145071">
            <w:pPr>
              <w:spacing w:line="360" w:lineRule="auto"/>
              <w:ind w:firstLine="482" w:firstLineChars="200"/>
              <w:rPr>
                <w:rFonts w:cs="Times New Roman"/>
                <w:b/>
                <w:bCs/>
                <w:color w:val="auto"/>
                <w:sz w:val="24"/>
                <w:szCs w:val="24"/>
              </w:rPr>
            </w:pPr>
          </w:p>
          <w:p w14:paraId="40CF6B62">
            <w:pPr>
              <w:spacing w:line="360" w:lineRule="auto"/>
              <w:ind w:firstLine="482" w:firstLineChars="200"/>
              <w:rPr>
                <w:rFonts w:cs="Times New Roman"/>
                <w:b/>
                <w:bCs/>
                <w:color w:val="auto"/>
                <w:sz w:val="24"/>
                <w:szCs w:val="24"/>
              </w:rPr>
            </w:pPr>
            <w:r>
              <w:rPr>
                <w:rFonts w:cs="Times New Roman"/>
                <w:b/>
                <w:bCs/>
                <w:color w:val="auto"/>
                <w:sz w:val="24"/>
                <w:szCs w:val="24"/>
              </w:rPr>
              <w:t>工艺流程简述：</w:t>
            </w:r>
          </w:p>
          <w:p w14:paraId="6C4A59F8">
            <w:pPr>
              <w:spacing w:line="360" w:lineRule="auto"/>
              <w:ind w:firstLine="482" w:firstLineChars="200"/>
              <w:rPr>
                <w:rFonts w:cs="Times New Roman"/>
                <w:color w:val="auto"/>
                <w:sz w:val="24"/>
                <w:szCs w:val="24"/>
                <w:highlight w:val="yellow"/>
              </w:rPr>
            </w:pPr>
            <w:r>
              <w:rPr>
                <w:rFonts w:cs="Times New Roman"/>
                <w:b/>
                <w:bCs/>
                <w:color w:val="auto"/>
                <w:sz w:val="24"/>
                <w:szCs w:val="24"/>
              </w:rPr>
              <w:t>原料：</w:t>
            </w:r>
            <w:r>
              <w:rPr>
                <w:rFonts w:cs="Times New Roman"/>
                <w:color w:val="auto"/>
                <w:sz w:val="24"/>
                <w:szCs w:val="24"/>
              </w:rPr>
              <w:t>项目不涉及矿山开采，原料为外购青石毛料等石</w:t>
            </w:r>
            <w:r>
              <w:rPr>
                <w:rFonts w:hint="eastAsia" w:cs="Times New Roman"/>
                <w:color w:val="auto"/>
                <w:sz w:val="24"/>
                <w:szCs w:val="24"/>
              </w:rPr>
              <w:t>材原</w:t>
            </w:r>
            <w:r>
              <w:rPr>
                <w:rFonts w:cs="Times New Roman"/>
                <w:color w:val="auto"/>
                <w:sz w:val="24"/>
                <w:szCs w:val="24"/>
              </w:rPr>
              <w:t xml:space="preserve">料，运至厂区原料堆场进行堆放。 </w:t>
            </w:r>
          </w:p>
          <w:p w14:paraId="3FE548B6">
            <w:pPr>
              <w:spacing w:line="360" w:lineRule="auto"/>
              <w:ind w:firstLine="482" w:firstLineChars="200"/>
              <w:rPr>
                <w:rFonts w:cs="Times New Roman"/>
                <w:color w:val="auto"/>
                <w:sz w:val="24"/>
                <w:szCs w:val="24"/>
              </w:rPr>
            </w:pPr>
            <w:r>
              <w:rPr>
                <w:rFonts w:cs="Times New Roman"/>
                <w:b/>
                <w:bCs/>
                <w:color w:val="auto"/>
                <w:sz w:val="24"/>
                <w:szCs w:val="24"/>
              </w:rPr>
              <w:t>切割：</w:t>
            </w:r>
            <w:r>
              <w:rPr>
                <w:rFonts w:cs="Times New Roman"/>
                <w:color w:val="auto"/>
                <w:sz w:val="24"/>
                <w:szCs w:val="24"/>
              </w:rPr>
              <w:t>将石材原料根据客户需求利用大切机、中切机进行切割成坯料，设备刀头自带喷水设备，对切割刀片、石材进行降尘及刀头降温作用。该切割废水及石材粉末冲刷至操作平台底部的集水槽，经絮凝沉淀处理后循环使用，本环节主要污染物为噪声、粉尘、废水和废边角料。</w:t>
            </w:r>
          </w:p>
          <w:p w14:paraId="440AEABC">
            <w:pPr>
              <w:spacing w:line="360" w:lineRule="auto"/>
              <w:ind w:firstLine="482" w:firstLineChars="200"/>
              <w:rPr>
                <w:rFonts w:cs="Times New Roman"/>
                <w:color w:val="auto"/>
                <w:sz w:val="24"/>
                <w:szCs w:val="24"/>
              </w:rPr>
            </w:pPr>
            <w:r>
              <w:rPr>
                <w:rFonts w:cs="Times New Roman"/>
                <w:b/>
                <w:bCs/>
                <w:color w:val="auto"/>
                <w:sz w:val="24"/>
                <w:szCs w:val="24"/>
              </w:rPr>
              <w:t>修边成型：</w:t>
            </w:r>
            <w:r>
              <w:rPr>
                <w:rFonts w:cs="Times New Roman"/>
                <w:color w:val="auto"/>
                <w:sz w:val="24"/>
              </w:rPr>
              <w:t>根据客户需求，利用小切割机对坯料进行切边、切条、修边成型。部分可作为产品外售，部分根据客户需求进入下一步表面处理。设备</w:t>
            </w:r>
            <w:r>
              <w:rPr>
                <w:rFonts w:cs="Times New Roman"/>
                <w:color w:val="auto"/>
                <w:sz w:val="24"/>
                <w:szCs w:val="24"/>
              </w:rPr>
              <w:t>刀头自带喷水设备，对切割刀片、石材进行降尘及刀头降温作用。该修边成型废水及石材粉末冲刷至操作平台底部的集水槽，经絮凝沉淀处理后循环使用。本环节主要污染物为噪声、粉尘、废水和废边角料。</w:t>
            </w:r>
          </w:p>
          <w:p w14:paraId="035E23DF">
            <w:pPr>
              <w:spacing w:line="360" w:lineRule="auto"/>
              <w:ind w:firstLine="482" w:firstLineChars="200"/>
              <w:rPr>
                <w:rFonts w:cs="Times New Roman"/>
                <w:color w:val="auto"/>
                <w:sz w:val="24"/>
                <w:szCs w:val="24"/>
              </w:rPr>
            </w:pPr>
            <w:r>
              <w:rPr>
                <w:rFonts w:cs="Times New Roman"/>
                <w:b/>
                <w:bCs/>
                <w:color w:val="auto"/>
                <w:sz w:val="24"/>
                <w:szCs w:val="24"/>
              </w:rPr>
              <w:t>表面处理：</w:t>
            </w:r>
            <w:r>
              <w:rPr>
                <w:rFonts w:cs="Times New Roman"/>
                <w:color w:val="auto"/>
                <w:sz w:val="24"/>
                <w:szCs w:val="24"/>
              </w:rPr>
              <w:t>根据客户需求对成型后的石材利用设备进行自动雕刻、抛磨、火烧面、喷砂等表面处理。</w:t>
            </w:r>
            <w:r>
              <w:rPr>
                <w:rFonts w:cs="Times New Roman"/>
                <w:b/>
                <w:bCs/>
                <w:color w:val="auto"/>
                <w:sz w:val="24"/>
                <w:szCs w:val="24"/>
              </w:rPr>
              <w:t>雕刻：</w:t>
            </w:r>
            <w:r>
              <w:rPr>
                <w:rFonts w:cs="Times New Roman"/>
                <w:color w:val="auto"/>
                <w:sz w:val="24"/>
                <w:szCs w:val="24"/>
              </w:rPr>
              <w:t>利用雕刻机对石材表面通过电脑程序雕刻出文字、图案等，雕刻过程采取湿法作业，减少雕刻排放粉尘的同时对刀头进行降温作用。</w:t>
            </w:r>
            <w:r>
              <w:rPr>
                <w:rFonts w:cs="Times New Roman"/>
                <w:b/>
                <w:bCs/>
                <w:color w:val="auto"/>
                <w:sz w:val="24"/>
                <w:szCs w:val="24"/>
              </w:rPr>
              <w:t>抛磨：</w:t>
            </w:r>
            <w:r>
              <w:rPr>
                <w:rFonts w:cs="Times New Roman"/>
                <w:color w:val="auto"/>
                <w:sz w:val="24"/>
                <w:szCs w:val="24"/>
              </w:rPr>
              <w:t>利用抛光机对石材表面进行抛光、打磨处理，使板材表面平整光滑，在作业过程中自动喷水，实现湿法作业，减少粉尘排放及设备降温作用。</w:t>
            </w:r>
            <w:r>
              <w:rPr>
                <w:rFonts w:cs="Times New Roman"/>
                <w:b/>
                <w:bCs/>
                <w:color w:val="auto"/>
                <w:sz w:val="24"/>
                <w:szCs w:val="24"/>
              </w:rPr>
              <w:t>火烧面：</w:t>
            </w:r>
            <w:r>
              <w:rPr>
                <w:rFonts w:cs="Times New Roman"/>
                <w:color w:val="auto"/>
                <w:sz w:val="24"/>
                <w:szCs w:val="24"/>
              </w:rPr>
              <w:t>火烧面机采取液氧燃烧产生的高温火焰，利用高温加热至石材表面晶体爆裂，使其具有粗糙质感，火烧完毕后，用水冷却石材表面。作业过程产生的粉尘颗粒较大，经厂房阻隔后自然沉降。</w:t>
            </w:r>
            <w:r>
              <w:rPr>
                <w:rFonts w:cs="Times New Roman"/>
                <w:b/>
                <w:bCs/>
                <w:color w:val="auto"/>
                <w:sz w:val="24"/>
                <w:szCs w:val="24"/>
              </w:rPr>
              <w:t>喷砂面：</w:t>
            </w:r>
            <w:r>
              <w:rPr>
                <w:rFonts w:cs="Times New Roman"/>
                <w:color w:val="auto"/>
                <w:sz w:val="24"/>
                <w:szCs w:val="24"/>
              </w:rPr>
              <w:t>喷砂机采用吸入式自动喷砂设备，由介质动力系统、管路系统、除尘系统、控制系统和辅助系统组成。即利用压缩空气在喷头内高速流动形成负压产生引射作用，将</w:t>
            </w:r>
            <w:r>
              <w:rPr>
                <w:rFonts w:hint="eastAsia" w:cs="Times New Roman"/>
                <w:color w:val="auto"/>
                <w:sz w:val="24"/>
                <w:szCs w:val="24"/>
              </w:rPr>
              <w:t>喷砂</w:t>
            </w:r>
            <w:r>
              <w:rPr>
                <w:rFonts w:cs="Times New Roman"/>
                <w:color w:val="auto"/>
                <w:sz w:val="24"/>
                <w:szCs w:val="24"/>
              </w:rPr>
              <w:t>磨料</w:t>
            </w:r>
            <w:r>
              <w:rPr>
                <w:rFonts w:hint="eastAsia" w:cs="Times New Roman"/>
                <w:color w:val="auto"/>
                <w:sz w:val="24"/>
                <w:szCs w:val="24"/>
              </w:rPr>
              <w:t>（铁砂）</w:t>
            </w:r>
            <w:r>
              <w:rPr>
                <w:rFonts w:cs="Times New Roman"/>
                <w:color w:val="auto"/>
                <w:sz w:val="24"/>
                <w:szCs w:val="24"/>
              </w:rPr>
              <w:t>通过砂管吸入喷头内，然后随压缩空气流由喷嘴高速射到工件表面，达到喷砂加工的目的。除尘系统采取布袋除尘装置，喷砂室机体密闭，利用负压吸入进行降尘。喷砂粉尘经处理后在厂房内无组织排放。</w:t>
            </w:r>
          </w:p>
          <w:p w14:paraId="50816CA3">
            <w:pPr>
              <w:spacing w:line="360" w:lineRule="auto"/>
              <w:ind w:firstLine="482" w:firstLineChars="200"/>
              <w:rPr>
                <w:rFonts w:cs="Times New Roman"/>
                <w:color w:val="auto"/>
                <w:sz w:val="24"/>
                <w:szCs w:val="24"/>
              </w:rPr>
            </w:pPr>
            <w:r>
              <w:rPr>
                <w:rFonts w:cs="Times New Roman"/>
                <w:b/>
                <w:bCs/>
                <w:color w:val="auto"/>
                <w:sz w:val="24"/>
                <w:szCs w:val="24"/>
              </w:rPr>
              <w:t>检查及外售</w:t>
            </w:r>
            <w:r>
              <w:rPr>
                <w:rFonts w:cs="Times New Roman"/>
                <w:color w:val="auto"/>
                <w:sz w:val="24"/>
                <w:szCs w:val="24"/>
              </w:rPr>
              <w:t xml:space="preserve">：处理完成后，检查产品，放入成品堆场外售。  </w:t>
            </w:r>
          </w:p>
          <w:p w14:paraId="746B7344">
            <w:pPr>
              <w:spacing w:line="480" w:lineRule="exact"/>
              <w:ind w:firstLine="482" w:firstLineChars="200"/>
              <w:rPr>
                <w:rFonts w:cs="Times New Roman"/>
                <w:color w:val="auto"/>
                <w:sz w:val="24"/>
                <w:szCs w:val="24"/>
              </w:rPr>
            </w:pPr>
            <w:r>
              <w:rPr>
                <w:rFonts w:cs="Times New Roman"/>
                <w:b/>
                <w:bCs/>
                <w:color w:val="auto"/>
                <w:sz w:val="24"/>
                <w:szCs w:val="24"/>
              </w:rPr>
              <w:t>生产废水处理工艺：</w:t>
            </w:r>
            <w:r>
              <w:rPr>
                <w:rFonts w:cs="Times New Roman"/>
                <w:color w:val="auto"/>
                <w:sz w:val="24"/>
                <w:szCs w:val="24"/>
              </w:rPr>
              <w:t>项目生产废水及石材粉末冲刷至各设备操作平台底部的收集</w:t>
            </w:r>
            <w:r>
              <w:rPr>
                <w:rFonts w:hint="eastAsia" w:cs="Times New Roman"/>
                <w:color w:val="auto"/>
                <w:sz w:val="24"/>
                <w:szCs w:val="24"/>
                <w:lang w:eastAsia="zh-CN"/>
              </w:rPr>
              <w:t>沟</w:t>
            </w:r>
            <w:r>
              <w:rPr>
                <w:rFonts w:cs="Times New Roman"/>
                <w:color w:val="auto"/>
                <w:sz w:val="24"/>
                <w:szCs w:val="24"/>
              </w:rPr>
              <w:t>内，经车间内废水收集沟汇入车间外沉砂池内，在沉砂池内安装螺旋绞砂机对沉砂池内粗砂进行分离后，排入</w:t>
            </w:r>
            <w:r>
              <w:rPr>
                <w:rFonts w:hint="eastAsia" w:cs="Times New Roman"/>
                <w:color w:val="auto"/>
                <w:sz w:val="24"/>
                <w:szCs w:val="24"/>
                <w:lang w:eastAsia="zh-CN"/>
              </w:rPr>
              <w:t>一级和二</w:t>
            </w:r>
            <w:r>
              <w:rPr>
                <w:rFonts w:cs="Times New Roman"/>
                <w:color w:val="auto"/>
                <w:sz w:val="24"/>
                <w:szCs w:val="24"/>
              </w:rPr>
              <w:t>级沉淀池（总容积</w:t>
            </w:r>
            <w:r>
              <w:rPr>
                <w:rFonts w:hint="eastAsia" w:cs="Times New Roman"/>
                <w:color w:val="auto"/>
                <w:sz w:val="24"/>
                <w:szCs w:val="24"/>
                <w:lang w:val="en-US" w:eastAsia="zh-CN"/>
              </w:rPr>
              <w:t>270</w:t>
            </w:r>
            <w:r>
              <w:rPr>
                <w:rFonts w:cs="Times New Roman"/>
                <w:color w:val="auto"/>
                <w:sz w:val="24"/>
                <w:szCs w:val="24"/>
              </w:rPr>
              <w:t>m</w:t>
            </w:r>
            <w:r>
              <w:rPr>
                <w:rFonts w:cs="Times New Roman"/>
                <w:color w:val="auto"/>
                <w:sz w:val="24"/>
                <w:szCs w:val="24"/>
                <w:vertAlign w:val="superscript"/>
              </w:rPr>
              <w:t>3</w:t>
            </w:r>
            <w:r>
              <w:rPr>
                <w:rFonts w:cs="Times New Roman"/>
                <w:color w:val="auto"/>
                <w:sz w:val="24"/>
                <w:szCs w:val="24"/>
              </w:rPr>
              <w:t>），</w:t>
            </w:r>
            <w:r>
              <w:rPr>
                <w:rFonts w:hint="eastAsia" w:cs="Times New Roman"/>
                <w:color w:val="auto"/>
                <w:sz w:val="24"/>
                <w:szCs w:val="24"/>
                <w:lang w:eastAsia="zh-CN"/>
              </w:rPr>
              <w:t>在</w:t>
            </w:r>
            <w:r>
              <w:rPr>
                <w:rFonts w:cs="Times New Roman"/>
                <w:color w:val="auto"/>
                <w:sz w:val="24"/>
                <w:szCs w:val="24"/>
              </w:rPr>
              <w:t>污水</w:t>
            </w:r>
            <w:r>
              <w:rPr>
                <w:rFonts w:hint="eastAsia" w:cs="Times New Roman"/>
                <w:color w:val="auto"/>
                <w:sz w:val="24"/>
                <w:szCs w:val="24"/>
                <w:lang w:eastAsia="zh-CN"/>
              </w:rPr>
              <w:t>池</w:t>
            </w:r>
            <w:r>
              <w:rPr>
                <w:rFonts w:cs="Times New Roman"/>
                <w:color w:val="auto"/>
                <w:sz w:val="24"/>
                <w:szCs w:val="24"/>
              </w:rPr>
              <w:t>内添加聚丙烯酰胺絮凝剂，用于加快废水的絮凝澄清。</w:t>
            </w:r>
            <w:r>
              <w:rPr>
                <w:rFonts w:hint="eastAsia" w:cs="Times New Roman"/>
                <w:color w:val="auto"/>
                <w:sz w:val="24"/>
                <w:szCs w:val="24"/>
                <w:lang w:eastAsia="zh-CN"/>
              </w:rPr>
              <w:t>沉淀池南侧</w:t>
            </w:r>
            <w:r>
              <w:rPr>
                <w:rFonts w:cs="Times New Roman"/>
                <w:color w:val="auto"/>
                <w:sz w:val="24"/>
                <w:szCs w:val="24"/>
              </w:rPr>
              <w:t>设置板框压滤机，污水</w:t>
            </w:r>
            <w:r>
              <w:rPr>
                <w:rFonts w:hint="eastAsia" w:cs="Times New Roman"/>
                <w:color w:val="auto"/>
                <w:sz w:val="24"/>
                <w:szCs w:val="24"/>
                <w:lang w:eastAsia="zh-CN"/>
              </w:rPr>
              <w:t>添加</w:t>
            </w:r>
            <w:r>
              <w:rPr>
                <w:rFonts w:cs="Times New Roman"/>
                <w:color w:val="auto"/>
                <w:sz w:val="24"/>
                <w:szCs w:val="24"/>
              </w:rPr>
              <w:t>絮凝沉淀物通过污泥泵打入板框压滤机进行压滤分离处理，其中压滤清水通</w:t>
            </w:r>
            <w:r>
              <w:rPr>
                <w:rFonts w:cs="Times New Roman"/>
                <w:color w:val="auto"/>
                <w:sz w:val="24"/>
                <w:szCs w:val="24"/>
                <w:highlight w:val="none"/>
              </w:rPr>
              <w:t>过排水管回排至</w:t>
            </w:r>
            <w:r>
              <w:rPr>
                <w:rFonts w:hint="eastAsia" w:cs="Times New Roman"/>
                <w:color w:val="auto"/>
                <w:sz w:val="24"/>
                <w:szCs w:val="24"/>
                <w:highlight w:val="none"/>
                <w:lang w:eastAsia="zh-CN"/>
              </w:rPr>
              <w:t>三级沉淀池即</w:t>
            </w:r>
            <w:r>
              <w:rPr>
                <w:rFonts w:cs="Times New Roman"/>
                <w:color w:val="auto"/>
                <w:sz w:val="24"/>
                <w:szCs w:val="24"/>
                <w:highlight w:val="none"/>
              </w:rPr>
              <w:t>清水池内（容积</w:t>
            </w:r>
            <w:r>
              <w:rPr>
                <w:rFonts w:hint="eastAsia" w:cs="Times New Roman"/>
                <w:color w:val="auto"/>
                <w:sz w:val="24"/>
                <w:szCs w:val="24"/>
                <w:highlight w:val="none"/>
                <w:lang w:val="en-US" w:eastAsia="zh-CN"/>
              </w:rPr>
              <w:t>135</w:t>
            </w:r>
            <w:r>
              <w:rPr>
                <w:rFonts w:cs="Times New Roman"/>
                <w:color w:val="auto"/>
                <w:sz w:val="24"/>
                <w:szCs w:val="24"/>
                <w:highlight w:val="none"/>
              </w:rPr>
              <w:t>m</w:t>
            </w:r>
            <w:r>
              <w:rPr>
                <w:rFonts w:cs="Times New Roman"/>
                <w:color w:val="auto"/>
                <w:sz w:val="24"/>
                <w:szCs w:val="24"/>
                <w:highlight w:val="none"/>
                <w:vertAlign w:val="superscript"/>
              </w:rPr>
              <w:t>3</w:t>
            </w:r>
            <w:r>
              <w:rPr>
                <w:rFonts w:cs="Times New Roman"/>
                <w:color w:val="auto"/>
                <w:sz w:val="24"/>
                <w:szCs w:val="24"/>
                <w:highlight w:val="none"/>
              </w:rPr>
              <w:t>）</w:t>
            </w:r>
            <w:r>
              <w:rPr>
                <w:rFonts w:cs="Times New Roman"/>
                <w:color w:val="auto"/>
                <w:sz w:val="24"/>
                <w:szCs w:val="24"/>
              </w:rPr>
              <w:t>，挤压后的泥饼跌落至压滤机下方的</w:t>
            </w:r>
            <w:r>
              <w:rPr>
                <w:rFonts w:hint="eastAsia" w:cs="Times New Roman"/>
                <w:color w:val="auto"/>
                <w:sz w:val="24"/>
                <w:szCs w:val="24"/>
                <w:lang w:eastAsia="zh-CN"/>
              </w:rPr>
              <w:t>泥饼</w:t>
            </w:r>
            <w:r>
              <w:rPr>
                <w:rFonts w:cs="Times New Roman"/>
                <w:color w:val="auto"/>
                <w:sz w:val="24"/>
                <w:szCs w:val="24"/>
              </w:rPr>
              <w:t>池暂存，定期外售砖厂综合利用。生产过程产生的生产废水经沉淀处理后全部回用于生产，做到废水不外排。</w:t>
            </w:r>
          </w:p>
          <w:p w14:paraId="3E6DDDFF">
            <w:pPr>
              <w:spacing w:line="360" w:lineRule="auto"/>
              <w:ind w:firstLine="482" w:firstLineChars="200"/>
              <w:rPr>
                <w:rFonts w:cs="Times New Roman"/>
                <w:color w:val="auto"/>
                <w:sz w:val="24"/>
                <w:szCs w:val="24"/>
              </w:rPr>
            </w:pPr>
            <w:r>
              <w:rPr>
                <w:rFonts w:cs="Times New Roman"/>
                <w:b/>
                <w:bCs/>
                <w:color w:val="auto"/>
                <w:sz w:val="24"/>
                <w:szCs w:val="24"/>
              </w:rPr>
              <w:t>同时本项目在</w:t>
            </w:r>
            <w:r>
              <w:rPr>
                <w:rFonts w:hint="eastAsia" w:cs="Times New Roman"/>
                <w:b/>
                <w:bCs/>
                <w:color w:val="auto"/>
                <w:sz w:val="24"/>
                <w:szCs w:val="24"/>
                <w:lang w:eastAsia="zh-CN"/>
              </w:rPr>
              <w:t>生产</w:t>
            </w:r>
            <w:r>
              <w:rPr>
                <w:rFonts w:cs="Times New Roman"/>
                <w:b/>
                <w:bCs/>
                <w:color w:val="auto"/>
                <w:sz w:val="24"/>
                <w:szCs w:val="24"/>
              </w:rPr>
              <w:t>车间</w:t>
            </w:r>
            <w:r>
              <w:rPr>
                <w:rFonts w:hint="eastAsia" w:cs="Times New Roman"/>
                <w:b/>
                <w:bCs/>
                <w:color w:val="auto"/>
                <w:sz w:val="24"/>
                <w:szCs w:val="24"/>
                <w:lang w:eastAsia="zh-CN"/>
              </w:rPr>
              <w:t>西</w:t>
            </w:r>
            <w:r>
              <w:rPr>
                <w:rFonts w:cs="Times New Roman"/>
                <w:b/>
                <w:bCs/>
                <w:color w:val="auto"/>
                <w:sz w:val="24"/>
                <w:szCs w:val="24"/>
              </w:rPr>
              <w:t>侧设置有1处</w:t>
            </w:r>
            <w:r>
              <w:rPr>
                <w:rFonts w:hint="eastAsia" w:cs="Times New Roman"/>
                <w:b/>
                <w:bCs/>
                <w:color w:val="auto"/>
                <w:sz w:val="24"/>
                <w:szCs w:val="24"/>
              </w:rPr>
              <w:t>维修间</w:t>
            </w:r>
            <w:r>
              <w:rPr>
                <w:rFonts w:cs="Times New Roman"/>
                <w:b/>
                <w:bCs/>
                <w:color w:val="auto"/>
                <w:sz w:val="24"/>
                <w:szCs w:val="24"/>
              </w:rPr>
              <w:t>，主要是对设备进行维修。</w:t>
            </w:r>
          </w:p>
          <w:p w14:paraId="7081049E">
            <w:pPr>
              <w:spacing w:line="360" w:lineRule="auto"/>
              <w:ind w:firstLine="480" w:firstLineChars="200"/>
              <w:rPr>
                <w:rFonts w:cs="Times New Roman"/>
                <w:color w:val="auto"/>
                <w:sz w:val="24"/>
                <w:szCs w:val="24"/>
              </w:rPr>
            </w:pPr>
            <w:r>
              <w:rPr>
                <w:rFonts w:cs="Times New Roman"/>
                <w:color w:val="auto"/>
                <w:sz w:val="24"/>
                <w:szCs w:val="24"/>
              </w:rPr>
              <w:t>根据该项目的工程概况和工艺特点，其运营期主要污染源及污染因子识别见下表。</w:t>
            </w:r>
          </w:p>
          <w:p w14:paraId="193ACEBA">
            <w:pPr>
              <w:spacing w:line="360" w:lineRule="auto"/>
              <w:jc w:val="center"/>
              <w:rPr>
                <w:rFonts w:cs="Times New Roman"/>
                <w:b/>
                <w:bCs/>
                <w:color w:val="auto"/>
                <w:sz w:val="24"/>
                <w:szCs w:val="24"/>
              </w:rPr>
            </w:pPr>
            <w:r>
              <w:rPr>
                <w:rFonts w:cs="Times New Roman"/>
                <w:b/>
                <w:bCs/>
                <w:color w:val="auto"/>
                <w:sz w:val="24"/>
                <w:szCs w:val="24"/>
              </w:rPr>
              <w:t>表2-</w:t>
            </w:r>
            <w:r>
              <w:rPr>
                <w:rFonts w:hint="eastAsia" w:cs="Times New Roman"/>
                <w:b/>
                <w:bCs/>
                <w:color w:val="auto"/>
                <w:sz w:val="24"/>
                <w:szCs w:val="24"/>
                <w:lang w:val="en-US" w:eastAsia="zh-CN"/>
              </w:rPr>
              <w:t>7</w:t>
            </w:r>
            <w:r>
              <w:rPr>
                <w:rFonts w:cs="Times New Roman"/>
                <w:b/>
                <w:bCs/>
                <w:color w:val="auto"/>
                <w:sz w:val="24"/>
                <w:szCs w:val="24"/>
              </w:rPr>
              <w:t xml:space="preserve"> 污染源与污染因子识别表</w:t>
            </w:r>
          </w:p>
          <w:tbl>
            <w:tblPr>
              <w:tblStyle w:val="24"/>
              <w:tblW w:w="4954"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358"/>
              <w:gridCol w:w="4193"/>
              <w:gridCol w:w="2988"/>
            </w:tblGrid>
            <w:tr w14:paraId="465F788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8" w:hRule="atLeast"/>
                <w:jc w:val="center"/>
              </w:trPr>
              <w:tc>
                <w:tcPr>
                  <w:tcW w:w="795" w:type="pct"/>
                  <w:tcBorders>
                    <w:tl2br w:val="nil"/>
                    <w:tr2bl w:val="nil"/>
                  </w:tcBorders>
                  <w:vAlign w:val="center"/>
                </w:tcPr>
                <w:p w14:paraId="5343A8E2">
                  <w:pPr>
                    <w:autoSpaceDN w:val="0"/>
                    <w:jc w:val="center"/>
                    <w:textAlignment w:val="bottom"/>
                    <w:rPr>
                      <w:rFonts w:cs="Times New Roman"/>
                      <w:b/>
                      <w:bCs/>
                      <w:color w:val="auto"/>
                      <w:szCs w:val="21"/>
                    </w:rPr>
                  </w:pPr>
                  <w:r>
                    <w:rPr>
                      <w:rFonts w:cs="Times New Roman"/>
                      <w:b/>
                      <w:bCs/>
                      <w:color w:val="auto"/>
                      <w:szCs w:val="21"/>
                    </w:rPr>
                    <w:t>污染因素</w:t>
                  </w:r>
                </w:p>
              </w:tc>
              <w:tc>
                <w:tcPr>
                  <w:tcW w:w="2455" w:type="pct"/>
                  <w:tcBorders>
                    <w:tl2br w:val="nil"/>
                    <w:tr2bl w:val="nil"/>
                  </w:tcBorders>
                  <w:vAlign w:val="center"/>
                </w:tcPr>
                <w:p w14:paraId="56547DC1">
                  <w:pPr>
                    <w:autoSpaceDN w:val="0"/>
                    <w:jc w:val="center"/>
                    <w:textAlignment w:val="bottom"/>
                    <w:rPr>
                      <w:rFonts w:cs="Times New Roman"/>
                      <w:b/>
                      <w:bCs/>
                      <w:color w:val="auto"/>
                      <w:szCs w:val="21"/>
                    </w:rPr>
                  </w:pPr>
                  <w:r>
                    <w:rPr>
                      <w:rFonts w:cs="Times New Roman"/>
                      <w:b/>
                      <w:bCs/>
                      <w:color w:val="auto"/>
                      <w:szCs w:val="21"/>
                    </w:rPr>
                    <w:t>污染源</w:t>
                  </w:r>
                </w:p>
              </w:tc>
              <w:tc>
                <w:tcPr>
                  <w:tcW w:w="1749" w:type="pct"/>
                  <w:tcBorders>
                    <w:tl2br w:val="nil"/>
                    <w:tr2bl w:val="nil"/>
                  </w:tcBorders>
                  <w:vAlign w:val="center"/>
                </w:tcPr>
                <w:p w14:paraId="3D1F0E87">
                  <w:pPr>
                    <w:autoSpaceDN w:val="0"/>
                    <w:jc w:val="center"/>
                    <w:textAlignment w:val="bottom"/>
                    <w:rPr>
                      <w:rFonts w:cs="Times New Roman"/>
                      <w:b/>
                      <w:bCs/>
                      <w:color w:val="auto"/>
                      <w:szCs w:val="21"/>
                    </w:rPr>
                  </w:pPr>
                  <w:r>
                    <w:rPr>
                      <w:rFonts w:cs="Times New Roman"/>
                      <w:b/>
                      <w:bCs/>
                      <w:color w:val="auto"/>
                      <w:szCs w:val="21"/>
                    </w:rPr>
                    <w:t>污染因子</w:t>
                  </w:r>
                </w:p>
              </w:tc>
            </w:tr>
            <w:tr w14:paraId="060C958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7" w:hRule="atLeast"/>
                <w:jc w:val="center"/>
              </w:trPr>
              <w:tc>
                <w:tcPr>
                  <w:tcW w:w="795" w:type="pct"/>
                  <w:vMerge w:val="restart"/>
                  <w:tcBorders>
                    <w:tl2br w:val="nil"/>
                    <w:tr2bl w:val="nil"/>
                  </w:tcBorders>
                  <w:vAlign w:val="center"/>
                </w:tcPr>
                <w:p w14:paraId="5FF36238">
                  <w:pPr>
                    <w:autoSpaceDN w:val="0"/>
                    <w:jc w:val="center"/>
                    <w:textAlignment w:val="bottom"/>
                    <w:rPr>
                      <w:rFonts w:cs="Times New Roman"/>
                      <w:color w:val="auto"/>
                      <w:szCs w:val="21"/>
                    </w:rPr>
                  </w:pPr>
                  <w:r>
                    <w:rPr>
                      <w:rFonts w:cs="Times New Roman"/>
                      <w:color w:val="auto"/>
                      <w:szCs w:val="21"/>
                    </w:rPr>
                    <w:t>废气</w:t>
                  </w:r>
                </w:p>
              </w:tc>
              <w:tc>
                <w:tcPr>
                  <w:tcW w:w="2455" w:type="pct"/>
                  <w:tcBorders>
                    <w:tl2br w:val="nil"/>
                    <w:tr2bl w:val="nil"/>
                  </w:tcBorders>
                  <w:vAlign w:val="center"/>
                </w:tcPr>
                <w:p w14:paraId="482F2BBB">
                  <w:pPr>
                    <w:jc w:val="center"/>
                    <w:rPr>
                      <w:rFonts w:cs="Times New Roman"/>
                      <w:color w:val="auto"/>
                      <w:szCs w:val="21"/>
                    </w:rPr>
                  </w:pPr>
                  <w:r>
                    <w:rPr>
                      <w:rFonts w:cs="Times New Roman"/>
                      <w:color w:val="auto"/>
                      <w:szCs w:val="21"/>
                    </w:rPr>
                    <w:t>石材加工粉尘</w:t>
                  </w:r>
                </w:p>
              </w:tc>
              <w:tc>
                <w:tcPr>
                  <w:tcW w:w="1749" w:type="pct"/>
                  <w:tcBorders>
                    <w:tl2br w:val="nil"/>
                    <w:tr2bl w:val="nil"/>
                  </w:tcBorders>
                  <w:vAlign w:val="center"/>
                </w:tcPr>
                <w:p w14:paraId="3E6A47C4">
                  <w:pPr>
                    <w:autoSpaceDN w:val="0"/>
                    <w:jc w:val="center"/>
                    <w:textAlignment w:val="bottom"/>
                    <w:rPr>
                      <w:rFonts w:cs="Times New Roman"/>
                      <w:color w:val="auto"/>
                      <w:szCs w:val="21"/>
                    </w:rPr>
                  </w:pPr>
                  <w:r>
                    <w:rPr>
                      <w:rFonts w:cs="Times New Roman"/>
                      <w:color w:val="auto"/>
                      <w:szCs w:val="21"/>
                    </w:rPr>
                    <w:t>颗粒物</w:t>
                  </w:r>
                </w:p>
              </w:tc>
            </w:tr>
            <w:tr w14:paraId="304F764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7" w:hRule="atLeast"/>
                <w:jc w:val="center"/>
              </w:trPr>
              <w:tc>
                <w:tcPr>
                  <w:tcW w:w="795" w:type="pct"/>
                  <w:vMerge w:val="continue"/>
                  <w:tcBorders>
                    <w:tl2br w:val="nil"/>
                    <w:tr2bl w:val="nil"/>
                  </w:tcBorders>
                  <w:vAlign w:val="center"/>
                </w:tcPr>
                <w:p w14:paraId="4B8461B5">
                  <w:pPr>
                    <w:autoSpaceDN w:val="0"/>
                    <w:jc w:val="center"/>
                    <w:textAlignment w:val="bottom"/>
                    <w:rPr>
                      <w:rFonts w:cs="Times New Roman"/>
                      <w:color w:val="auto"/>
                      <w:szCs w:val="21"/>
                    </w:rPr>
                  </w:pPr>
                </w:p>
              </w:tc>
              <w:tc>
                <w:tcPr>
                  <w:tcW w:w="2455" w:type="pct"/>
                  <w:tcBorders>
                    <w:tl2br w:val="nil"/>
                    <w:tr2bl w:val="nil"/>
                  </w:tcBorders>
                  <w:vAlign w:val="center"/>
                </w:tcPr>
                <w:p w14:paraId="6A7C84FD">
                  <w:pPr>
                    <w:jc w:val="center"/>
                    <w:rPr>
                      <w:rFonts w:cs="Times New Roman"/>
                      <w:color w:val="auto"/>
                      <w:szCs w:val="21"/>
                    </w:rPr>
                  </w:pPr>
                  <w:r>
                    <w:rPr>
                      <w:rFonts w:cs="Times New Roman"/>
                      <w:color w:val="auto"/>
                      <w:szCs w:val="21"/>
                    </w:rPr>
                    <w:t>车辆运输扬尘</w:t>
                  </w:r>
                </w:p>
              </w:tc>
              <w:tc>
                <w:tcPr>
                  <w:tcW w:w="1749" w:type="pct"/>
                  <w:tcBorders>
                    <w:tl2br w:val="nil"/>
                    <w:tr2bl w:val="nil"/>
                  </w:tcBorders>
                  <w:vAlign w:val="center"/>
                </w:tcPr>
                <w:p w14:paraId="793B5490">
                  <w:pPr>
                    <w:autoSpaceDN w:val="0"/>
                    <w:jc w:val="center"/>
                    <w:textAlignment w:val="bottom"/>
                    <w:rPr>
                      <w:rFonts w:cs="Times New Roman"/>
                      <w:color w:val="auto"/>
                      <w:szCs w:val="21"/>
                    </w:rPr>
                  </w:pPr>
                  <w:r>
                    <w:rPr>
                      <w:rFonts w:cs="Times New Roman"/>
                      <w:color w:val="auto"/>
                      <w:szCs w:val="21"/>
                    </w:rPr>
                    <w:t>颗粒物</w:t>
                  </w:r>
                </w:p>
              </w:tc>
            </w:tr>
            <w:tr w14:paraId="4C24323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7" w:hRule="atLeast"/>
                <w:jc w:val="center"/>
              </w:trPr>
              <w:tc>
                <w:tcPr>
                  <w:tcW w:w="795" w:type="pct"/>
                  <w:vMerge w:val="continue"/>
                  <w:tcBorders>
                    <w:tl2br w:val="nil"/>
                    <w:tr2bl w:val="nil"/>
                  </w:tcBorders>
                  <w:vAlign w:val="center"/>
                </w:tcPr>
                <w:p w14:paraId="657061F8">
                  <w:pPr>
                    <w:autoSpaceDN w:val="0"/>
                    <w:jc w:val="center"/>
                    <w:textAlignment w:val="bottom"/>
                    <w:rPr>
                      <w:rFonts w:cs="Times New Roman"/>
                      <w:color w:val="auto"/>
                      <w:szCs w:val="21"/>
                    </w:rPr>
                  </w:pPr>
                </w:p>
              </w:tc>
              <w:tc>
                <w:tcPr>
                  <w:tcW w:w="2455" w:type="pct"/>
                  <w:tcBorders>
                    <w:tl2br w:val="nil"/>
                    <w:tr2bl w:val="nil"/>
                  </w:tcBorders>
                  <w:vAlign w:val="center"/>
                </w:tcPr>
                <w:p w14:paraId="59493962">
                  <w:pPr>
                    <w:jc w:val="center"/>
                    <w:rPr>
                      <w:rFonts w:cs="Times New Roman"/>
                      <w:bCs/>
                      <w:color w:val="auto"/>
                      <w:kern w:val="0"/>
                      <w:szCs w:val="21"/>
                    </w:rPr>
                  </w:pPr>
                  <w:r>
                    <w:rPr>
                      <w:rFonts w:cs="Times New Roman"/>
                      <w:bCs/>
                      <w:color w:val="auto"/>
                      <w:kern w:val="0"/>
                      <w:szCs w:val="21"/>
                    </w:rPr>
                    <w:t>食堂油烟</w:t>
                  </w:r>
                </w:p>
              </w:tc>
              <w:tc>
                <w:tcPr>
                  <w:tcW w:w="1749" w:type="pct"/>
                  <w:tcBorders>
                    <w:tl2br w:val="nil"/>
                    <w:tr2bl w:val="nil"/>
                  </w:tcBorders>
                  <w:vAlign w:val="center"/>
                </w:tcPr>
                <w:p w14:paraId="239338D5">
                  <w:pPr>
                    <w:autoSpaceDN w:val="0"/>
                    <w:jc w:val="center"/>
                    <w:textAlignment w:val="bottom"/>
                    <w:rPr>
                      <w:rFonts w:cs="Times New Roman"/>
                      <w:color w:val="auto"/>
                      <w:szCs w:val="21"/>
                    </w:rPr>
                  </w:pPr>
                  <w:r>
                    <w:rPr>
                      <w:rFonts w:cs="Times New Roman"/>
                      <w:color w:val="auto"/>
                      <w:szCs w:val="21"/>
                    </w:rPr>
                    <w:t>油烟</w:t>
                  </w:r>
                </w:p>
              </w:tc>
            </w:tr>
            <w:tr w14:paraId="7E2C411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7" w:hRule="atLeast"/>
                <w:jc w:val="center"/>
              </w:trPr>
              <w:tc>
                <w:tcPr>
                  <w:tcW w:w="795" w:type="pct"/>
                  <w:vMerge w:val="restart"/>
                  <w:tcBorders>
                    <w:tl2br w:val="nil"/>
                    <w:tr2bl w:val="nil"/>
                  </w:tcBorders>
                  <w:vAlign w:val="center"/>
                </w:tcPr>
                <w:p w14:paraId="227F9F33">
                  <w:pPr>
                    <w:autoSpaceDN w:val="0"/>
                    <w:jc w:val="center"/>
                    <w:textAlignment w:val="bottom"/>
                    <w:rPr>
                      <w:rFonts w:cs="Times New Roman"/>
                      <w:color w:val="auto"/>
                      <w:szCs w:val="21"/>
                    </w:rPr>
                  </w:pPr>
                  <w:r>
                    <w:rPr>
                      <w:rFonts w:cs="Times New Roman"/>
                      <w:color w:val="auto"/>
                      <w:szCs w:val="21"/>
                    </w:rPr>
                    <w:t>废水</w:t>
                  </w:r>
                </w:p>
              </w:tc>
              <w:tc>
                <w:tcPr>
                  <w:tcW w:w="2455" w:type="pct"/>
                  <w:tcBorders>
                    <w:tl2br w:val="nil"/>
                    <w:tr2bl w:val="nil"/>
                  </w:tcBorders>
                  <w:vAlign w:val="center"/>
                </w:tcPr>
                <w:p w14:paraId="79728409">
                  <w:pPr>
                    <w:autoSpaceDN w:val="0"/>
                    <w:jc w:val="center"/>
                    <w:textAlignment w:val="bottom"/>
                    <w:rPr>
                      <w:rFonts w:cs="Times New Roman"/>
                      <w:color w:val="auto"/>
                      <w:szCs w:val="21"/>
                    </w:rPr>
                  </w:pPr>
                  <w:r>
                    <w:rPr>
                      <w:rFonts w:cs="Times New Roman"/>
                      <w:color w:val="auto"/>
                      <w:szCs w:val="21"/>
                    </w:rPr>
                    <w:t>生产废水</w:t>
                  </w:r>
                </w:p>
              </w:tc>
              <w:tc>
                <w:tcPr>
                  <w:tcW w:w="1749" w:type="pct"/>
                  <w:tcBorders>
                    <w:tl2br w:val="nil"/>
                    <w:tr2bl w:val="nil"/>
                  </w:tcBorders>
                  <w:vAlign w:val="center"/>
                </w:tcPr>
                <w:p w14:paraId="0CE97EB4">
                  <w:pPr>
                    <w:autoSpaceDN w:val="0"/>
                    <w:jc w:val="center"/>
                    <w:textAlignment w:val="bottom"/>
                    <w:rPr>
                      <w:rFonts w:cs="Times New Roman"/>
                      <w:color w:val="auto"/>
                      <w:szCs w:val="21"/>
                    </w:rPr>
                  </w:pPr>
                  <w:r>
                    <w:rPr>
                      <w:rFonts w:cs="Times New Roman"/>
                      <w:color w:val="auto"/>
                      <w:szCs w:val="21"/>
                    </w:rPr>
                    <w:t>SS</w:t>
                  </w:r>
                </w:p>
              </w:tc>
            </w:tr>
            <w:tr w14:paraId="17E91D4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83" w:hRule="atLeast"/>
                <w:jc w:val="center"/>
              </w:trPr>
              <w:tc>
                <w:tcPr>
                  <w:tcW w:w="795" w:type="pct"/>
                  <w:vMerge w:val="continue"/>
                  <w:tcBorders>
                    <w:tl2br w:val="nil"/>
                    <w:tr2bl w:val="nil"/>
                  </w:tcBorders>
                  <w:vAlign w:val="center"/>
                </w:tcPr>
                <w:p w14:paraId="6F24C34F">
                  <w:pPr>
                    <w:autoSpaceDN w:val="0"/>
                    <w:jc w:val="center"/>
                    <w:textAlignment w:val="bottom"/>
                    <w:rPr>
                      <w:rFonts w:cs="Times New Roman"/>
                      <w:color w:val="auto"/>
                      <w:szCs w:val="21"/>
                    </w:rPr>
                  </w:pPr>
                </w:p>
              </w:tc>
              <w:tc>
                <w:tcPr>
                  <w:tcW w:w="2455" w:type="pct"/>
                  <w:tcBorders>
                    <w:tl2br w:val="nil"/>
                    <w:tr2bl w:val="nil"/>
                  </w:tcBorders>
                  <w:vAlign w:val="center"/>
                </w:tcPr>
                <w:p w14:paraId="0C1B96B1">
                  <w:pPr>
                    <w:autoSpaceDN w:val="0"/>
                    <w:jc w:val="center"/>
                    <w:textAlignment w:val="bottom"/>
                    <w:rPr>
                      <w:rFonts w:cs="Times New Roman"/>
                      <w:color w:val="auto"/>
                      <w:szCs w:val="21"/>
                    </w:rPr>
                  </w:pPr>
                  <w:r>
                    <w:rPr>
                      <w:rFonts w:cs="Times New Roman"/>
                      <w:color w:val="auto"/>
                      <w:szCs w:val="21"/>
                    </w:rPr>
                    <w:t>生活污水</w:t>
                  </w:r>
                </w:p>
              </w:tc>
              <w:tc>
                <w:tcPr>
                  <w:tcW w:w="1749" w:type="pct"/>
                  <w:tcBorders>
                    <w:tl2br w:val="nil"/>
                    <w:tr2bl w:val="nil"/>
                  </w:tcBorders>
                  <w:vAlign w:val="center"/>
                </w:tcPr>
                <w:p w14:paraId="16A5367E">
                  <w:pPr>
                    <w:autoSpaceDN w:val="0"/>
                    <w:jc w:val="center"/>
                    <w:textAlignment w:val="bottom"/>
                    <w:rPr>
                      <w:rFonts w:cs="Times New Roman"/>
                      <w:color w:val="auto"/>
                      <w:szCs w:val="21"/>
                    </w:rPr>
                  </w:pPr>
                  <w:r>
                    <w:rPr>
                      <w:rFonts w:cs="Times New Roman"/>
                      <w:color w:val="auto"/>
                      <w:szCs w:val="21"/>
                    </w:rPr>
                    <w:t>pH、COD、BOD</w:t>
                  </w:r>
                  <w:r>
                    <w:rPr>
                      <w:rFonts w:cs="Times New Roman"/>
                      <w:color w:val="auto"/>
                      <w:szCs w:val="21"/>
                      <w:vertAlign w:val="subscript"/>
                    </w:rPr>
                    <w:t>5</w:t>
                  </w:r>
                  <w:r>
                    <w:rPr>
                      <w:rFonts w:cs="Times New Roman"/>
                      <w:color w:val="auto"/>
                      <w:szCs w:val="21"/>
                    </w:rPr>
                    <w:t>、SS、NH</w:t>
                  </w:r>
                  <w:r>
                    <w:rPr>
                      <w:rFonts w:cs="Times New Roman"/>
                      <w:color w:val="auto"/>
                      <w:szCs w:val="21"/>
                      <w:vertAlign w:val="subscript"/>
                    </w:rPr>
                    <w:t>3</w:t>
                  </w:r>
                  <w:r>
                    <w:rPr>
                      <w:rFonts w:cs="Times New Roman"/>
                      <w:color w:val="auto"/>
                      <w:szCs w:val="21"/>
                    </w:rPr>
                    <w:t>-N、TP、动植物油</w:t>
                  </w:r>
                </w:p>
              </w:tc>
            </w:tr>
            <w:tr w14:paraId="3D26FB8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7" w:hRule="atLeast"/>
                <w:jc w:val="center"/>
              </w:trPr>
              <w:tc>
                <w:tcPr>
                  <w:tcW w:w="795" w:type="pct"/>
                  <w:tcBorders>
                    <w:tl2br w:val="nil"/>
                    <w:tr2bl w:val="nil"/>
                  </w:tcBorders>
                  <w:vAlign w:val="center"/>
                </w:tcPr>
                <w:p w14:paraId="1E86814C">
                  <w:pPr>
                    <w:autoSpaceDN w:val="0"/>
                    <w:jc w:val="center"/>
                    <w:textAlignment w:val="bottom"/>
                    <w:rPr>
                      <w:rFonts w:cs="Times New Roman"/>
                      <w:color w:val="auto"/>
                      <w:szCs w:val="21"/>
                    </w:rPr>
                  </w:pPr>
                  <w:r>
                    <w:rPr>
                      <w:rFonts w:cs="Times New Roman"/>
                      <w:color w:val="auto"/>
                      <w:szCs w:val="21"/>
                    </w:rPr>
                    <w:t>噪声</w:t>
                  </w:r>
                </w:p>
              </w:tc>
              <w:tc>
                <w:tcPr>
                  <w:tcW w:w="2455" w:type="pct"/>
                  <w:tcBorders>
                    <w:tl2br w:val="nil"/>
                    <w:tr2bl w:val="nil"/>
                  </w:tcBorders>
                  <w:vAlign w:val="center"/>
                </w:tcPr>
                <w:p w14:paraId="2BC5AEB6">
                  <w:pPr>
                    <w:autoSpaceDN w:val="0"/>
                    <w:jc w:val="center"/>
                    <w:textAlignment w:val="bottom"/>
                    <w:rPr>
                      <w:rFonts w:cs="Times New Roman"/>
                      <w:color w:val="auto"/>
                      <w:szCs w:val="21"/>
                    </w:rPr>
                  </w:pPr>
                  <w:r>
                    <w:rPr>
                      <w:rFonts w:cs="Times New Roman"/>
                      <w:color w:val="auto"/>
                      <w:szCs w:val="21"/>
                    </w:rPr>
                    <w:t>设备运行、物料运输</w:t>
                  </w:r>
                </w:p>
              </w:tc>
              <w:tc>
                <w:tcPr>
                  <w:tcW w:w="1749" w:type="pct"/>
                  <w:tcBorders>
                    <w:tl2br w:val="nil"/>
                    <w:tr2bl w:val="nil"/>
                  </w:tcBorders>
                  <w:vAlign w:val="center"/>
                </w:tcPr>
                <w:p w14:paraId="1185B357">
                  <w:pPr>
                    <w:autoSpaceDN w:val="0"/>
                    <w:jc w:val="center"/>
                    <w:textAlignment w:val="bottom"/>
                    <w:rPr>
                      <w:rFonts w:cs="Times New Roman"/>
                      <w:color w:val="auto"/>
                      <w:szCs w:val="21"/>
                    </w:rPr>
                  </w:pPr>
                  <w:r>
                    <w:rPr>
                      <w:rFonts w:cs="Times New Roman"/>
                      <w:color w:val="auto"/>
                      <w:szCs w:val="21"/>
                    </w:rPr>
                    <w:t>噪声</w:t>
                  </w:r>
                </w:p>
              </w:tc>
            </w:tr>
            <w:tr w14:paraId="289338A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7" w:hRule="atLeast"/>
                <w:jc w:val="center"/>
              </w:trPr>
              <w:tc>
                <w:tcPr>
                  <w:tcW w:w="795" w:type="pct"/>
                  <w:vMerge w:val="restart"/>
                  <w:tcBorders>
                    <w:tl2br w:val="nil"/>
                    <w:tr2bl w:val="nil"/>
                  </w:tcBorders>
                  <w:vAlign w:val="center"/>
                </w:tcPr>
                <w:p w14:paraId="1DB80061">
                  <w:pPr>
                    <w:autoSpaceDN w:val="0"/>
                    <w:jc w:val="center"/>
                    <w:textAlignment w:val="bottom"/>
                    <w:rPr>
                      <w:rFonts w:cs="Times New Roman"/>
                      <w:color w:val="auto"/>
                      <w:szCs w:val="21"/>
                    </w:rPr>
                  </w:pPr>
                  <w:r>
                    <w:rPr>
                      <w:rFonts w:cs="Times New Roman"/>
                      <w:color w:val="auto"/>
                      <w:szCs w:val="21"/>
                    </w:rPr>
                    <w:t>固体废物</w:t>
                  </w:r>
                </w:p>
              </w:tc>
              <w:tc>
                <w:tcPr>
                  <w:tcW w:w="2455" w:type="pct"/>
                  <w:tcBorders>
                    <w:tl2br w:val="nil"/>
                    <w:tr2bl w:val="nil"/>
                  </w:tcBorders>
                  <w:vAlign w:val="center"/>
                </w:tcPr>
                <w:p w14:paraId="74A89472">
                  <w:pPr>
                    <w:autoSpaceDN w:val="0"/>
                    <w:jc w:val="center"/>
                    <w:textAlignment w:val="bottom"/>
                    <w:rPr>
                      <w:rFonts w:cs="Times New Roman"/>
                      <w:color w:val="auto"/>
                      <w:szCs w:val="21"/>
                    </w:rPr>
                  </w:pPr>
                  <w:r>
                    <w:rPr>
                      <w:rFonts w:cs="Times New Roman"/>
                      <w:color w:val="auto"/>
                      <w:szCs w:val="21"/>
                    </w:rPr>
                    <w:t>生活垃圾</w:t>
                  </w:r>
                </w:p>
              </w:tc>
              <w:tc>
                <w:tcPr>
                  <w:tcW w:w="1749" w:type="pct"/>
                  <w:tcBorders>
                    <w:tl2br w:val="nil"/>
                    <w:tr2bl w:val="nil"/>
                  </w:tcBorders>
                  <w:vAlign w:val="center"/>
                </w:tcPr>
                <w:p w14:paraId="18499D3F">
                  <w:pPr>
                    <w:autoSpaceDN w:val="0"/>
                    <w:jc w:val="center"/>
                    <w:textAlignment w:val="bottom"/>
                    <w:rPr>
                      <w:rFonts w:cs="Times New Roman"/>
                      <w:color w:val="auto"/>
                      <w:szCs w:val="21"/>
                    </w:rPr>
                  </w:pPr>
                  <w:r>
                    <w:rPr>
                      <w:rFonts w:cs="Times New Roman"/>
                      <w:color w:val="auto"/>
                      <w:szCs w:val="21"/>
                    </w:rPr>
                    <w:t>一般固废</w:t>
                  </w:r>
                </w:p>
              </w:tc>
            </w:tr>
            <w:tr w14:paraId="0739390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7" w:hRule="atLeast"/>
                <w:jc w:val="center"/>
              </w:trPr>
              <w:tc>
                <w:tcPr>
                  <w:tcW w:w="795" w:type="pct"/>
                  <w:vMerge w:val="continue"/>
                  <w:tcBorders>
                    <w:tl2br w:val="nil"/>
                    <w:tr2bl w:val="nil"/>
                  </w:tcBorders>
                  <w:vAlign w:val="center"/>
                </w:tcPr>
                <w:p w14:paraId="35DFFF30">
                  <w:pPr>
                    <w:autoSpaceDN w:val="0"/>
                    <w:jc w:val="center"/>
                    <w:textAlignment w:val="bottom"/>
                    <w:rPr>
                      <w:rFonts w:cs="Times New Roman"/>
                      <w:color w:val="auto"/>
                      <w:szCs w:val="21"/>
                    </w:rPr>
                  </w:pPr>
                </w:p>
              </w:tc>
              <w:tc>
                <w:tcPr>
                  <w:tcW w:w="2455" w:type="pct"/>
                  <w:tcBorders>
                    <w:tl2br w:val="nil"/>
                    <w:tr2bl w:val="nil"/>
                  </w:tcBorders>
                  <w:vAlign w:val="center"/>
                </w:tcPr>
                <w:p w14:paraId="16FC6F5F">
                  <w:pPr>
                    <w:autoSpaceDN w:val="0"/>
                    <w:jc w:val="center"/>
                    <w:textAlignment w:val="bottom"/>
                    <w:rPr>
                      <w:rFonts w:cs="Times New Roman"/>
                      <w:color w:val="auto"/>
                      <w:szCs w:val="21"/>
                    </w:rPr>
                  </w:pPr>
                  <w:r>
                    <w:rPr>
                      <w:rFonts w:hint="eastAsia" w:cs="Times New Roman"/>
                      <w:color w:val="auto"/>
                      <w:szCs w:val="21"/>
                    </w:rPr>
                    <w:t>粗</w:t>
                  </w:r>
                  <w:r>
                    <w:rPr>
                      <w:rFonts w:cs="Times New Roman"/>
                      <w:color w:val="auto"/>
                      <w:szCs w:val="21"/>
                    </w:rPr>
                    <w:t>砂</w:t>
                  </w:r>
                </w:p>
              </w:tc>
              <w:tc>
                <w:tcPr>
                  <w:tcW w:w="1749" w:type="pct"/>
                  <w:tcBorders>
                    <w:tl2br w:val="nil"/>
                    <w:tr2bl w:val="nil"/>
                  </w:tcBorders>
                  <w:vAlign w:val="center"/>
                </w:tcPr>
                <w:p w14:paraId="66769A8F">
                  <w:pPr>
                    <w:autoSpaceDN w:val="0"/>
                    <w:jc w:val="center"/>
                    <w:textAlignment w:val="bottom"/>
                    <w:rPr>
                      <w:rFonts w:cs="Times New Roman"/>
                      <w:color w:val="auto"/>
                      <w:szCs w:val="21"/>
                    </w:rPr>
                  </w:pPr>
                  <w:r>
                    <w:rPr>
                      <w:rFonts w:cs="Times New Roman"/>
                      <w:color w:val="auto"/>
                      <w:szCs w:val="21"/>
                    </w:rPr>
                    <w:t>一般固废</w:t>
                  </w:r>
                </w:p>
              </w:tc>
            </w:tr>
            <w:tr w14:paraId="4F6893D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7" w:hRule="atLeast"/>
                <w:jc w:val="center"/>
              </w:trPr>
              <w:tc>
                <w:tcPr>
                  <w:tcW w:w="795" w:type="pct"/>
                  <w:vMerge w:val="continue"/>
                  <w:tcBorders>
                    <w:tl2br w:val="nil"/>
                    <w:tr2bl w:val="nil"/>
                  </w:tcBorders>
                  <w:vAlign w:val="center"/>
                </w:tcPr>
                <w:p w14:paraId="0993299E">
                  <w:pPr>
                    <w:autoSpaceDN w:val="0"/>
                    <w:jc w:val="center"/>
                    <w:textAlignment w:val="bottom"/>
                    <w:rPr>
                      <w:rFonts w:cs="Times New Roman"/>
                      <w:color w:val="auto"/>
                      <w:szCs w:val="21"/>
                    </w:rPr>
                  </w:pPr>
                </w:p>
              </w:tc>
              <w:tc>
                <w:tcPr>
                  <w:tcW w:w="2455" w:type="pct"/>
                  <w:tcBorders>
                    <w:tl2br w:val="nil"/>
                    <w:tr2bl w:val="nil"/>
                  </w:tcBorders>
                  <w:vAlign w:val="center"/>
                </w:tcPr>
                <w:p w14:paraId="4C52B59E">
                  <w:pPr>
                    <w:autoSpaceDN w:val="0"/>
                    <w:jc w:val="center"/>
                    <w:textAlignment w:val="bottom"/>
                    <w:rPr>
                      <w:rFonts w:cs="Times New Roman"/>
                      <w:color w:val="auto"/>
                      <w:szCs w:val="21"/>
                    </w:rPr>
                  </w:pPr>
                  <w:r>
                    <w:rPr>
                      <w:rFonts w:hint="eastAsia" w:cs="Times New Roman"/>
                      <w:color w:val="auto"/>
                      <w:szCs w:val="21"/>
                    </w:rPr>
                    <w:t>沉淀池</w:t>
                  </w:r>
                  <w:r>
                    <w:rPr>
                      <w:rFonts w:hint="eastAsia" w:cs="Times New Roman"/>
                      <w:color w:val="auto"/>
                      <w:szCs w:val="21"/>
                      <w:lang w:eastAsia="zh-CN"/>
                    </w:rPr>
                    <w:t>泥沙</w:t>
                  </w:r>
                </w:p>
              </w:tc>
              <w:tc>
                <w:tcPr>
                  <w:tcW w:w="1749" w:type="pct"/>
                  <w:tcBorders>
                    <w:tl2br w:val="nil"/>
                    <w:tr2bl w:val="nil"/>
                  </w:tcBorders>
                  <w:vAlign w:val="center"/>
                </w:tcPr>
                <w:p w14:paraId="631B9BFD">
                  <w:pPr>
                    <w:autoSpaceDN w:val="0"/>
                    <w:jc w:val="center"/>
                    <w:textAlignment w:val="bottom"/>
                    <w:rPr>
                      <w:rFonts w:cs="Times New Roman"/>
                      <w:color w:val="auto"/>
                      <w:szCs w:val="21"/>
                    </w:rPr>
                  </w:pPr>
                  <w:r>
                    <w:rPr>
                      <w:rFonts w:cs="Times New Roman"/>
                      <w:color w:val="auto"/>
                      <w:szCs w:val="21"/>
                    </w:rPr>
                    <w:t>一般固废</w:t>
                  </w:r>
                </w:p>
              </w:tc>
            </w:tr>
            <w:tr w14:paraId="072AA15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7" w:hRule="atLeast"/>
                <w:jc w:val="center"/>
              </w:trPr>
              <w:tc>
                <w:tcPr>
                  <w:tcW w:w="795" w:type="pct"/>
                  <w:vMerge w:val="continue"/>
                  <w:tcBorders>
                    <w:tl2br w:val="nil"/>
                    <w:tr2bl w:val="nil"/>
                  </w:tcBorders>
                  <w:vAlign w:val="center"/>
                </w:tcPr>
                <w:p w14:paraId="1CF659B7">
                  <w:pPr>
                    <w:autoSpaceDN w:val="0"/>
                    <w:jc w:val="center"/>
                    <w:textAlignment w:val="bottom"/>
                    <w:rPr>
                      <w:rFonts w:cs="Times New Roman"/>
                      <w:color w:val="auto"/>
                      <w:szCs w:val="21"/>
                    </w:rPr>
                  </w:pPr>
                </w:p>
              </w:tc>
              <w:tc>
                <w:tcPr>
                  <w:tcW w:w="2455" w:type="pct"/>
                  <w:tcBorders>
                    <w:tl2br w:val="nil"/>
                    <w:tr2bl w:val="nil"/>
                  </w:tcBorders>
                  <w:vAlign w:val="center"/>
                </w:tcPr>
                <w:p w14:paraId="78A9879B">
                  <w:pPr>
                    <w:tabs>
                      <w:tab w:val="left" w:pos="1680"/>
                    </w:tabs>
                    <w:autoSpaceDN w:val="0"/>
                    <w:jc w:val="center"/>
                    <w:textAlignment w:val="bottom"/>
                    <w:rPr>
                      <w:rFonts w:cs="Times New Roman"/>
                      <w:color w:val="auto"/>
                      <w:szCs w:val="21"/>
                    </w:rPr>
                  </w:pPr>
                  <w:r>
                    <w:rPr>
                      <w:rFonts w:hint="eastAsia" w:cs="Times New Roman"/>
                      <w:color w:val="auto"/>
                      <w:szCs w:val="21"/>
                    </w:rPr>
                    <w:t>废边角料</w:t>
                  </w:r>
                </w:p>
              </w:tc>
              <w:tc>
                <w:tcPr>
                  <w:tcW w:w="1749" w:type="pct"/>
                  <w:tcBorders>
                    <w:tl2br w:val="nil"/>
                    <w:tr2bl w:val="nil"/>
                  </w:tcBorders>
                  <w:vAlign w:val="center"/>
                </w:tcPr>
                <w:p w14:paraId="7D25F226">
                  <w:pPr>
                    <w:autoSpaceDN w:val="0"/>
                    <w:jc w:val="center"/>
                    <w:textAlignment w:val="bottom"/>
                    <w:rPr>
                      <w:rFonts w:cs="Times New Roman"/>
                      <w:color w:val="auto"/>
                      <w:szCs w:val="21"/>
                    </w:rPr>
                  </w:pPr>
                  <w:r>
                    <w:rPr>
                      <w:rFonts w:cs="Times New Roman"/>
                      <w:color w:val="auto"/>
                      <w:szCs w:val="21"/>
                    </w:rPr>
                    <w:t>一般固废</w:t>
                  </w:r>
                </w:p>
              </w:tc>
            </w:tr>
            <w:tr w14:paraId="400F79A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9" w:hRule="atLeast"/>
                <w:jc w:val="center"/>
              </w:trPr>
              <w:tc>
                <w:tcPr>
                  <w:tcW w:w="795" w:type="pct"/>
                  <w:vMerge w:val="continue"/>
                </w:tcPr>
                <w:p w14:paraId="1F58250D">
                  <w:pPr>
                    <w:autoSpaceDN w:val="0"/>
                    <w:jc w:val="center"/>
                    <w:textAlignment w:val="bottom"/>
                    <w:rPr>
                      <w:rFonts w:cs="Times New Roman"/>
                      <w:color w:val="auto"/>
                      <w:szCs w:val="21"/>
                    </w:rPr>
                  </w:pPr>
                </w:p>
              </w:tc>
              <w:tc>
                <w:tcPr>
                  <w:tcW w:w="2455" w:type="pct"/>
                  <w:vAlign w:val="center"/>
                </w:tcPr>
                <w:p w14:paraId="70D568B1">
                  <w:pPr>
                    <w:jc w:val="center"/>
                    <w:rPr>
                      <w:rFonts w:cs="Times New Roman"/>
                      <w:color w:val="auto"/>
                      <w:szCs w:val="21"/>
                    </w:rPr>
                  </w:pPr>
                  <w:r>
                    <w:rPr>
                      <w:rFonts w:cs="Times New Roman"/>
                      <w:color w:val="auto"/>
                      <w:szCs w:val="21"/>
                    </w:rPr>
                    <w:t>废机油等</w:t>
                  </w:r>
                </w:p>
              </w:tc>
              <w:tc>
                <w:tcPr>
                  <w:tcW w:w="1749" w:type="pct"/>
                </w:tcPr>
                <w:p w14:paraId="7B7524E3">
                  <w:pPr>
                    <w:autoSpaceDN w:val="0"/>
                    <w:jc w:val="center"/>
                    <w:textAlignment w:val="bottom"/>
                    <w:rPr>
                      <w:rFonts w:cs="Times New Roman"/>
                      <w:color w:val="auto"/>
                      <w:szCs w:val="21"/>
                    </w:rPr>
                  </w:pPr>
                  <w:r>
                    <w:rPr>
                      <w:rFonts w:cs="Times New Roman"/>
                      <w:color w:val="auto"/>
                      <w:szCs w:val="21"/>
                    </w:rPr>
                    <w:t>危险废物</w:t>
                  </w:r>
                </w:p>
              </w:tc>
            </w:tr>
          </w:tbl>
          <w:p w14:paraId="64115708">
            <w:pPr>
              <w:spacing w:line="360" w:lineRule="auto"/>
              <w:rPr>
                <w:rFonts w:cs="Times New Roman"/>
                <w:color w:val="auto"/>
                <w:sz w:val="24"/>
                <w:szCs w:val="24"/>
              </w:rPr>
            </w:pPr>
          </w:p>
        </w:tc>
      </w:tr>
      <w:tr w14:paraId="2B7BC0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44" w:hRule="atLeast"/>
          <w:jc w:val="center"/>
        </w:trPr>
        <w:tc>
          <w:tcPr>
            <w:tcW w:w="736" w:type="dxa"/>
            <w:vAlign w:val="center"/>
          </w:tcPr>
          <w:p w14:paraId="3BC17591">
            <w:pPr>
              <w:jc w:val="center"/>
              <w:rPr>
                <w:rFonts w:cs="Times New Roman"/>
                <w:color w:val="auto"/>
                <w:sz w:val="24"/>
                <w:szCs w:val="24"/>
              </w:rPr>
            </w:pPr>
            <w:r>
              <w:rPr>
                <w:rFonts w:cs="Times New Roman"/>
                <w:color w:val="auto"/>
                <w:sz w:val="24"/>
                <w:szCs w:val="24"/>
              </w:rPr>
              <w:t>与项目有关的原有环境污染问题</w:t>
            </w:r>
          </w:p>
        </w:tc>
        <w:tc>
          <w:tcPr>
            <w:tcW w:w="8834" w:type="dxa"/>
            <w:vAlign w:val="center"/>
          </w:tcPr>
          <w:p w14:paraId="1DED28FD">
            <w:pPr>
              <w:spacing w:line="360" w:lineRule="auto"/>
              <w:ind w:firstLine="480" w:firstLineChars="200"/>
              <w:rPr>
                <w:rFonts w:cs="Times New Roman"/>
                <w:color w:val="auto"/>
                <w:sz w:val="24"/>
                <w:szCs w:val="24"/>
              </w:rPr>
            </w:pPr>
            <w:r>
              <w:rPr>
                <w:rFonts w:cs="Times New Roman"/>
                <w:color w:val="auto"/>
                <w:sz w:val="24"/>
                <w:szCs w:val="24"/>
              </w:rPr>
              <w:t>本项目为新建项目，不存在与项目有关的原有污染情况。</w:t>
            </w:r>
          </w:p>
          <w:p w14:paraId="4DA893E7">
            <w:pPr>
              <w:spacing w:line="360" w:lineRule="auto"/>
              <w:ind w:firstLine="480" w:firstLineChars="200"/>
              <w:rPr>
                <w:rFonts w:cs="Times New Roman"/>
                <w:bCs/>
                <w:sz w:val="24"/>
                <w:szCs w:val="24"/>
              </w:rPr>
            </w:pPr>
            <w:r>
              <w:rPr>
                <w:rFonts w:cs="Times New Roman"/>
                <w:color w:val="auto"/>
                <w:sz w:val="24"/>
                <w:szCs w:val="24"/>
              </w:rPr>
              <w:t>根据环评调查，本项目厂房系租用</w:t>
            </w:r>
            <w:r>
              <w:rPr>
                <w:rFonts w:cs="Times New Roman"/>
                <w:bCs/>
                <w:sz w:val="24"/>
                <w:szCs w:val="24"/>
              </w:rPr>
              <w:t>达州市天宇车业有限公司</w:t>
            </w:r>
            <w:r>
              <w:rPr>
                <w:rFonts w:hint="eastAsia" w:cs="Times New Roman"/>
                <w:bCs/>
                <w:sz w:val="24"/>
                <w:szCs w:val="24"/>
              </w:rPr>
              <w:t>“</w:t>
            </w:r>
            <w:r>
              <w:rPr>
                <w:rFonts w:cs="Times New Roman"/>
                <w:bCs/>
                <w:sz w:val="24"/>
                <w:szCs w:val="24"/>
              </w:rPr>
              <w:t>商用半挂车生产及配套建设项目</w:t>
            </w:r>
            <w:r>
              <w:rPr>
                <w:rFonts w:hint="eastAsia" w:cs="Times New Roman"/>
                <w:bCs/>
                <w:sz w:val="24"/>
                <w:szCs w:val="24"/>
              </w:rPr>
              <w:t>”</w:t>
            </w:r>
            <w:r>
              <w:rPr>
                <w:rFonts w:cs="Times New Roman"/>
                <w:color w:val="auto"/>
                <w:sz w:val="24"/>
                <w:szCs w:val="24"/>
              </w:rPr>
              <w:t>的</w:t>
            </w:r>
            <w:r>
              <w:rPr>
                <w:rFonts w:hint="eastAsia" w:cs="Times New Roman"/>
                <w:color w:val="auto"/>
                <w:sz w:val="24"/>
                <w:szCs w:val="24"/>
                <w:lang w:val="en-US" w:eastAsia="zh-CN"/>
              </w:rPr>
              <w:t>1号车间</w:t>
            </w:r>
            <w:r>
              <w:rPr>
                <w:rFonts w:hint="eastAsia" w:cs="Times New Roman"/>
                <w:color w:val="auto"/>
                <w:sz w:val="24"/>
                <w:szCs w:val="24"/>
                <w:lang w:eastAsia="zh-CN"/>
              </w:rPr>
              <w:t>及车间外空地</w:t>
            </w:r>
            <w:r>
              <w:rPr>
                <w:rFonts w:cs="Times New Roman"/>
                <w:color w:val="auto"/>
                <w:sz w:val="24"/>
                <w:szCs w:val="24"/>
              </w:rPr>
              <w:t>。</w:t>
            </w:r>
            <w:r>
              <w:rPr>
                <w:rFonts w:cs="Times New Roman"/>
                <w:bCs/>
                <w:sz w:val="24"/>
                <w:szCs w:val="24"/>
              </w:rPr>
              <w:t>达州市天宇车业有限公司</w:t>
            </w:r>
            <w:r>
              <w:rPr>
                <w:rFonts w:hint="eastAsia" w:cs="Times New Roman"/>
                <w:bCs/>
                <w:sz w:val="24"/>
                <w:szCs w:val="24"/>
              </w:rPr>
              <w:t>“</w:t>
            </w:r>
            <w:r>
              <w:rPr>
                <w:rFonts w:cs="Times New Roman"/>
                <w:bCs/>
                <w:sz w:val="24"/>
                <w:szCs w:val="24"/>
              </w:rPr>
              <w:t>商用半挂车生产及配套建设项目</w:t>
            </w:r>
            <w:r>
              <w:rPr>
                <w:rFonts w:hint="eastAsia" w:cs="Times New Roman"/>
                <w:bCs/>
                <w:sz w:val="24"/>
                <w:szCs w:val="24"/>
              </w:rPr>
              <w:t>”</w:t>
            </w:r>
            <w:r>
              <w:rPr>
                <w:rFonts w:cs="Times New Roman"/>
                <w:bCs/>
                <w:sz w:val="24"/>
                <w:szCs w:val="24"/>
              </w:rPr>
              <w:t>已于2018年取得环评批</w:t>
            </w:r>
            <w:r>
              <w:rPr>
                <w:rFonts w:hint="eastAsia" w:cs="Times New Roman"/>
                <w:bCs/>
                <w:sz w:val="24"/>
                <w:szCs w:val="24"/>
              </w:rPr>
              <w:t>复，</w:t>
            </w:r>
            <w:r>
              <w:rPr>
                <w:rFonts w:cs="Times New Roman"/>
                <w:bCs/>
                <w:sz w:val="24"/>
                <w:szCs w:val="24"/>
              </w:rPr>
              <w:t>部分厂房建成后因天宇公司经营方向调整，目前该半挂车项目未实施，因此该项目也未开展竣工环境保护验收工作</w:t>
            </w:r>
            <w:r>
              <w:rPr>
                <w:rFonts w:hint="eastAsia" w:cs="Times New Roman"/>
                <w:bCs/>
                <w:sz w:val="24"/>
                <w:szCs w:val="24"/>
              </w:rPr>
              <w:t>。</w:t>
            </w:r>
          </w:p>
          <w:p w14:paraId="6F124DC0">
            <w:pPr>
              <w:spacing w:line="360" w:lineRule="auto"/>
              <w:ind w:firstLine="480" w:firstLineChars="200"/>
              <w:rPr>
                <w:rFonts w:cs="Times New Roman"/>
                <w:sz w:val="24"/>
                <w:szCs w:val="24"/>
              </w:rPr>
            </w:pPr>
            <w:r>
              <w:rPr>
                <w:rFonts w:cs="Times New Roman"/>
                <w:sz w:val="24"/>
                <w:szCs w:val="24"/>
              </w:rPr>
              <w:t>根据半挂车项目环评资料，该项目主要生产仓栅式运输半挂车、平板自卸半挂车、汽车货箱以及商用车维修服务与检测等，年检测、维修、保养商用车10000台</w:t>
            </w:r>
            <w:r>
              <w:rPr>
                <w:rFonts w:hint="eastAsia" w:cs="Times New Roman"/>
                <w:sz w:val="24"/>
                <w:szCs w:val="24"/>
              </w:rPr>
              <w:t>（</w:t>
            </w:r>
            <w:r>
              <w:rPr>
                <w:rFonts w:cs="Times New Roman"/>
                <w:sz w:val="24"/>
                <w:szCs w:val="24"/>
              </w:rPr>
              <w:t>次</w:t>
            </w:r>
            <w:r>
              <w:rPr>
                <w:rFonts w:hint="eastAsia" w:cs="Times New Roman"/>
                <w:sz w:val="24"/>
                <w:szCs w:val="24"/>
              </w:rPr>
              <w:t>）</w:t>
            </w:r>
            <w:r>
              <w:rPr>
                <w:rFonts w:cs="Times New Roman"/>
                <w:sz w:val="24"/>
                <w:szCs w:val="24"/>
              </w:rPr>
              <w:t>，年生产1000台半挂车辆，不涉及整车的生产。1</w:t>
            </w:r>
            <w:r>
              <w:rPr>
                <w:rFonts w:hint="eastAsia" w:cs="Times New Roman"/>
                <w:sz w:val="24"/>
                <w:szCs w:val="24"/>
              </w:rPr>
              <w:t>号车间</w:t>
            </w:r>
            <w:r>
              <w:rPr>
                <w:rFonts w:cs="Times New Roman"/>
                <w:sz w:val="24"/>
                <w:szCs w:val="24"/>
              </w:rPr>
              <w:t>原规划为原料的焊接、机加工车间，2</w:t>
            </w:r>
            <w:r>
              <w:rPr>
                <w:rFonts w:hint="eastAsia" w:cs="Times New Roman"/>
                <w:sz w:val="24"/>
                <w:szCs w:val="24"/>
              </w:rPr>
              <w:t>号车间</w:t>
            </w:r>
            <w:r>
              <w:rPr>
                <w:rFonts w:cs="Times New Roman"/>
                <w:sz w:val="24"/>
                <w:szCs w:val="24"/>
              </w:rPr>
              <w:t>原规划为打磨、抛丸、喷涂车间，3</w:t>
            </w:r>
            <w:r>
              <w:rPr>
                <w:rFonts w:hint="eastAsia" w:cs="Times New Roman"/>
                <w:sz w:val="24"/>
                <w:szCs w:val="24"/>
              </w:rPr>
              <w:t>号车间</w:t>
            </w:r>
            <w:r>
              <w:rPr>
                <w:rFonts w:cs="Times New Roman"/>
                <w:sz w:val="24"/>
                <w:szCs w:val="24"/>
              </w:rPr>
              <w:t>原规划为维修车间，4</w:t>
            </w:r>
            <w:r>
              <w:rPr>
                <w:rFonts w:hint="eastAsia" w:cs="Times New Roman"/>
                <w:sz w:val="24"/>
                <w:szCs w:val="24"/>
              </w:rPr>
              <w:t>号车间</w:t>
            </w:r>
            <w:r>
              <w:rPr>
                <w:rFonts w:cs="Times New Roman"/>
                <w:sz w:val="24"/>
                <w:szCs w:val="24"/>
              </w:rPr>
              <w:t>原规划为车辆检测库</w:t>
            </w:r>
            <w:r>
              <w:rPr>
                <w:rFonts w:hint="eastAsia" w:cs="Times New Roman"/>
                <w:sz w:val="24"/>
                <w:szCs w:val="24"/>
              </w:rPr>
              <w:t>，5号车间规划为成品库房。</w:t>
            </w:r>
          </w:p>
          <w:p w14:paraId="21C582CB">
            <w:pPr>
              <w:spacing w:line="360" w:lineRule="auto"/>
              <w:ind w:firstLine="480" w:firstLineChars="200"/>
              <w:rPr>
                <w:rFonts w:cs="Times New Roman"/>
                <w:color w:val="auto"/>
                <w:sz w:val="24"/>
                <w:szCs w:val="24"/>
              </w:rPr>
            </w:pPr>
            <w:r>
              <w:rPr>
                <w:rFonts w:hint="eastAsia" w:cs="Times New Roman"/>
                <w:sz w:val="24"/>
                <w:szCs w:val="24"/>
              </w:rPr>
              <w:t>目前，该项目已建成</w:t>
            </w:r>
            <w:r>
              <w:rPr>
                <w:rFonts w:cs="Times New Roman"/>
                <w:sz w:val="24"/>
                <w:szCs w:val="24"/>
              </w:rPr>
              <w:t>1</w:t>
            </w:r>
            <w:r>
              <w:rPr>
                <w:rFonts w:hint="eastAsia" w:cs="Times New Roman"/>
                <w:sz w:val="24"/>
                <w:szCs w:val="24"/>
              </w:rPr>
              <w:t>号～</w:t>
            </w:r>
            <w:r>
              <w:rPr>
                <w:rFonts w:cs="Times New Roman"/>
                <w:sz w:val="24"/>
                <w:szCs w:val="24"/>
              </w:rPr>
              <w:t>4</w:t>
            </w:r>
            <w:r>
              <w:rPr>
                <w:rFonts w:hint="eastAsia" w:cs="Times New Roman"/>
                <w:sz w:val="24"/>
                <w:szCs w:val="24"/>
              </w:rPr>
              <w:t>号车间，</w:t>
            </w:r>
            <w:r>
              <w:rPr>
                <w:rFonts w:cs="Times New Roman"/>
                <w:sz w:val="24"/>
                <w:szCs w:val="24"/>
              </w:rPr>
              <w:t>5</w:t>
            </w:r>
            <w:r>
              <w:rPr>
                <w:rFonts w:hint="eastAsia" w:cs="Times New Roman"/>
                <w:sz w:val="24"/>
                <w:szCs w:val="24"/>
              </w:rPr>
              <w:t>号车间未建设，由于该企业产业调整等因素，目前半挂车项目未实施。</w:t>
            </w:r>
            <w:r>
              <w:rPr>
                <w:rFonts w:hint="eastAsia" w:cs="Times New Roman"/>
                <w:color w:val="000000" w:themeColor="text1"/>
                <w:sz w:val="24"/>
                <w:szCs w:val="24"/>
                <w14:textFill>
                  <w14:solidFill>
                    <w14:schemeClr w14:val="tx1"/>
                  </w14:solidFill>
                </w14:textFill>
              </w:rPr>
              <w:t>厂区内将2</w:t>
            </w:r>
            <w:r>
              <w:rPr>
                <w:rFonts w:hint="eastAsia" w:cs="Times New Roman"/>
                <w:color w:val="000000" w:themeColor="text1"/>
                <w:sz w:val="24"/>
                <w:szCs w:val="24"/>
                <w:lang w:eastAsia="zh-CN"/>
                <w14:textFill>
                  <w14:solidFill>
                    <w14:schemeClr w14:val="tx1"/>
                  </w14:solidFill>
                </w14:textFill>
              </w:rPr>
              <w:t>号车间</w:t>
            </w:r>
            <w:r>
              <w:rPr>
                <w:rFonts w:hint="eastAsia" w:cs="Times New Roman"/>
                <w:color w:val="000000" w:themeColor="text1"/>
                <w:sz w:val="24"/>
                <w:szCs w:val="24"/>
                <w14:textFill>
                  <w14:solidFill>
                    <w14:schemeClr w14:val="tx1"/>
                  </w14:solidFill>
                </w14:textFill>
              </w:rPr>
              <w:t>外租给达州绿盛源环保科技有限公司，从事一般工业固体废物回收利用项目，将4号</w:t>
            </w:r>
            <w:r>
              <w:rPr>
                <w:rFonts w:hint="eastAsia" w:cs="Times New Roman"/>
                <w:color w:val="000000" w:themeColor="text1"/>
                <w:sz w:val="24"/>
                <w:szCs w:val="24"/>
                <w:lang w:eastAsia="zh-CN"/>
                <w14:textFill>
                  <w14:solidFill>
                    <w14:schemeClr w14:val="tx1"/>
                  </w14:solidFill>
                </w14:textFill>
              </w:rPr>
              <w:t>车间</w:t>
            </w:r>
            <w:r>
              <w:rPr>
                <w:rFonts w:hint="eastAsia" w:cs="Times New Roman"/>
                <w:color w:val="000000" w:themeColor="text1"/>
                <w:sz w:val="24"/>
                <w:szCs w:val="24"/>
                <w14:textFill>
                  <w14:solidFill>
                    <w14:schemeClr w14:val="tx1"/>
                  </w14:solidFill>
                </w14:textFill>
              </w:rPr>
              <w:t>外租给四川鑫永佳环保科技有限公司，从事废旧塑料回收利用项目，将3号</w:t>
            </w:r>
            <w:r>
              <w:rPr>
                <w:rFonts w:hint="eastAsia" w:cs="Times New Roman"/>
                <w:color w:val="000000" w:themeColor="text1"/>
                <w:sz w:val="24"/>
                <w:szCs w:val="24"/>
                <w:lang w:eastAsia="zh-CN"/>
                <w14:textFill>
                  <w14:solidFill>
                    <w14:schemeClr w14:val="tx1"/>
                  </w14:solidFill>
                </w14:textFill>
              </w:rPr>
              <w:t>车间</w:t>
            </w:r>
            <w:r>
              <w:rPr>
                <w:rFonts w:hint="eastAsia" w:cs="Times New Roman"/>
                <w:color w:val="000000" w:themeColor="text1"/>
                <w:sz w:val="24"/>
                <w:szCs w:val="24"/>
                <w14:textFill>
                  <w14:solidFill>
                    <w14:schemeClr w14:val="tx1"/>
                  </w14:solidFill>
                </w14:textFill>
              </w:rPr>
              <w:t>租给达州驰鑫门窗有限公司，从事门窗生产及加工</w:t>
            </w:r>
            <w:r>
              <w:rPr>
                <w:rFonts w:cs="Times New Roman"/>
                <w:color w:val="000000" w:themeColor="text1"/>
                <w:sz w:val="24"/>
                <w:szCs w:val="24"/>
                <w14:textFill>
                  <w14:solidFill>
                    <w14:schemeClr w14:val="tx1"/>
                  </w14:solidFill>
                </w14:textFill>
              </w:rPr>
              <w:t>。</w:t>
            </w:r>
            <w:r>
              <w:rPr>
                <w:rFonts w:hint="eastAsia" w:cs="Times New Roman"/>
                <w:sz w:val="24"/>
                <w:szCs w:val="24"/>
              </w:rPr>
              <w:t>结合项目实际，本项目的建设不会对原有项目配套车间的规划造成冲突，</w:t>
            </w:r>
            <w:r>
              <w:rPr>
                <w:rFonts w:hint="eastAsia" w:cs="Times New Roman"/>
                <w:sz w:val="24"/>
                <w:szCs w:val="24"/>
                <w:lang w:eastAsia="zh-CN"/>
              </w:rPr>
              <w:t>且租用的</w:t>
            </w:r>
            <w:r>
              <w:rPr>
                <w:rFonts w:hint="eastAsia" w:cs="Times New Roman"/>
                <w:sz w:val="24"/>
                <w:szCs w:val="24"/>
                <w:lang w:val="en-US" w:eastAsia="zh-CN"/>
              </w:rPr>
              <w:t>1号车间</w:t>
            </w:r>
            <w:r>
              <w:rPr>
                <w:rFonts w:cs="Times New Roman"/>
                <w:color w:val="auto"/>
                <w:sz w:val="24"/>
                <w:szCs w:val="24"/>
              </w:rPr>
              <w:t>目前为空置状态。车间地面已采取水泥硬化防渗处理。从现场看，车间内无任何杂物，无遗留的环境问题。</w:t>
            </w:r>
          </w:p>
          <w:p w14:paraId="4CEDE24B">
            <w:pPr>
              <w:spacing w:line="360" w:lineRule="auto"/>
              <w:ind w:firstLine="480" w:firstLineChars="200"/>
              <w:rPr>
                <w:rFonts w:cs="Times New Roman"/>
                <w:color w:val="auto"/>
                <w:sz w:val="24"/>
                <w:szCs w:val="24"/>
              </w:rPr>
            </w:pPr>
          </w:p>
          <w:p w14:paraId="3CD4C4F5">
            <w:pPr>
              <w:spacing w:line="360" w:lineRule="auto"/>
              <w:ind w:firstLine="480" w:firstLineChars="200"/>
              <w:rPr>
                <w:rFonts w:cs="Times New Roman"/>
                <w:color w:val="auto"/>
                <w:sz w:val="24"/>
                <w:szCs w:val="24"/>
              </w:rPr>
            </w:pPr>
          </w:p>
          <w:p w14:paraId="4BF0206E">
            <w:pPr>
              <w:spacing w:line="360" w:lineRule="auto"/>
              <w:ind w:firstLine="480" w:firstLineChars="200"/>
              <w:rPr>
                <w:rFonts w:cs="Times New Roman"/>
                <w:color w:val="auto"/>
                <w:sz w:val="24"/>
                <w:szCs w:val="24"/>
              </w:rPr>
            </w:pPr>
          </w:p>
          <w:p w14:paraId="083F89EE">
            <w:pPr>
              <w:spacing w:line="360" w:lineRule="auto"/>
              <w:ind w:firstLine="480" w:firstLineChars="200"/>
              <w:rPr>
                <w:rFonts w:cs="Times New Roman"/>
                <w:color w:val="auto"/>
                <w:sz w:val="24"/>
                <w:szCs w:val="24"/>
              </w:rPr>
            </w:pPr>
          </w:p>
          <w:p w14:paraId="5A3ED318">
            <w:pPr>
              <w:spacing w:line="360" w:lineRule="auto"/>
              <w:ind w:firstLine="480" w:firstLineChars="200"/>
              <w:rPr>
                <w:rFonts w:cs="Times New Roman"/>
                <w:color w:val="auto"/>
                <w:sz w:val="24"/>
                <w:szCs w:val="24"/>
              </w:rPr>
            </w:pPr>
          </w:p>
          <w:p w14:paraId="6C16B12D">
            <w:pPr>
              <w:spacing w:line="360" w:lineRule="auto"/>
              <w:ind w:firstLine="480" w:firstLineChars="200"/>
              <w:rPr>
                <w:rFonts w:cs="Times New Roman"/>
                <w:color w:val="auto"/>
                <w:sz w:val="24"/>
                <w:szCs w:val="24"/>
              </w:rPr>
            </w:pPr>
          </w:p>
        </w:tc>
      </w:tr>
    </w:tbl>
    <w:p w14:paraId="504BFA6A">
      <w:pPr>
        <w:pStyle w:val="58"/>
        <w:jc w:val="center"/>
        <w:outlineLvl w:val="9"/>
        <w:rPr>
          <w:rFonts w:cs="Times New Roman"/>
          <w:b w:val="0"/>
          <w:color w:val="auto"/>
          <w:sz w:val="30"/>
          <w:szCs w:val="30"/>
        </w:rPr>
        <w:sectPr>
          <w:pgSz w:w="11906" w:h="16838"/>
          <w:pgMar w:top="1134" w:right="1134" w:bottom="1134" w:left="1418" w:header="851" w:footer="992" w:gutter="0"/>
          <w:pgBorders>
            <w:top w:val="none" w:sz="0" w:space="0"/>
            <w:left w:val="none" w:sz="0" w:space="0"/>
            <w:bottom w:val="none" w:sz="0" w:space="0"/>
            <w:right w:val="none" w:sz="0" w:space="0"/>
          </w:pgBorders>
          <w:pgNumType w:fmt="numberInDash"/>
          <w:cols w:space="720" w:num="1"/>
          <w:docGrid w:type="lines" w:linePitch="312" w:charSpace="0"/>
        </w:sectPr>
      </w:pPr>
    </w:p>
    <w:p w14:paraId="064FAD73">
      <w:pPr>
        <w:pStyle w:val="58"/>
        <w:jc w:val="center"/>
        <w:rPr>
          <w:rFonts w:ascii="黑体" w:hAnsi="黑体" w:eastAsia="黑体"/>
          <w:b w:val="0"/>
          <w:color w:val="auto"/>
          <w:sz w:val="30"/>
          <w:szCs w:val="30"/>
        </w:rPr>
      </w:pPr>
      <w:bookmarkStart w:id="6" w:name="_Toc9139"/>
      <w:r>
        <w:rPr>
          <w:rFonts w:hint="eastAsia" w:ascii="黑体" w:hAnsi="黑体" w:eastAsia="黑体"/>
          <w:b w:val="0"/>
          <w:color w:val="auto"/>
          <w:sz w:val="30"/>
          <w:szCs w:val="30"/>
        </w:rPr>
        <w:t>三、区域环境质量现状、环境保护目标及评价标准</w:t>
      </w:r>
      <w:bookmarkEnd w:id="6"/>
    </w:p>
    <w:tbl>
      <w:tblPr>
        <w:tblStyle w:val="24"/>
        <w:tblW w:w="96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1"/>
        <w:gridCol w:w="8974"/>
      </w:tblGrid>
      <w:tr w14:paraId="4F2EF7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844" w:type="dxa"/>
            <w:vAlign w:val="center"/>
          </w:tcPr>
          <w:p w14:paraId="100498C2">
            <w:pPr>
              <w:jc w:val="center"/>
              <w:rPr>
                <w:rFonts w:cs="Times New Roman"/>
                <w:color w:val="auto"/>
                <w:sz w:val="24"/>
                <w:szCs w:val="24"/>
              </w:rPr>
            </w:pPr>
            <w:r>
              <w:rPr>
                <w:rFonts w:cs="Times New Roman"/>
                <w:color w:val="auto"/>
                <w:sz w:val="24"/>
                <w:szCs w:val="24"/>
              </w:rPr>
              <w:t>区域</w:t>
            </w:r>
          </w:p>
          <w:p w14:paraId="59D10DD9">
            <w:pPr>
              <w:jc w:val="center"/>
              <w:rPr>
                <w:rFonts w:cs="Times New Roman"/>
                <w:color w:val="auto"/>
                <w:sz w:val="24"/>
                <w:szCs w:val="24"/>
              </w:rPr>
            </w:pPr>
            <w:r>
              <w:rPr>
                <w:rFonts w:cs="Times New Roman"/>
                <w:color w:val="auto"/>
                <w:sz w:val="24"/>
                <w:szCs w:val="24"/>
              </w:rPr>
              <w:t>环境</w:t>
            </w:r>
          </w:p>
          <w:p w14:paraId="5949C3EE">
            <w:pPr>
              <w:jc w:val="center"/>
              <w:rPr>
                <w:rFonts w:cs="Times New Roman"/>
                <w:color w:val="auto"/>
                <w:sz w:val="24"/>
                <w:szCs w:val="24"/>
              </w:rPr>
            </w:pPr>
            <w:r>
              <w:rPr>
                <w:rFonts w:cs="Times New Roman"/>
                <w:color w:val="auto"/>
                <w:sz w:val="24"/>
                <w:szCs w:val="24"/>
              </w:rPr>
              <w:t>质量</w:t>
            </w:r>
          </w:p>
          <w:p w14:paraId="7C1303B1">
            <w:pPr>
              <w:jc w:val="center"/>
              <w:rPr>
                <w:rFonts w:cs="Times New Roman"/>
                <w:color w:val="auto"/>
                <w:sz w:val="24"/>
                <w:szCs w:val="24"/>
              </w:rPr>
            </w:pPr>
            <w:r>
              <w:rPr>
                <w:rFonts w:cs="Times New Roman"/>
                <w:color w:val="auto"/>
                <w:sz w:val="24"/>
                <w:szCs w:val="24"/>
              </w:rPr>
              <w:t>现状</w:t>
            </w:r>
          </w:p>
        </w:tc>
        <w:tc>
          <w:tcPr>
            <w:tcW w:w="8811" w:type="dxa"/>
            <w:vAlign w:val="center"/>
          </w:tcPr>
          <w:p w14:paraId="100F2D17">
            <w:pPr>
              <w:keepNext w:val="0"/>
              <w:keepLines w:val="0"/>
              <w:pageBreakBefore w:val="0"/>
              <w:widowControl w:val="0"/>
              <w:kinsoku/>
              <w:wordWrap/>
              <w:overflowPunct/>
              <w:topLinePunct w:val="0"/>
              <w:autoSpaceDE/>
              <w:autoSpaceDN/>
              <w:bidi w:val="0"/>
              <w:adjustRightInd/>
              <w:snapToGrid/>
              <w:spacing w:line="470" w:lineRule="exact"/>
              <w:ind w:firstLine="482" w:firstLineChars="200"/>
              <w:textAlignment w:val="auto"/>
              <w:rPr>
                <w:rFonts w:cs="Times New Roman"/>
                <w:b/>
                <w:color w:val="auto"/>
                <w:sz w:val="24"/>
                <w:szCs w:val="24"/>
              </w:rPr>
            </w:pPr>
            <w:r>
              <w:rPr>
                <w:rFonts w:cs="Times New Roman"/>
                <w:b/>
                <w:color w:val="auto"/>
                <w:sz w:val="24"/>
                <w:szCs w:val="24"/>
              </w:rPr>
              <w:t>1、大气环境质量现状</w:t>
            </w:r>
          </w:p>
          <w:p w14:paraId="4651AFB3">
            <w:pPr>
              <w:keepNext w:val="0"/>
              <w:keepLines w:val="0"/>
              <w:pageBreakBefore w:val="0"/>
              <w:widowControl w:val="0"/>
              <w:kinsoku/>
              <w:wordWrap/>
              <w:overflowPunct/>
              <w:topLinePunct w:val="0"/>
              <w:autoSpaceDE/>
              <w:autoSpaceDN/>
              <w:bidi w:val="0"/>
              <w:adjustRightInd/>
              <w:snapToGrid/>
              <w:spacing w:line="470" w:lineRule="exact"/>
              <w:ind w:firstLine="482" w:firstLineChars="200"/>
              <w:textAlignment w:val="auto"/>
              <w:rPr>
                <w:rFonts w:cs="Times New Roman"/>
                <w:b/>
                <w:color w:val="auto"/>
                <w:sz w:val="24"/>
                <w:szCs w:val="24"/>
              </w:rPr>
            </w:pPr>
            <w:r>
              <w:rPr>
                <w:rFonts w:cs="Times New Roman"/>
                <w:b/>
                <w:color w:val="auto"/>
                <w:sz w:val="24"/>
                <w:szCs w:val="24"/>
              </w:rPr>
              <w:t>（1）达标区判定</w:t>
            </w:r>
          </w:p>
          <w:p w14:paraId="21BE8BEB">
            <w:pPr>
              <w:keepNext w:val="0"/>
              <w:keepLines w:val="0"/>
              <w:pageBreakBefore w:val="0"/>
              <w:widowControl w:val="0"/>
              <w:kinsoku/>
              <w:wordWrap/>
              <w:overflowPunct/>
              <w:topLinePunct w:val="0"/>
              <w:autoSpaceDE/>
              <w:autoSpaceDN/>
              <w:bidi w:val="0"/>
              <w:adjustRightInd/>
              <w:snapToGrid/>
              <w:spacing w:line="470" w:lineRule="exact"/>
              <w:ind w:firstLine="480" w:firstLineChars="200"/>
              <w:textAlignment w:val="auto"/>
              <w:rPr>
                <w:rFonts w:cs="Times New Roman"/>
                <w:color w:val="auto"/>
                <w:sz w:val="24"/>
                <w:szCs w:val="24"/>
              </w:rPr>
            </w:pPr>
            <w:r>
              <w:rPr>
                <w:rFonts w:cs="Times New Roman"/>
                <w:color w:val="auto"/>
                <w:sz w:val="24"/>
                <w:szCs w:val="24"/>
              </w:rPr>
              <w:t>本项目位于</w:t>
            </w:r>
            <w:r>
              <w:rPr>
                <w:rFonts w:hint="eastAsia" w:cs="Times New Roman"/>
                <w:color w:val="auto"/>
                <w:sz w:val="24"/>
                <w:szCs w:val="24"/>
                <w:lang w:eastAsia="zh-CN"/>
              </w:rPr>
              <w:t>达州市通川区</w:t>
            </w:r>
            <w:r>
              <w:rPr>
                <w:rFonts w:cs="Times New Roman"/>
                <w:color w:val="auto"/>
                <w:sz w:val="24"/>
                <w:szCs w:val="24"/>
              </w:rPr>
              <w:t>，为了解区域环境空气质量现状，本次环评</w:t>
            </w:r>
            <w:r>
              <w:rPr>
                <w:rFonts w:hint="eastAsia" w:cs="Times New Roman"/>
                <w:color w:val="auto"/>
                <w:sz w:val="24"/>
                <w:szCs w:val="24"/>
                <w:lang w:eastAsia="zh-CN"/>
              </w:rPr>
              <w:t>采</w:t>
            </w:r>
            <w:r>
              <w:rPr>
                <w:rFonts w:cs="Times New Roman"/>
                <w:color w:val="auto"/>
                <w:sz w:val="24"/>
                <w:szCs w:val="24"/>
              </w:rPr>
              <w:t>用达州市生态环境局</w:t>
            </w:r>
            <w:r>
              <w:rPr>
                <w:rFonts w:hint="eastAsia" w:cs="Times New Roman"/>
                <w:color w:val="auto"/>
                <w:sz w:val="24"/>
                <w:szCs w:val="24"/>
                <w:lang w:eastAsia="zh-CN"/>
              </w:rPr>
              <w:t>网站（https://sthjj.dazhou.gov.cn/news-show-18384.html）</w:t>
            </w:r>
            <w:r>
              <w:rPr>
                <w:rFonts w:cs="Times New Roman"/>
                <w:color w:val="auto"/>
                <w:sz w:val="24"/>
                <w:szCs w:val="24"/>
              </w:rPr>
              <w:t>202</w:t>
            </w:r>
            <w:r>
              <w:rPr>
                <w:rFonts w:hint="eastAsia" w:cs="Times New Roman"/>
                <w:color w:val="auto"/>
                <w:sz w:val="24"/>
                <w:szCs w:val="24"/>
                <w:lang w:val="en-US" w:eastAsia="zh-CN"/>
              </w:rPr>
              <w:t>4</w:t>
            </w:r>
            <w:r>
              <w:rPr>
                <w:rFonts w:cs="Times New Roman"/>
                <w:color w:val="auto"/>
                <w:sz w:val="24"/>
                <w:szCs w:val="24"/>
              </w:rPr>
              <w:t>年1月18日公布的《达州市202</w:t>
            </w:r>
            <w:r>
              <w:rPr>
                <w:rFonts w:hint="eastAsia" w:cs="Times New Roman"/>
                <w:color w:val="auto"/>
                <w:sz w:val="24"/>
                <w:szCs w:val="24"/>
                <w:lang w:val="en-US" w:eastAsia="zh-CN"/>
              </w:rPr>
              <w:t>3</w:t>
            </w:r>
            <w:r>
              <w:rPr>
                <w:rFonts w:cs="Times New Roman"/>
                <w:color w:val="auto"/>
                <w:sz w:val="24"/>
                <w:szCs w:val="24"/>
              </w:rPr>
              <w:t>年环境空气质量状况》中相关数据和结论。</w:t>
            </w:r>
          </w:p>
          <w:p w14:paraId="48D52FD7">
            <w:pPr>
              <w:keepNext w:val="0"/>
              <w:keepLines w:val="0"/>
              <w:pageBreakBefore w:val="0"/>
              <w:widowControl w:val="0"/>
              <w:kinsoku/>
              <w:wordWrap/>
              <w:overflowPunct/>
              <w:topLinePunct w:val="0"/>
              <w:autoSpaceDE/>
              <w:autoSpaceDN/>
              <w:bidi w:val="0"/>
              <w:adjustRightInd/>
              <w:snapToGrid/>
              <w:spacing w:line="470" w:lineRule="exact"/>
              <w:ind w:firstLine="516" w:firstLineChars="200"/>
              <w:textAlignment w:val="auto"/>
              <w:rPr>
                <w:rFonts w:cs="Times New Roman"/>
                <w:color w:val="auto"/>
                <w:sz w:val="24"/>
                <w:szCs w:val="24"/>
              </w:rPr>
            </w:pPr>
            <w:r>
              <w:rPr>
                <w:color w:val="auto"/>
                <w:spacing w:val="9"/>
                <w:sz w:val="24"/>
                <w:szCs w:val="24"/>
              </w:rPr>
              <w:t>达州市市辖区空气质量状况</w:t>
            </w:r>
            <w:r>
              <w:rPr>
                <w:rFonts w:ascii="Times New Roman" w:hAnsi="Times New Roman" w:eastAsia="Times New Roman" w:cs="Times New Roman"/>
                <w:color w:val="auto"/>
                <w:spacing w:val="9"/>
                <w:sz w:val="24"/>
                <w:szCs w:val="24"/>
              </w:rPr>
              <w:t>——202</w:t>
            </w:r>
            <w:r>
              <w:rPr>
                <w:rFonts w:hint="eastAsia" w:ascii="Times New Roman" w:hAnsi="Times New Roman" w:eastAsia="宋体" w:cs="Times New Roman"/>
                <w:color w:val="auto"/>
                <w:spacing w:val="9"/>
                <w:sz w:val="24"/>
                <w:szCs w:val="24"/>
                <w:lang w:val="en-US" w:eastAsia="zh-CN"/>
              </w:rPr>
              <w:t>3</w:t>
            </w:r>
            <w:r>
              <w:rPr>
                <w:color w:val="auto"/>
                <w:spacing w:val="9"/>
                <w:sz w:val="24"/>
                <w:szCs w:val="24"/>
              </w:rPr>
              <w:t>年</w:t>
            </w:r>
            <w:r>
              <w:rPr>
                <w:color w:val="auto"/>
                <w:spacing w:val="-22"/>
                <w:sz w:val="24"/>
                <w:szCs w:val="24"/>
              </w:rPr>
              <w:t xml:space="preserve"> </w:t>
            </w:r>
            <w:r>
              <w:rPr>
                <w:rFonts w:ascii="Times New Roman" w:hAnsi="Times New Roman" w:eastAsia="Times New Roman" w:cs="Times New Roman"/>
                <w:color w:val="auto"/>
                <w:sz w:val="24"/>
                <w:szCs w:val="24"/>
              </w:rPr>
              <w:t>SO</w:t>
            </w:r>
            <w:r>
              <w:rPr>
                <w:rFonts w:ascii="Times New Roman" w:hAnsi="Times New Roman" w:eastAsia="Times New Roman" w:cs="Times New Roman"/>
                <w:color w:val="auto"/>
                <w:spacing w:val="7"/>
                <w:position w:val="-1"/>
                <w:sz w:val="24"/>
                <w:szCs w:val="24"/>
                <w:vertAlign w:val="subscript"/>
              </w:rPr>
              <w:t>2</w:t>
            </w:r>
            <w:r>
              <w:rPr>
                <w:color w:val="auto"/>
                <w:spacing w:val="9"/>
                <w:sz w:val="24"/>
                <w:szCs w:val="24"/>
              </w:rPr>
              <w:t>浓度达川区最高为</w:t>
            </w:r>
            <w:r>
              <w:rPr>
                <w:rFonts w:ascii="Times New Roman" w:hAnsi="Times New Roman" w:eastAsia="Times New Roman" w:cs="Times New Roman"/>
                <w:color w:val="auto"/>
                <w:spacing w:val="9"/>
                <w:sz w:val="24"/>
                <w:szCs w:val="24"/>
              </w:rPr>
              <w:t>10μ</w:t>
            </w:r>
            <w:r>
              <w:rPr>
                <w:rFonts w:ascii="Times New Roman" w:hAnsi="Times New Roman" w:eastAsia="Times New Roman" w:cs="Times New Roman"/>
                <w:color w:val="auto"/>
                <w:spacing w:val="8"/>
                <w:sz w:val="24"/>
                <w:szCs w:val="24"/>
              </w:rPr>
              <w:t>g/m</w:t>
            </w:r>
            <w:r>
              <w:rPr>
                <w:rFonts w:ascii="Times New Roman" w:hAnsi="Times New Roman" w:eastAsia="Times New Roman" w:cs="Times New Roman"/>
                <w:color w:val="auto"/>
                <w:spacing w:val="8"/>
                <w:position w:val="6"/>
                <w:sz w:val="24"/>
                <w:szCs w:val="24"/>
                <w:vertAlign w:val="superscript"/>
              </w:rPr>
              <w:t>3</w:t>
            </w:r>
            <w:r>
              <w:rPr>
                <w:color w:val="auto"/>
                <w:spacing w:val="8"/>
                <w:sz w:val="24"/>
                <w:szCs w:val="24"/>
              </w:rPr>
              <w:t>，开</w:t>
            </w:r>
            <w:r>
              <w:rPr>
                <w:color w:val="auto"/>
                <w:spacing w:val="7"/>
                <w:sz w:val="24"/>
                <w:szCs w:val="24"/>
              </w:rPr>
              <w:t>江县最低为</w:t>
            </w:r>
            <w:r>
              <w:rPr>
                <w:color w:val="auto"/>
                <w:spacing w:val="-42"/>
                <w:sz w:val="24"/>
                <w:szCs w:val="24"/>
              </w:rPr>
              <w:t xml:space="preserve"> </w:t>
            </w:r>
            <w:r>
              <w:rPr>
                <w:rFonts w:ascii="Times New Roman" w:hAnsi="Times New Roman" w:eastAsia="Times New Roman" w:cs="Times New Roman"/>
                <w:color w:val="auto"/>
                <w:spacing w:val="7"/>
                <w:sz w:val="24"/>
                <w:szCs w:val="24"/>
              </w:rPr>
              <w:t>4μg/m</w:t>
            </w:r>
            <w:r>
              <w:rPr>
                <w:rFonts w:ascii="Times New Roman" w:hAnsi="Times New Roman" w:eastAsia="Times New Roman" w:cs="Times New Roman"/>
                <w:color w:val="auto"/>
                <w:spacing w:val="8"/>
                <w:position w:val="6"/>
                <w:sz w:val="24"/>
                <w:szCs w:val="24"/>
                <w:vertAlign w:val="superscript"/>
              </w:rPr>
              <w:t>3</w:t>
            </w:r>
            <w:r>
              <w:rPr>
                <w:color w:val="auto"/>
                <w:spacing w:val="7"/>
                <w:sz w:val="24"/>
                <w:szCs w:val="24"/>
              </w:rPr>
              <w:t>；</w:t>
            </w:r>
            <w:r>
              <w:rPr>
                <w:rFonts w:ascii="Times New Roman" w:hAnsi="Times New Roman" w:eastAsia="Times New Roman" w:cs="Times New Roman"/>
                <w:color w:val="auto"/>
                <w:sz w:val="24"/>
                <w:szCs w:val="24"/>
              </w:rPr>
              <w:t>NO</w:t>
            </w:r>
            <w:r>
              <w:rPr>
                <w:rFonts w:ascii="Times New Roman" w:hAnsi="Times New Roman" w:eastAsia="Times New Roman" w:cs="Times New Roman"/>
                <w:color w:val="auto"/>
                <w:spacing w:val="7"/>
                <w:position w:val="-1"/>
                <w:sz w:val="24"/>
                <w:szCs w:val="24"/>
                <w:vertAlign w:val="subscript"/>
              </w:rPr>
              <w:t>2</w:t>
            </w:r>
            <w:r>
              <w:rPr>
                <w:color w:val="auto"/>
                <w:spacing w:val="7"/>
                <w:sz w:val="24"/>
                <w:szCs w:val="24"/>
              </w:rPr>
              <w:t>浓度达川区最高为</w:t>
            </w:r>
            <w:r>
              <w:rPr>
                <w:color w:val="auto"/>
                <w:spacing w:val="-37"/>
                <w:sz w:val="24"/>
                <w:szCs w:val="24"/>
              </w:rPr>
              <w:t xml:space="preserve"> </w:t>
            </w:r>
            <w:r>
              <w:rPr>
                <w:rFonts w:ascii="Times New Roman" w:hAnsi="Times New Roman" w:eastAsia="Times New Roman" w:cs="Times New Roman"/>
                <w:color w:val="auto"/>
                <w:spacing w:val="7"/>
                <w:sz w:val="24"/>
                <w:szCs w:val="24"/>
              </w:rPr>
              <w:t>39μg/m</w:t>
            </w:r>
            <w:r>
              <w:rPr>
                <w:rFonts w:ascii="Times New Roman" w:hAnsi="Times New Roman" w:eastAsia="Times New Roman" w:cs="Times New Roman"/>
                <w:color w:val="auto"/>
                <w:spacing w:val="8"/>
                <w:position w:val="6"/>
                <w:sz w:val="24"/>
                <w:szCs w:val="24"/>
                <w:vertAlign w:val="superscript"/>
              </w:rPr>
              <w:t>3</w:t>
            </w:r>
            <w:r>
              <w:rPr>
                <w:color w:val="auto"/>
                <w:spacing w:val="6"/>
                <w:sz w:val="24"/>
                <w:szCs w:val="24"/>
              </w:rPr>
              <w:t>，宣汉县最低为</w:t>
            </w:r>
            <w:r>
              <w:rPr>
                <w:color w:val="auto"/>
                <w:spacing w:val="-40"/>
                <w:sz w:val="24"/>
                <w:szCs w:val="24"/>
              </w:rPr>
              <w:t xml:space="preserve"> </w:t>
            </w:r>
            <w:r>
              <w:rPr>
                <w:rFonts w:ascii="Times New Roman" w:hAnsi="Times New Roman" w:eastAsia="Times New Roman" w:cs="Times New Roman"/>
                <w:color w:val="auto"/>
                <w:spacing w:val="6"/>
                <w:sz w:val="24"/>
                <w:szCs w:val="24"/>
              </w:rPr>
              <w:t>20μg/m</w:t>
            </w:r>
            <w:r>
              <w:rPr>
                <w:rFonts w:ascii="Times New Roman" w:hAnsi="Times New Roman" w:eastAsia="Times New Roman" w:cs="Times New Roman"/>
                <w:color w:val="auto"/>
                <w:spacing w:val="8"/>
                <w:position w:val="6"/>
                <w:sz w:val="24"/>
                <w:szCs w:val="24"/>
                <w:vertAlign w:val="superscript"/>
              </w:rPr>
              <w:t>3</w:t>
            </w:r>
            <w:r>
              <w:rPr>
                <w:color w:val="auto"/>
                <w:spacing w:val="6"/>
                <w:sz w:val="24"/>
                <w:szCs w:val="24"/>
              </w:rPr>
              <w:t>；</w:t>
            </w:r>
            <w:r>
              <w:rPr>
                <w:rFonts w:ascii="Times New Roman" w:hAnsi="Times New Roman" w:eastAsia="Times New Roman" w:cs="Times New Roman"/>
                <w:color w:val="auto"/>
                <w:sz w:val="24"/>
                <w:szCs w:val="24"/>
              </w:rPr>
              <w:t>CO</w:t>
            </w:r>
            <w:r>
              <w:rPr>
                <w:color w:val="auto"/>
                <w:spacing w:val="6"/>
                <w:sz w:val="24"/>
                <w:szCs w:val="24"/>
              </w:rPr>
              <w:t>浓</w:t>
            </w:r>
            <w:r>
              <w:rPr>
                <w:color w:val="auto"/>
                <w:spacing w:val="4"/>
                <w:sz w:val="24"/>
                <w:szCs w:val="24"/>
              </w:rPr>
              <w:t>度通川区最高为</w:t>
            </w:r>
            <w:r>
              <w:rPr>
                <w:rFonts w:ascii="Times New Roman" w:hAnsi="Times New Roman" w:eastAsia="Times New Roman" w:cs="Times New Roman"/>
                <w:color w:val="auto"/>
                <w:spacing w:val="4"/>
                <w:sz w:val="24"/>
                <w:szCs w:val="24"/>
              </w:rPr>
              <w:t>1.4</w:t>
            </w:r>
            <w:r>
              <w:rPr>
                <w:rFonts w:ascii="Times New Roman" w:hAnsi="Times New Roman" w:eastAsia="Times New Roman" w:cs="Times New Roman"/>
                <w:color w:val="auto"/>
                <w:sz w:val="24"/>
                <w:szCs w:val="24"/>
              </w:rPr>
              <w:t>mg</w:t>
            </w:r>
            <w:r>
              <w:rPr>
                <w:rFonts w:ascii="Times New Roman" w:hAnsi="Times New Roman" w:eastAsia="Times New Roman" w:cs="Times New Roman"/>
                <w:color w:val="auto"/>
                <w:spacing w:val="4"/>
                <w:sz w:val="24"/>
                <w:szCs w:val="24"/>
              </w:rPr>
              <w:t>/m</w:t>
            </w:r>
            <w:r>
              <w:rPr>
                <w:rFonts w:ascii="Times New Roman" w:hAnsi="Times New Roman" w:eastAsia="Times New Roman" w:cs="Times New Roman"/>
                <w:color w:val="auto"/>
                <w:spacing w:val="8"/>
                <w:position w:val="6"/>
                <w:sz w:val="24"/>
                <w:szCs w:val="24"/>
                <w:vertAlign w:val="superscript"/>
              </w:rPr>
              <w:t>3</w:t>
            </w:r>
            <w:r>
              <w:rPr>
                <w:color w:val="auto"/>
                <w:spacing w:val="4"/>
                <w:sz w:val="24"/>
                <w:szCs w:val="24"/>
              </w:rPr>
              <w:t>，开江县最低为</w:t>
            </w:r>
            <w:r>
              <w:rPr>
                <w:color w:val="auto"/>
                <w:spacing w:val="-40"/>
                <w:sz w:val="24"/>
                <w:szCs w:val="24"/>
              </w:rPr>
              <w:t xml:space="preserve"> </w:t>
            </w:r>
            <w:r>
              <w:rPr>
                <w:rFonts w:ascii="Times New Roman" w:hAnsi="Times New Roman" w:eastAsia="Times New Roman" w:cs="Times New Roman"/>
                <w:color w:val="auto"/>
                <w:spacing w:val="4"/>
                <w:sz w:val="24"/>
                <w:szCs w:val="24"/>
              </w:rPr>
              <w:t>0.9</w:t>
            </w:r>
            <w:r>
              <w:rPr>
                <w:rFonts w:ascii="Times New Roman" w:hAnsi="Times New Roman" w:eastAsia="Times New Roman" w:cs="Times New Roman"/>
                <w:color w:val="auto"/>
                <w:sz w:val="24"/>
                <w:szCs w:val="24"/>
              </w:rPr>
              <w:t>mg</w:t>
            </w:r>
            <w:r>
              <w:rPr>
                <w:rFonts w:ascii="Times New Roman" w:hAnsi="Times New Roman" w:eastAsia="Times New Roman" w:cs="Times New Roman"/>
                <w:color w:val="auto"/>
                <w:spacing w:val="4"/>
                <w:sz w:val="24"/>
                <w:szCs w:val="24"/>
              </w:rPr>
              <w:t>/m</w:t>
            </w:r>
            <w:r>
              <w:rPr>
                <w:rFonts w:ascii="Times New Roman" w:hAnsi="Times New Roman" w:eastAsia="Times New Roman" w:cs="Times New Roman"/>
                <w:color w:val="auto"/>
                <w:spacing w:val="8"/>
                <w:position w:val="6"/>
                <w:sz w:val="24"/>
                <w:szCs w:val="24"/>
                <w:vertAlign w:val="superscript"/>
              </w:rPr>
              <w:t>3</w:t>
            </w:r>
            <w:r>
              <w:rPr>
                <w:color w:val="auto"/>
                <w:spacing w:val="4"/>
                <w:sz w:val="24"/>
                <w:szCs w:val="24"/>
              </w:rPr>
              <w:t>；</w:t>
            </w:r>
            <w:r>
              <w:rPr>
                <w:rFonts w:ascii="Times New Roman" w:hAnsi="Times New Roman" w:eastAsia="Times New Roman" w:cs="Times New Roman"/>
                <w:color w:val="auto"/>
                <w:spacing w:val="4"/>
                <w:sz w:val="24"/>
                <w:szCs w:val="24"/>
              </w:rPr>
              <w:t>O</w:t>
            </w:r>
            <w:r>
              <w:rPr>
                <w:rFonts w:ascii="Times New Roman" w:hAnsi="Times New Roman" w:eastAsia="Times New Roman" w:cs="Times New Roman"/>
                <w:color w:val="auto"/>
                <w:spacing w:val="4"/>
                <w:position w:val="-1"/>
                <w:sz w:val="24"/>
                <w:szCs w:val="24"/>
                <w:vertAlign w:val="subscript"/>
              </w:rPr>
              <w:t>3</w:t>
            </w:r>
            <w:r>
              <w:rPr>
                <w:color w:val="auto"/>
                <w:spacing w:val="4"/>
                <w:sz w:val="24"/>
                <w:szCs w:val="24"/>
              </w:rPr>
              <w:t>浓度通川</w:t>
            </w:r>
            <w:r>
              <w:rPr>
                <w:color w:val="auto"/>
                <w:spacing w:val="3"/>
                <w:sz w:val="24"/>
                <w:szCs w:val="24"/>
              </w:rPr>
              <w:t>区最高为</w:t>
            </w:r>
            <w:r>
              <w:rPr>
                <w:rFonts w:ascii="Times New Roman" w:hAnsi="Times New Roman" w:eastAsia="Times New Roman" w:cs="Times New Roman"/>
                <w:color w:val="auto"/>
                <w:spacing w:val="3"/>
                <w:sz w:val="24"/>
                <w:szCs w:val="24"/>
              </w:rPr>
              <w:t>124μg/m</w:t>
            </w:r>
            <w:r>
              <w:rPr>
                <w:rFonts w:ascii="Times New Roman" w:hAnsi="Times New Roman" w:eastAsia="Times New Roman" w:cs="Times New Roman"/>
                <w:color w:val="auto"/>
                <w:spacing w:val="8"/>
                <w:position w:val="6"/>
                <w:sz w:val="24"/>
                <w:szCs w:val="24"/>
                <w:vertAlign w:val="superscript"/>
              </w:rPr>
              <w:t>3</w:t>
            </w:r>
            <w:r>
              <w:rPr>
                <w:color w:val="auto"/>
                <w:spacing w:val="3"/>
                <w:sz w:val="24"/>
                <w:szCs w:val="24"/>
              </w:rPr>
              <w:t>，</w:t>
            </w:r>
            <w:r>
              <w:rPr>
                <w:color w:val="auto"/>
                <w:spacing w:val="5"/>
                <w:sz w:val="24"/>
                <w:szCs w:val="24"/>
              </w:rPr>
              <w:t>宣汉县最低为</w:t>
            </w:r>
            <w:r>
              <w:rPr>
                <w:color w:val="auto"/>
                <w:spacing w:val="-39"/>
                <w:sz w:val="24"/>
                <w:szCs w:val="24"/>
              </w:rPr>
              <w:t xml:space="preserve"> </w:t>
            </w:r>
            <w:r>
              <w:rPr>
                <w:rFonts w:ascii="Times New Roman" w:hAnsi="Times New Roman" w:eastAsia="Times New Roman" w:cs="Times New Roman"/>
                <w:color w:val="auto"/>
                <w:spacing w:val="5"/>
                <w:sz w:val="24"/>
                <w:szCs w:val="24"/>
              </w:rPr>
              <w:t>90μg/m</w:t>
            </w:r>
            <w:r>
              <w:rPr>
                <w:rFonts w:ascii="Times New Roman" w:hAnsi="Times New Roman" w:eastAsia="Times New Roman" w:cs="Times New Roman"/>
                <w:color w:val="auto"/>
                <w:spacing w:val="8"/>
                <w:position w:val="6"/>
                <w:sz w:val="24"/>
                <w:szCs w:val="24"/>
                <w:vertAlign w:val="superscript"/>
              </w:rPr>
              <w:t>3</w:t>
            </w:r>
            <w:r>
              <w:rPr>
                <w:color w:val="auto"/>
                <w:spacing w:val="5"/>
                <w:sz w:val="24"/>
                <w:szCs w:val="24"/>
              </w:rPr>
              <w:t>；</w:t>
            </w:r>
            <w:r>
              <w:rPr>
                <w:rFonts w:ascii="Times New Roman" w:hAnsi="Times New Roman" w:eastAsia="Times New Roman" w:cs="Times New Roman"/>
                <w:color w:val="auto"/>
                <w:sz w:val="24"/>
                <w:szCs w:val="24"/>
              </w:rPr>
              <w:t>PM</w:t>
            </w:r>
            <w:r>
              <w:rPr>
                <w:rFonts w:ascii="Times New Roman" w:hAnsi="Times New Roman" w:eastAsia="Times New Roman" w:cs="Times New Roman"/>
                <w:color w:val="auto"/>
                <w:spacing w:val="5"/>
                <w:position w:val="-1"/>
                <w:sz w:val="24"/>
                <w:szCs w:val="24"/>
                <w:vertAlign w:val="subscript"/>
              </w:rPr>
              <w:t>2.5</w:t>
            </w:r>
            <w:r>
              <w:rPr>
                <w:color w:val="auto"/>
                <w:spacing w:val="5"/>
                <w:sz w:val="24"/>
                <w:szCs w:val="24"/>
              </w:rPr>
              <w:t>浓度大竹县最高为</w:t>
            </w:r>
            <w:r>
              <w:rPr>
                <w:color w:val="auto"/>
                <w:spacing w:val="-36"/>
                <w:sz w:val="24"/>
                <w:szCs w:val="24"/>
              </w:rPr>
              <w:t xml:space="preserve"> </w:t>
            </w:r>
            <w:r>
              <w:rPr>
                <w:rFonts w:ascii="Times New Roman" w:hAnsi="Times New Roman" w:eastAsia="Times New Roman" w:cs="Times New Roman"/>
                <w:color w:val="auto"/>
                <w:spacing w:val="5"/>
                <w:sz w:val="24"/>
                <w:szCs w:val="24"/>
              </w:rPr>
              <w:t>36μg/m</w:t>
            </w:r>
            <w:r>
              <w:rPr>
                <w:rFonts w:ascii="Times New Roman" w:hAnsi="Times New Roman" w:eastAsia="Times New Roman" w:cs="Times New Roman"/>
                <w:color w:val="auto"/>
                <w:spacing w:val="8"/>
                <w:position w:val="6"/>
                <w:sz w:val="24"/>
                <w:szCs w:val="24"/>
                <w:vertAlign w:val="superscript"/>
              </w:rPr>
              <w:t>3</w:t>
            </w:r>
            <w:r>
              <w:rPr>
                <w:color w:val="auto"/>
                <w:spacing w:val="5"/>
                <w:sz w:val="24"/>
                <w:szCs w:val="24"/>
              </w:rPr>
              <w:t>，</w:t>
            </w:r>
            <w:r>
              <w:rPr>
                <w:color w:val="auto"/>
                <w:spacing w:val="4"/>
                <w:sz w:val="24"/>
                <w:szCs w:val="24"/>
              </w:rPr>
              <w:t>万源最低为</w:t>
            </w:r>
            <w:r>
              <w:rPr>
                <w:color w:val="auto"/>
                <w:spacing w:val="-43"/>
                <w:sz w:val="24"/>
                <w:szCs w:val="24"/>
              </w:rPr>
              <w:t xml:space="preserve"> </w:t>
            </w:r>
            <w:r>
              <w:rPr>
                <w:rFonts w:ascii="Times New Roman" w:hAnsi="Times New Roman" w:eastAsia="Times New Roman" w:cs="Times New Roman"/>
                <w:color w:val="auto"/>
                <w:spacing w:val="4"/>
                <w:sz w:val="24"/>
                <w:szCs w:val="24"/>
              </w:rPr>
              <w:t>22μg/m</w:t>
            </w:r>
            <w:r>
              <w:rPr>
                <w:rFonts w:ascii="Times New Roman" w:hAnsi="Times New Roman" w:eastAsia="Times New Roman" w:cs="Times New Roman"/>
                <w:color w:val="auto"/>
                <w:spacing w:val="8"/>
                <w:position w:val="6"/>
                <w:sz w:val="24"/>
                <w:szCs w:val="24"/>
                <w:vertAlign w:val="superscript"/>
              </w:rPr>
              <w:t>3</w:t>
            </w:r>
            <w:r>
              <w:rPr>
                <w:color w:val="auto"/>
                <w:spacing w:val="4"/>
                <w:sz w:val="24"/>
                <w:szCs w:val="24"/>
              </w:rPr>
              <w:t>；</w:t>
            </w:r>
            <w:r>
              <w:rPr>
                <w:rFonts w:ascii="Times New Roman" w:hAnsi="Times New Roman" w:eastAsia="Times New Roman" w:cs="Times New Roman"/>
                <w:color w:val="auto"/>
                <w:sz w:val="24"/>
                <w:szCs w:val="24"/>
              </w:rPr>
              <w:t>PM</w:t>
            </w:r>
            <w:r>
              <w:rPr>
                <w:rFonts w:ascii="Times New Roman" w:hAnsi="Times New Roman" w:eastAsia="Times New Roman" w:cs="Times New Roman"/>
                <w:color w:val="auto"/>
                <w:spacing w:val="4"/>
                <w:position w:val="-1"/>
                <w:sz w:val="24"/>
                <w:szCs w:val="24"/>
                <w:vertAlign w:val="subscript"/>
              </w:rPr>
              <w:t>10</w:t>
            </w:r>
            <w:r>
              <w:rPr>
                <w:color w:val="auto"/>
                <w:spacing w:val="5"/>
                <w:sz w:val="24"/>
                <w:szCs w:val="24"/>
              </w:rPr>
              <w:t>浓度大竹县最高为</w:t>
            </w:r>
            <w:r>
              <w:rPr>
                <w:rFonts w:ascii="Times New Roman" w:hAnsi="Times New Roman" w:eastAsia="Times New Roman" w:cs="Times New Roman"/>
                <w:color w:val="auto"/>
                <w:spacing w:val="5"/>
                <w:sz w:val="24"/>
                <w:szCs w:val="24"/>
              </w:rPr>
              <w:t>57μg/m</w:t>
            </w:r>
            <w:r>
              <w:rPr>
                <w:rFonts w:ascii="Times New Roman" w:hAnsi="Times New Roman" w:eastAsia="Times New Roman" w:cs="Times New Roman"/>
                <w:color w:val="auto"/>
                <w:spacing w:val="8"/>
                <w:position w:val="6"/>
                <w:sz w:val="24"/>
                <w:szCs w:val="24"/>
                <w:vertAlign w:val="superscript"/>
              </w:rPr>
              <w:t>3</w:t>
            </w:r>
            <w:r>
              <w:rPr>
                <w:color w:val="auto"/>
                <w:spacing w:val="5"/>
                <w:sz w:val="24"/>
                <w:szCs w:val="24"/>
              </w:rPr>
              <w:t>，万源最低为</w:t>
            </w:r>
            <w:r>
              <w:rPr>
                <w:color w:val="auto"/>
                <w:spacing w:val="-36"/>
                <w:sz w:val="24"/>
                <w:szCs w:val="24"/>
              </w:rPr>
              <w:t xml:space="preserve"> </w:t>
            </w:r>
            <w:r>
              <w:rPr>
                <w:rFonts w:ascii="Times New Roman" w:hAnsi="Times New Roman" w:eastAsia="Times New Roman" w:cs="Times New Roman"/>
                <w:color w:val="auto"/>
                <w:spacing w:val="5"/>
                <w:sz w:val="24"/>
                <w:szCs w:val="24"/>
              </w:rPr>
              <w:t>38μg/m</w:t>
            </w:r>
            <w:r>
              <w:rPr>
                <w:rFonts w:ascii="Times New Roman" w:hAnsi="Times New Roman" w:eastAsia="Times New Roman" w:cs="Times New Roman"/>
                <w:color w:val="auto"/>
                <w:spacing w:val="8"/>
                <w:position w:val="6"/>
                <w:sz w:val="24"/>
                <w:szCs w:val="24"/>
                <w:vertAlign w:val="superscript"/>
              </w:rPr>
              <w:t>3</w:t>
            </w:r>
            <w:r>
              <w:rPr>
                <w:rFonts w:hint="eastAsia" w:cs="Times New Roman"/>
                <w:color w:val="auto"/>
                <w:sz w:val="24"/>
                <w:szCs w:val="24"/>
              </w:rPr>
              <w:t>。</w:t>
            </w:r>
          </w:p>
          <w:p w14:paraId="53F76439">
            <w:pPr>
              <w:keepNext w:val="0"/>
              <w:keepLines w:val="0"/>
              <w:pageBreakBefore w:val="0"/>
              <w:widowControl w:val="0"/>
              <w:kinsoku/>
              <w:wordWrap/>
              <w:overflowPunct/>
              <w:topLinePunct w:val="0"/>
              <w:autoSpaceDE/>
              <w:autoSpaceDN/>
              <w:bidi w:val="0"/>
              <w:adjustRightInd/>
              <w:snapToGrid/>
              <w:spacing w:line="470" w:lineRule="exact"/>
              <w:ind w:firstLine="480" w:firstLineChars="200"/>
              <w:textAlignment w:val="auto"/>
              <w:rPr>
                <w:rFonts w:cs="Times New Roman"/>
                <w:color w:val="auto"/>
                <w:sz w:val="24"/>
                <w:szCs w:val="24"/>
              </w:rPr>
            </w:pPr>
            <w:r>
              <w:rPr>
                <w:rFonts w:cs="Times New Roman"/>
                <w:color w:val="auto"/>
                <w:sz w:val="24"/>
                <w:szCs w:val="24"/>
              </w:rPr>
              <w:t>根据《环境影响评价技术导则大气环境》（HJ2.2-2018），城市环境空气质量达标情况评价指标为SO</w:t>
            </w:r>
            <w:r>
              <w:rPr>
                <w:rFonts w:cs="Times New Roman"/>
                <w:color w:val="auto"/>
                <w:sz w:val="24"/>
                <w:szCs w:val="24"/>
                <w:vertAlign w:val="subscript"/>
              </w:rPr>
              <w:t>2</w:t>
            </w:r>
            <w:r>
              <w:rPr>
                <w:rFonts w:cs="Times New Roman"/>
                <w:color w:val="auto"/>
                <w:sz w:val="24"/>
                <w:szCs w:val="24"/>
              </w:rPr>
              <w:t>、NO</w:t>
            </w:r>
            <w:r>
              <w:rPr>
                <w:rFonts w:cs="Times New Roman"/>
                <w:color w:val="auto"/>
                <w:sz w:val="24"/>
                <w:szCs w:val="24"/>
                <w:vertAlign w:val="subscript"/>
              </w:rPr>
              <w:t>2</w:t>
            </w:r>
            <w:r>
              <w:rPr>
                <w:rFonts w:cs="Times New Roman"/>
                <w:color w:val="auto"/>
                <w:sz w:val="24"/>
                <w:szCs w:val="24"/>
              </w:rPr>
              <w:t>、PM</w:t>
            </w:r>
            <w:r>
              <w:rPr>
                <w:rFonts w:cs="Times New Roman"/>
                <w:color w:val="auto"/>
                <w:sz w:val="24"/>
                <w:szCs w:val="24"/>
                <w:vertAlign w:val="subscript"/>
              </w:rPr>
              <w:t>10</w:t>
            </w:r>
            <w:r>
              <w:rPr>
                <w:rFonts w:cs="Times New Roman"/>
                <w:color w:val="auto"/>
                <w:sz w:val="24"/>
                <w:szCs w:val="24"/>
              </w:rPr>
              <w:t>、PM</w:t>
            </w:r>
            <w:r>
              <w:rPr>
                <w:rFonts w:cs="Times New Roman"/>
                <w:color w:val="auto"/>
                <w:sz w:val="24"/>
                <w:szCs w:val="24"/>
                <w:vertAlign w:val="subscript"/>
              </w:rPr>
              <w:t>2.5</w:t>
            </w:r>
            <w:r>
              <w:rPr>
                <w:rFonts w:cs="Times New Roman"/>
                <w:color w:val="auto"/>
                <w:sz w:val="24"/>
                <w:szCs w:val="24"/>
              </w:rPr>
              <w:t>、CO和O</w:t>
            </w:r>
            <w:r>
              <w:rPr>
                <w:rFonts w:cs="Times New Roman"/>
                <w:color w:val="auto"/>
                <w:sz w:val="24"/>
                <w:szCs w:val="24"/>
                <w:vertAlign w:val="subscript"/>
              </w:rPr>
              <w:t>3</w:t>
            </w:r>
            <w:r>
              <w:rPr>
                <w:rFonts w:cs="Times New Roman"/>
                <w:color w:val="auto"/>
                <w:sz w:val="24"/>
                <w:szCs w:val="24"/>
              </w:rPr>
              <w:t>，六项污染物全部达标即为城市环境空气质量达标，根据上述描述，六项污染物全部达标，因此，本项目所在区域为达标区。</w:t>
            </w:r>
          </w:p>
          <w:p w14:paraId="03D27313">
            <w:pPr>
              <w:keepNext w:val="0"/>
              <w:keepLines w:val="0"/>
              <w:pageBreakBefore w:val="0"/>
              <w:widowControl w:val="0"/>
              <w:kinsoku/>
              <w:wordWrap/>
              <w:overflowPunct/>
              <w:topLinePunct w:val="0"/>
              <w:autoSpaceDE/>
              <w:autoSpaceDN/>
              <w:bidi w:val="0"/>
              <w:adjustRightInd/>
              <w:snapToGrid/>
              <w:spacing w:line="470" w:lineRule="exact"/>
              <w:ind w:firstLine="482" w:firstLineChars="200"/>
              <w:textAlignment w:val="auto"/>
              <w:rPr>
                <w:rFonts w:cs="Times New Roman"/>
                <w:b/>
                <w:bCs/>
                <w:color w:val="auto"/>
                <w:sz w:val="24"/>
                <w:szCs w:val="24"/>
              </w:rPr>
            </w:pPr>
            <w:r>
              <w:rPr>
                <w:rFonts w:cs="Times New Roman"/>
                <w:b/>
                <w:bCs/>
                <w:color w:val="auto"/>
                <w:sz w:val="24"/>
                <w:szCs w:val="24"/>
              </w:rPr>
              <w:t>（2）其他污染物环境质量现状评价</w:t>
            </w:r>
          </w:p>
          <w:p w14:paraId="3B4E309B">
            <w:pPr>
              <w:keepNext w:val="0"/>
              <w:keepLines w:val="0"/>
              <w:pageBreakBefore w:val="0"/>
              <w:widowControl w:val="0"/>
              <w:kinsoku/>
              <w:wordWrap/>
              <w:overflowPunct/>
              <w:topLinePunct w:val="0"/>
              <w:autoSpaceDE/>
              <w:autoSpaceDN/>
              <w:bidi w:val="0"/>
              <w:adjustRightInd/>
              <w:snapToGrid/>
              <w:spacing w:line="470" w:lineRule="exact"/>
              <w:ind w:firstLine="480" w:firstLineChars="200"/>
              <w:textAlignment w:val="auto"/>
              <w:rPr>
                <w:rFonts w:cs="Times New Roman"/>
                <w:color w:val="auto"/>
                <w:sz w:val="24"/>
                <w:szCs w:val="24"/>
              </w:rPr>
            </w:pPr>
            <w:r>
              <w:rPr>
                <w:rFonts w:cs="Times New Roman"/>
                <w:color w:val="auto"/>
                <w:sz w:val="24"/>
                <w:szCs w:val="24"/>
              </w:rPr>
              <w:t>根据引</w:t>
            </w:r>
            <w:r>
              <w:rPr>
                <w:rFonts w:hint="eastAsia" w:cs="Times New Roman"/>
                <w:color w:val="auto"/>
                <w:sz w:val="24"/>
                <w:szCs w:val="24"/>
                <w:lang w:eastAsia="zh-CN"/>
              </w:rPr>
              <w:t>用“</w:t>
            </w:r>
            <w:r>
              <w:rPr>
                <w:rFonts w:cs="Times New Roman"/>
                <w:color w:val="auto"/>
                <w:sz w:val="24"/>
                <w:szCs w:val="24"/>
              </w:rPr>
              <w:t>绿色节能环保建材产业化项目</w:t>
            </w:r>
            <w:r>
              <w:rPr>
                <w:rFonts w:hint="eastAsia" w:cs="Times New Roman"/>
                <w:color w:val="auto"/>
                <w:sz w:val="24"/>
                <w:szCs w:val="24"/>
                <w:lang w:eastAsia="zh-CN"/>
              </w:rPr>
              <w:t>”</w:t>
            </w:r>
            <w:r>
              <w:rPr>
                <w:rFonts w:cs="Times New Roman"/>
                <w:color w:val="auto"/>
                <w:sz w:val="24"/>
                <w:szCs w:val="24"/>
              </w:rPr>
              <w:t>环境监测数据。四川融华环境检测有限公司于2024年</w:t>
            </w:r>
            <w:r>
              <w:rPr>
                <w:rFonts w:hint="eastAsia" w:cs="Times New Roman"/>
                <w:color w:val="auto"/>
                <w:sz w:val="24"/>
                <w:szCs w:val="24"/>
                <w:lang w:val="en-US" w:eastAsia="zh-CN"/>
              </w:rPr>
              <w:t>6</w:t>
            </w:r>
            <w:r>
              <w:rPr>
                <w:rFonts w:cs="Times New Roman"/>
                <w:color w:val="auto"/>
                <w:sz w:val="24"/>
                <w:szCs w:val="24"/>
              </w:rPr>
              <w:t>月27日</w:t>
            </w:r>
            <w:r>
              <w:rPr>
                <w:rFonts w:hint="eastAsia" w:cs="Times New Roman"/>
                <w:color w:val="auto"/>
                <w:sz w:val="24"/>
                <w:szCs w:val="24"/>
                <w:lang w:eastAsia="zh-CN"/>
              </w:rPr>
              <w:t>—</w:t>
            </w:r>
            <w:r>
              <w:rPr>
                <w:rFonts w:cs="Times New Roman"/>
                <w:color w:val="auto"/>
                <w:sz w:val="24"/>
                <w:szCs w:val="24"/>
              </w:rPr>
              <w:t>29日对</w:t>
            </w:r>
            <w:r>
              <w:rPr>
                <w:rFonts w:hint="eastAsia" w:cs="Times New Roman"/>
                <w:color w:val="auto"/>
                <w:sz w:val="24"/>
                <w:szCs w:val="24"/>
                <w:lang w:val="en-US" w:eastAsia="zh-CN"/>
              </w:rPr>
              <w:t>“</w:t>
            </w:r>
            <w:r>
              <w:rPr>
                <w:rFonts w:cs="Times New Roman"/>
                <w:color w:val="auto"/>
                <w:sz w:val="24"/>
                <w:szCs w:val="24"/>
              </w:rPr>
              <w:t>绿色节能环保建材产业化项目</w:t>
            </w:r>
            <w:r>
              <w:rPr>
                <w:rFonts w:hint="eastAsia" w:cs="Times New Roman"/>
                <w:color w:val="auto"/>
                <w:sz w:val="24"/>
                <w:szCs w:val="24"/>
                <w:lang w:eastAsia="zh-CN"/>
              </w:rPr>
              <w:t>”</w:t>
            </w:r>
            <w:r>
              <w:rPr>
                <w:rFonts w:cs="Times New Roman"/>
                <w:color w:val="auto"/>
                <w:sz w:val="24"/>
                <w:szCs w:val="24"/>
              </w:rPr>
              <w:t>环境空气质量特征因子进行现状监测。监测因子：TSP</w:t>
            </w:r>
            <w:r>
              <w:rPr>
                <w:rFonts w:hint="eastAsia" w:cs="Times New Roman"/>
                <w:color w:val="auto"/>
                <w:sz w:val="24"/>
                <w:szCs w:val="24"/>
                <w:lang w:eastAsia="zh-CN"/>
              </w:rPr>
              <w:t>。</w:t>
            </w:r>
            <w:r>
              <w:rPr>
                <w:rFonts w:cs="Times New Roman"/>
                <w:color w:val="auto"/>
                <w:sz w:val="24"/>
                <w:szCs w:val="24"/>
              </w:rPr>
              <w:t>监测点位：项目区内。监测频次：连续检测3天， 每天采样1次，取日均值。评价标准：采用《环境空气质量标准》（GB 3095-2012）的限值要求。</w:t>
            </w:r>
          </w:p>
          <w:p w14:paraId="5031F062">
            <w:pPr>
              <w:keepNext w:val="0"/>
              <w:keepLines w:val="0"/>
              <w:pageBreakBefore w:val="0"/>
              <w:widowControl w:val="0"/>
              <w:kinsoku/>
              <w:wordWrap/>
              <w:overflowPunct/>
              <w:topLinePunct w:val="0"/>
              <w:autoSpaceDE/>
              <w:autoSpaceDN/>
              <w:bidi w:val="0"/>
              <w:adjustRightInd/>
              <w:snapToGrid/>
              <w:spacing w:line="470" w:lineRule="exact"/>
              <w:ind w:firstLine="480" w:firstLineChars="200"/>
              <w:textAlignment w:val="auto"/>
              <w:rPr>
                <w:rFonts w:cs="Times New Roman"/>
                <w:color w:val="auto"/>
                <w:sz w:val="24"/>
                <w:szCs w:val="24"/>
              </w:rPr>
            </w:pPr>
            <w:r>
              <w:rPr>
                <w:rFonts w:cs="Times New Roman"/>
                <w:color w:val="auto"/>
                <w:sz w:val="24"/>
                <w:szCs w:val="24"/>
              </w:rPr>
              <w:t>本项目与</w:t>
            </w:r>
            <w:r>
              <w:rPr>
                <w:rFonts w:hint="eastAsia" w:cs="Times New Roman"/>
                <w:color w:val="auto"/>
                <w:sz w:val="24"/>
                <w:szCs w:val="24"/>
                <w:lang w:eastAsia="zh-CN"/>
              </w:rPr>
              <w:t>“</w:t>
            </w:r>
            <w:r>
              <w:rPr>
                <w:rFonts w:cs="Times New Roman"/>
                <w:color w:val="auto"/>
                <w:sz w:val="24"/>
                <w:szCs w:val="24"/>
              </w:rPr>
              <w:t>绿色节能环保建材产业化项目</w:t>
            </w:r>
            <w:r>
              <w:rPr>
                <w:rFonts w:hint="eastAsia" w:cs="Times New Roman"/>
                <w:color w:val="auto"/>
                <w:sz w:val="24"/>
                <w:szCs w:val="24"/>
                <w:lang w:eastAsia="zh-CN"/>
              </w:rPr>
              <w:t>”</w:t>
            </w:r>
            <w:r>
              <w:rPr>
                <w:rFonts w:cs="Times New Roman"/>
                <w:color w:val="auto"/>
                <w:sz w:val="24"/>
                <w:szCs w:val="24"/>
              </w:rPr>
              <w:t>相距约1028m ，地形条件和区域污染源等基本一致；拟引用监测的监测因子及布点要求满足本项目需求；</w:t>
            </w:r>
            <w:r>
              <w:rPr>
                <w:rFonts w:hint="eastAsia" w:cs="Times New Roman"/>
                <w:color w:val="auto"/>
                <w:sz w:val="24"/>
                <w:szCs w:val="24"/>
                <w:lang w:eastAsia="zh-CN"/>
              </w:rPr>
              <w:t>“</w:t>
            </w:r>
            <w:r>
              <w:rPr>
                <w:rFonts w:cs="Times New Roman"/>
                <w:color w:val="auto"/>
                <w:sz w:val="24"/>
                <w:szCs w:val="24"/>
              </w:rPr>
              <w:t>绿色节能环保建材产业化项目</w:t>
            </w:r>
            <w:r>
              <w:rPr>
                <w:rFonts w:hint="eastAsia" w:cs="Times New Roman"/>
                <w:color w:val="auto"/>
                <w:sz w:val="24"/>
                <w:szCs w:val="24"/>
                <w:lang w:eastAsia="zh-CN"/>
              </w:rPr>
              <w:t>”</w:t>
            </w:r>
            <w:r>
              <w:rPr>
                <w:rFonts w:cs="Times New Roman"/>
                <w:color w:val="auto"/>
                <w:sz w:val="24"/>
                <w:szCs w:val="24"/>
              </w:rPr>
              <w:t>监测时间为2024年6月，本次环评时间为2024年</w:t>
            </w:r>
            <w:r>
              <w:rPr>
                <w:rFonts w:hint="eastAsia" w:cs="Times New Roman"/>
                <w:color w:val="auto"/>
                <w:sz w:val="24"/>
                <w:szCs w:val="24"/>
                <w:lang w:val="en-US" w:eastAsia="zh-CN"/>
              </w:rPr>
              <w:t>11</w:t>
            </w:r>
            <w:r>
              <w:rPr>
                <w:rFonts w:cs="Times New Roman"/>
                <w:color w:val="auto"/>
                <w:sz w:val="24"/>
                <w:szCs w:val="24"/>
              </w:rPr>
              <w:t>月，监测数据在引用的时效范围内</w:t>
            </w:r>
            <w:r>
              <w:rPr>
                <w:rFonts w:hint="eastAsia" w:cs="Times New Roman"/>
                <w:color w:val="auto"/>
                <w:sz w:val="24"/>
                <w:szCs w:val="24"/>
                <w:lang w:eastAsia="zh-CN"/>
              </w:rPr>
              <w:t>，因此数据引用有效</w:t>
            </w:r>
            <w:r>
              <w:rPr>
                <w:rFonts w:cs="Times New Roman"/>
                <w:color w:val="auto"/>
                <w:sz w:val="24"/>
                <w:szCs w:val="24"/>
              </w:rPr>
              <w:t>。</w:t>
            </w:r>
          </w:p>
          <w:p w14:paraId="5DB0E8D6">
            <w:pPr>
              <w:spacing w:line="360" w:lineRule="auto"/>
              <w:ind w:firstLine="480" w:firstLineChars="200"/>
              <w:rPr>
                <w:rFonts w:cs="Times New Roman"/>
                <w:color w:val="auto"/>
                <w:sz w:val="24"/>
                <w:szCs w:val="24"/>
              </w:rPr>
            </w:pPr>
            <w:r>
              <w:rPr>
                <w:rFonts w:cs="Times New Roman"/>
                <w:color w:val="auto"/>
                <w:sz w:val="24"/>
                <w:szCs w:val="24"/>
              </w:rPr>
              <w:t>监测结果及评价结果如下表：</w:t>
            </w:r>
          </w:p>
          <w:p w14:paraId="58427831">
            <w:pPr>
              <w:spacing w:line="360" w:lineRule="auto"/>
              <w:jc w:val="center"/>
              <w:rPr>
                <w:rFonts w:cs="Times New Roman"/>
                <w:color w:val="auto"/>
                <w:sz w:val="21"/>
                <w:szCs w:val="21"/>
                <w:vertAlign w:val="superscript"/>
              </w:rPr>
            </w:pPr>
            <w:r>
              <w:rPr>
                <w:rFonts w:cs="Times New Roman"/>
                <w:b/>
                <w:bCs/>
                <w:color w:val="auto"/>
                <w:sz w:val="21"/>
                <w:szCs w:val="21"/>
              </w:rPr>
              <w:t>表3-</w:t>
            </w:r>
            <w:r>
              <w:rPr>
                <w:rFonts w:hint="eastAsia" w:cs="Times New Roman"/>
                <w:b/>
                <w:bCs/>
                <w:color w:val="auto"/>
                <w:sz w:val="21"/>
                <w:szCs w:val="21"/>
                <w:lang w:val="en-US" w:eastAsia="zh-CN"/>
              </w:rPr>
              <w:t xml:space="preserve">1环境空气（TSP）现状评价结果表 </w:t>
            </w:r>
            <w:r>
              <w:rPr>
                <w:rFonts w:cs="Times New Roman"/>
                <w:b/>
                <w:bCs/>
                <w:color w:val="auto"/>
                <w:sz w:val="21"/>
                <w:szCs w:val="21"/>
              </w:rPr>
              <w:t xml:space="preserve">  </w:t>
            </w:r>
            <w:r>
              <w:rPr>
                <w:rFonts w:cs="Times New Roman"/>
                <w:color w:val="auto"/>
                <w:sz w:val="21"/>
                <w:szCs w:val="21"/>
              </w:rPr>
              <w:t>单位：mg/m</w:t>
            </w:r>
            <w:r>
              <w:rPr>
                <w:rFonts w:cs="Times New Roman"/>
                <w:color w:val="auto"/>
                <w:sz w:val="21"/>
                <w:szCs w:val="21"/>
                <w:vertAlign w:val="superscript"/>
              </w:rPr>
              <w:t>3</w:t>
            </w:r>
          </w:p>
          <w:tbl>
            <w:tblPr>
              <w:tblStyle w:val="25"/>
              <w:tblW w:w="8595"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431"/>
              <w:gridCol w:w="1433"/>
              <w:gridCol w:w="1433"/>
              <w:gridCol w:w="1433"/>
              <w:gridCol w:w="1432"/>
              <w:gridCol w:w="1433"/>
            </w:tblGrid>
            <w:tr w14:paraId="623F7AB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3" w:hRule="atLeast"/>
                <w:jc w:val="center"/>
              </w:trPr>
              <w:tc>
                <w:tcPr>
                  <w:tcW w:w="1431" w:type="dxa"/>
                  <w:tcBorders>
                    <w:tl2br w:val="nil"/>
                    <w:tr2bl w:val="nil"/>
                  </w:tcBorders>
                  <w:vAlign w:val="top"/>
                </w:tcPr>
                <w:p w14:paraId="1C92682A">
                  <w:pPr>
                    <w:pStyle w:val="111"/>
                    <w:keepNext w:val="0"/>
                    <w:keepLines w:val="0"/>
                    <w:pageBreakBefore w:val="0"/>
                    <w:widowControl w:val="0"/>
                    <w:kinsoku/>
                    <w:wordWrap/>
                    <w:overflowPunct/>
                    <w:topLinePunct w:val="0"/>
                    <w:autoSpaceDE/>
                    <w:autoSpaceDN/>
                    <w:bidi w:val="0"/>
                    <w:adjustRightInd/>
                    <w:snapToGrid/>
                    <w:spacing w:line="300" w:lineRule="exact"/>
                    <w:ind w:left="351" w:leftChars="0"/>
                    <w:textAlignment w:val="auto"/>
                    <w:rPr>
                      <w:rFonts w:cs="Times New Roman"/>
                      <w:color w:val="auto"/>
                      <w:sz w:val="21"/>
                      <w:szCs w:val="21"/>
                      <w:vertAlign w:val="baseline"/>
                    </w:rPr>
                  </w:pPr>
                  <w:r>
                    <w:rPr>
                      <w:b/>
                      <w:bCs/>
                      <w:color w:val="auto"/>
                      <w:spacing w:val="-4"/>
                      <w:sz w:val="21"/>
                      <w:szCs w:val="21"/>
                    </w:rPr>
                    <w:t>监测点位</w:t>
                  </w:r>
                </w:p>
              </w:tc>
              <w:tc>
                <w:tcPr>
                  <w:tcW w:w="1433" w:type="dxa"/>
                  <w:tcBorders>
                    <w:tl2br w:val="nil"/>
                    <w:tr2bl w:val="nil"/>
                  </w:tcBorders>
                  <w:vAlign w:val="top"/>
                </w:tcPr>
                <w:p w14:paraId="17317D1B">
                  <w:pPr>
                    <w:pStyle w:val="111"/>
                    <w:keepNext w:val="0"/>
                    <w:keepLines w:val="0"/>
                    <w:pageBreakBefore w:val="0"/>
                    <w:widowControl w:val="0"/>
                    <w:kinsoku/>
                    <w:wordWrap/>
                    <w:overflowPunct/>
                    <w:topLinePunct w:val="0"/>
                    <w:autoSpaceDE/>
                    <w:autoSpaceDN/>
                    <w:bidi w:val="0"/>
                    <w:adjustRightInd/>
                    <w:snapToGrid/>
                    <w:spacing w:line="300" w:lineRule="exact"/>
                    <w:ind w:left="300" w:leftChars="0"/>
                    <w:textAlignment w:val="auto"/>
                    <w:rPr>
                      <w:rFonts w:cs="Times New Roman"/>
                      <w:color w:val="auto"/>
                      <w:sz w:val="21"/>
                      <w:szCs w:val="21"/>
                      <w:vertAlign w:val="baseline"/>
                    </w:rPr>
                  </w:pPr>
                  <w:r>
                    <w:rPr>
                      <w:b/>
                      <w:bCs/>
                      <w:color w:val="auto"/>
                      <w:spacing w:val="-4"/>
                      <w:sz w:val="21"/>
                      <w:szCs w:val="21"/>
                    </w:rPr>
                    <w:t>监测日期</w:t>
                  </w:r>
                </w:p>
              </w:tc>
              <w:tc>
                <w:tcPr>
                  <w:tcW w:w="1433" w:type="dxa"/>
                  <w:tcBorders>
                    <w:tl2br w:val="nil"/>
                    <w:tr2bl w:val="nil"/>
                  </w:tcBorders>
                  <w:vAlign w:val="top"/>
                </w:tcPr>
                <w:p w14:paraId="79F8BD99">
                  <w:pPr>
                    <w:pStyle w:val="111"/>
                    <w:keepNext w:val="0"/>
                    <w:keepLines w:val="0"/>
                    <w:pageBreakBefore w:val="0"/>
                    <w:widowControl w:val="0"/>
                    <w:kinsoku/>
                    <w:wordWrap/>
                    <w:overflowPunct/>
                    <w:topLinePunct w:val="0"/>
                    <w:autoSpaceDE/>
                    <w:autoSpaceDN/>
                    <w:bidi w:val="0"/>
                    <w:adjustRightInd/>
                    <w:snapToGrid/>
                    <w:spacing w:line="300" w:lineRule="exact"/>
                    <w:ind w:left="302" w:leftChars="0"/>
                    <w:textAlignment w:val="auto"/>
                    <w:rPr>
                      <w:rFonts w:cs="Times New Roman"/>
                      <w:color w:val="auto"/>
                      <w:sz w:val="21"/>
                      <w:szCs w:val="21"/>
                      <w:vertAlign w:val="baseline"/>
                    </w:rPr>
                  </w:pPr>
                  <w:r>
                    <w:rPr>
                      <w:b/>
                      <w:bCs/>
                      <w:color w:val="auto"/>
                      <w:spacing w:val="-4"/>
                      <w:sz w:val="21"/>
                      <w:szCs w:val="21"/>
                    </w:rPr>
                    <w:t>监测结果</w:t>
                  </w:r>
                </w:p>
              </w:tc>
              <w:tc>
                <w:tcPr>
                  <w:tcW w:w="1433" w:type="dxa"/>
                  <w:tcBorders>
                    <w:tl2br w:val="nil"/>
                    <w:tr2bl w:val="nil"/>
                  </w:tcBorders>
                  <w:vAlign w:val="top"/>
                </w:tcPr>
                <w:p w14:paraId="1921D72B">
                  <w:pPr>
                    <w:pStyle w:val="111"/>
                    <w:keepNext w:val="0"/>
                    <w:keepLines w:val="0"/>
                    <w:pageBreakBefore w:val="0"/>
                    <w:widowControl w:val="0"/>
                    <w:kinsoku/>
                    <w:wordWrap/>
                    <w:overflowPunct/>
                    <w:topLinePunct w:val="0"/>
                    <w:autoSpaceDE/>
                    <w:autoSpaceDN/>
                    <w:bidi w:val="0"/>
                    <w:adjustRightInd/>
                    <w:snapToGrid/>
                    <w:spacing w:line="300" w:lineRule="exact"/>
                    <w:ind w:left="452" w:leftChars="0"/>
                    <w:textAlignment w:val="auto"/>
                    <w:rPr>
                      <w:rFonts w:cs="Times New Roman"/>
                      <w:color w:val="auto"/>
                      <w:sz w:val="21"/>
                      <w:szCs w:val="21"/>
                      <w:vertAlign w:val="baseline"/>
                    </w:rPr>
                  </w:pPr>
                  <w:r>
                    <w:rPr>
                      <w:b/>
                      <w:bCs/>
                      <w:color w:val="auto"/>
                      <w:spacing w:val="-4"/>
                      <w:sz w:val="21"/>
                      <w:szCs w:val="21"/>
                    </w:rPr>
                    <w:t>标准值</w:t>
                  </w:r>
                </w:p>
              </w:tc>
              <w:tc>
                <w:tcPr>
                  <w:tcW w:w="1432" w:type="dxa"/>
                  <w:tcBorders>
                    <w:tl2br w:val="nil"/>
                    <w:tr2bl w:val="nil"/>
                  </w:tcBorders>
                  <w:vAlign w:val="top"/>
                </w:tcPr>
                <w:p w14:paraId="6C8944EA">
                  <w:pPr>
                    <w:pStyle w:val="111"/>
                    <w:keepNext w:val="0"/>
                    <w:keepLines w:val="0"/>
                    <w:pageBreakBefore w:val="0"/>
                    <w:widowControl w:val="0"/>
                    <w:kinsoku/>
                    <w:wordWrap/>
                    <w:overflowPunct/>
                    <w:topLinePunct w:val="0"/>
                    <w:autoSpaceDE/>
                    <w:autoSpaceDN/>
                    <w:bidi w:val="0"/>
                    <w:adjustRightInd/>
                    <w:snapToGrid/>
                    <w:spacing w:line="300" w:lineRule="exact"/>
                    <w:ind w:left="338" w:leftChars="0"/>
                    <w:textAlignment w:val="auto"/>
                    <w:rPr>
                      <w:rFonts w:cs="Times New Roman"/>
                      <w:color w:val="auto"/>
                      <w:sz w:val="21"/>
                      <w:szCs w:val="21"/>
                      <w:vertAlign w:val="baseline"/>
                    </w:rPr>
                  </w:pPr>
                  <w:r>
                    <w:rPr>
                      <w:b/>
                      <w:bCs/>
                      <w:color w:val="auto"/>
                      <w:spacing w:val="-14"/>
                      <w:sz w:val="21"/>
                      <w:szCs w:val="21"/>
                    </w:rPr>
                    <w:t>占标率</w:t>
                  </w:r>
                </w:p>
              </w:tc>
              <w:tc>
                <w:tcPr>
                  <w:tcW w:w="1433" w:type="dxa"/>
                  <w:tcBorders>
                    <w:tl2br w:val="nil"/>
                    <w:tr2bl w:val="nil"/>
                  </w:tcBorders>
                  <w:vAlign w:val="top"/>
                </w:tcPr>
                <w:p w14:paraId="69118A41">
                  <w:pPr>
                    <w:pStyle w:val="111"/>
                    <w:keepNext w:val="0"/>
                    <w:keepLines w:val="0"/>
                    <w:pageBreakBefore w:val="0"/>
                    <w:widowControl w:val="0"/>
                    <w:kinsoku/>
                    <w:wordWrap/>
                    <w:overflowPunct/>
                    <w:topLinePunct w:val="0"/>
                    <w:autoSpaceDE/>
                    <w:autoSpaceDN/>
                    <w:bidi w:val="0"/>
                    <w:adjustRightInd/>
                    <w:snapToGrid/>
                    <w:spacing w:line="300" w:lineRule="exact"/>
                    <w:ind w:left="45" w:leftChars="0"/>
                    <w:textAlignment w:val="auto"/>
                    <w:rPr>
                      <w:rFonts w:cs="Times New Roman"/>
                      <w:color w:val="auto"/>
                      <w:sz w:val="21"/>
                      <w:szCs w:val="21"/>
                      <w:vertAlign w:val="baseline"/>
                    </w:rPr>
                  </w:pPr>
                  <w:r>
                    <w:rPr>
                      <w:b/>
                      <w:bCs/>
                      <w:color w:val="auto"/>
                      <w:spacing w:val="-3"/>
                      <w:sz w:val="21"/>
                      <w:szCs w:val="21"/>
                    </w:rPr>
                    <w:t>超标率（</w:t>
                  </w:r>
                  <w:r>
                    <w:rPr>
                      <w:rFonts w:ascii="Times New Roman" w:hAnsi="Times New Roman" w:eastAsia="Times New Roman" w:cs="Times New Roman"/>
                      <w:b/>
                      <w:bCs/>
                      <w:color w:val="auto"/>
                      <w:spacing w:val="-3"/>
                      <w:sz w:val="21"/>
                      <w:szCs w:val="21"/>
                    </w:rPr>
                    <w:t>%</w:t>
                  </w:r>
                  <w:r>
                    <w:rPr>
                      <w:b/>
                      <w:bCs/>
                      <w:color w:val="auto"/>
                      <w:spacing w:val="-3"/>
                      <w:sz w:val="21"/>
                      <w:szCs w:val="21"/>
                    </w:rPr>
                    <w:t>）</w:t>
                  </w:r>
                </w:p>
              </w:tc>
            </w:tr>
            <w:tr w14:paraId="1477DE1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3" w:hRule="atLeast"/>
                <w:jc w:val="center"/>
              </w:trPr>
              <w:tc>
                <w:tcPr>
                  <w:tcW w:w="1431" w:type="dxa"/>
                  <w:vMerge w:val="restart"/>
                  <w:tcBorders>
                    <w:tl2br w:val="nil"/>
                    <w:tr2bl w:val="nil"/>
                  </w:tcBorders>
                  <w:vAlign w:val="top"/>
                </w:tcPr>
                <w:p w14:paraId="76BB9064">
                  <w:pPr>
                    <w:pStyle w:val="111"/>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textAlignment w:val="auto"/>
                    <w:rPr>
                      <w:rFonts w:cs="Times New Roman"/>
                      <w:color w:val="auto"/>
                      <w:sz w:val="21"/>
                      <w:szCs w:val="21"/>
                      <w:vertAlign w:val="baseline"/>
                    </w:rPr>
                  </w:pPr>
                  <w:r>
                    <w:rPr>
                      <w:rFonts w:cs="Times New Roman"/>
                      <w:color w:val="auto"/>
                      <w:sz w:val="21"/>
                      <w:szCs w:val="21"/>
                      <w:vertAlign w:val="baseline"/>
                    </w:rPr>
                    <w:t>绿色节能环保建材产业化项目</w:t>
                  </w:r>
                  <w:r>
                    <w:rPr>
                      <w:rFonts w:hint="eastAsia" w:cs="Times New Roman"/>
                      <w:color w:val="auto"/>
                      <w:sz w:val="21"/>
                      <w:szCs w:val="21"/>
                      <w:vertAlign w:val="baseline"/>
                    </w:rPr>
                    <w:t>区内</w:t>
                  </w:r>
                </w:p>
              </w:tc>
              <w:tc>
                <w:tcPr>
                  <w:tcW w:w="1433" w:type="dxa"/>
                  <w:tcBorders>
                    <w:tl2br w:val="nil"/>
                    <w:tr2bl w:val="nil"/>
                  </w:tcBorders>
                  <w:vAlign w:val="top"/>
                </w:tcPr>
                <w:p w14:paraId="6A5AFF3F">
                  <w:pPr>
                    <w:keepNext w:val="0"/>
                    <w:keepLines w:val="0"/>
                    <w:pageBreakBefore w:val="0"/>
                    <w:widowControl w:val="0"/>
                    <w:kinsoku/>
                    <w:wordWrap/>
                    <w:overflowPunct/>
                    <w:topLinePunct w:val="0"/>
                    <w:autoSpaceDE/>
                    <w:autoSpaceDN/>
                    <w:bidi w:val="0"/>
                    <w:adjustRightInd/>
                    <w:snapToGrid/>
                    <w:spacing w:line="300" w:lineRule="exact"/>
                    <w:ind w:left="296" w:leftChars="0"/>
                    <w:textAlignment w:val="auto"/>
                    <w:rPr>
                      <w:rFonts w:cs="Times New Roman"/>
                      <w:color w:val="auto"/>
                      <w:sz w:val="21"/>
                      <w:szCs w:val="21"/>
                      <w:vertAlign w:val="baseline"/>
                    </w:rPr>
                  </w:pPr>
                  <w:r>
                    <w:rPr>
                      <w:rFonts w:ascii="Times New Roman" w:hAnsi="Times New Roman" w:eastAsia="Times New Roman" w:cs="Times New Roman"/>
                      <w:color w:val="auto"/>
                      <w:spacing w:val="-1"/>
                      <w:sz w:val="21"/>
                      <w:szCs w:val="21"/>
                    </w:rPr>
                    <w:t>2024.6.27</w:t>
                  </w:r>
                </w:p>
              </w:tc>
              <w:tc>
                <w:tcPr>
                  <w:tcW w:w="1433" w:type="dxa"/>
                  <w:tcBorders>
                    <w:tl2br w:val="nil"/>
                    <w:tr2bl w:val="nil"/>
                  </w:tcBorders>
                  <w:vAlign w:val="top"/>
                </w:tcPr>
                <w:p w14:paraId="66B9B03E">
                  <w:pPr>
                    <w:keepNext w:val="0"/>
                    <w:keepLines w:val="0"/>
                    <w:pageBreakBefore w:val="0"/>
                    <w:widowControl w:val="0"/>
                    <w:kinsoku/>
                    <w:wordWrap/>
                    <w:overflowPunct/>
                    <w:topLinePunct w:val="0"/>
                    <w:autoSpaceDE/>
                    <w:autoSpaceDN/>
                    <w:bidi w:val="0"/>
                    <w:adjustRightInd/>
                    <w:snapToGrid/>
                    <w:spacing w:line="300" w:lineRule="exact"/>
                    <w:ind w:left="327" w:leftChars="0"/>
                    <w:textAlignment w:val="auto"/>
                    <w:rPr>
                      <w:rFonts w:hint="eastAsia" w:eastAsia="宋体" w:cs="Times New Roman"/>
                      <w:color w:val="auto"/>
                      <w:sz w:val="21"/>
                      <w:szCs w:val="21"/>
                      <w:vertAlign w:val="baseline"/>
                      <w:lang w:val="en-US" w:eastAsia="zh-CN"/>
                    </w:rPr>
                  </w:pPr>
                  <w:r>
                    <w:rPr>
                      <w:rFonts w:ascii="Times New Roman" w:hAnsi="Times New Roman" w:eastAsia="Times New Roman" w:cs="Times New Roman"/>
                      <w:color w:val="auto"/>
                      <w:spacing w:val="-3"/>
                      <w:sz w:val="21"/>
                      <w:szCs w:val="21"/>
                    </w:rPr>
                    <w:t>129ug/m</w:t>
                  </w:r>
                  <w:r>
                    <w:rPr>
                      <w:rFonts w:hint="eastAsia" w:eastAsia="宋体" w:cs="Times New Roman"/>
                      <w:color w:val="auto"/>
                      <w:spacing w:val="-3"/>
                      <w:sz w:val="21"/>
                      <w:szCs w:val="21"/>
                      <w:vertAlign w:val="superscript"/>
                      <w:lang w:val="en-US" w:eastAsia="zh-CN"/>
                    </w:rPr>
                    <w:t>3</w:t>
                  </w:r>
                </w:p>
              </w:tc>
              <w:tc>
                <w:tcPr>
                  <w:tcW w:w="1433" w:type="dxa"/>
                  <w:tcBorders>
                    <w:tl2br w:val="nil"/>
                    <w:tr2bl w:val="nil"/>
                  </w:tcBorders>
                  <w:vAlign w:val="top"/>
                </w:tcPr>
                <w:p w14:paraId="6EA143F5">
                  <w:pPr>
                    <w:keepNext w:val="0"/>
                    <w:keepLines w:val="0"/>
                    <w:pageBreakBefore w:val="0"/>
                    <w:widowControl w:val="0"/>
                    <w:kinsoku/>
                    <w:wordWrap/>
                    <w:overflowPunct/>
                    <w:topLinePunct w:val="0"/>
                    <w:autoSpaceDE/>
                    <w:autoSpaceDN/>
                    <w:bidi w:val="0"/>
                    <w:adjustRightInd/>
                    <w:snapToGrid/>
                    <w:spacing w:line="300" w:lineRule="exact"/>
                    <w:ind w:left="372" w:leftChars="0"/>
                    <w:textAlignment w:val="auto"/>
                    <w:rPr>
                      <w:rFonts w:cs="Times New Roman"/>
                      <w:color w:val="auto"/>
                      <w:sz w:val="21"/>
                      <w:szCs w:val="21"/>
                      <w:vertAlign w:val="baseline"/>
                    </w:rPr>
                  </w:pPr>
                  <w:r>
                    <w:rPr>
                      <w:rFonts w:ascii="Times New Roman" w:hAnsi="Times New Roman" w:eastAsia="Times New Roman" w:cs="Times New Roman"/>
                      <w:color w:val="auto"/>
                      <w:spacing w:val="-1"/>
                      <w:sz w:val="21"/>
                      <w:szCs w:val="21"/>
                    </w:rPr>
                    <w:t>300ug/m</w:t>
                  </w:r>
                  <w:r>
                    <w:rPr>
                      <w:rFonts w:hint="eastAsia" w:eastAsia="宋体" w:cs="Times New Roman"/>
                      <w:color w:val="auto"/>
                      <w:spacing w:val="-3"/>
                      <w:sz w:val="21"/>
                      <w:szCs w:val="21"/>
                      <w:vertAlign w:val="superscript"/>
                      <w:lang w:val="en-US" w:eastAsia="zh-CN"/>
                    </w:rPr>
                    <w:t>3</w:t>
                  </w:r>
                </w:p>
              </w:tc>
              <w:tc>
                <w:tcPr>
                  <w:tcW w:w="1432" w:type="dxa"/>
                  <w:tcBorders>
                    <w:tl2br w:val="nil"/>
                    <w:tr2bl w:val="nil"/>
                  </w:tcBorders>
                  <w:vAlign w:val="top"/>
                </w:tcPr>
                <w:p w14:paraId="15712F66">
                  <w:pPr>
                    <w:keepNext w:val="0"/>
                    <w:keepLines w:val="0"/>
                    <w:pageBreakBefore w:val="0"/>
                    <w:widowControl w:val="0"/>
                    <w:kinsoku/>
                    <w:wordWrap/>
                    <w:overflowPunct/>
                    <w:topLinePunct w:val="0"/>
                    <w:autoSpaceDE/>
                    <w:autoSpaceDN/>
                    <w:bidi w:val="0"/>
                    <w:adjustRightInd/>
                    <w:snapToGrid/>
                    <w:spacing w:line="300" w:lineRule="exact"/>
                    <w:ind w:left="410" w:leftChars="0"/>
                    <w:textAlignment w:val="auto"/>
                    <w:rPr>
                      <w:rFonts w:cs="Times New Roman"/>
                      <w:color w:val="auto"/>
                      <w:sz w:val="21"/>
                      <w:szCs w:val="21"/>
                      <w:vertAlign w:val="baseline"/>
                    </w:rPr>
                  </w:pPr>
                  <w:r>
                    <w:rPr>
                      <w:rFonts w:ascii="Times New Roman" w:hAnsi="Times New Roman" w:eastAsia="Times New Roman" w:cs="Times New Roman"/>
                      <w:color w:val="auto"/>
                      <w:spacing w:val="-1"/>
                      <w:sz w:val="21"/>
                      <w:szCs w:val="21"/>
                    </w:rPr>
                    <w:t>43%</w:t>
                  </w:r>
                </w:p>
              </w:tc>
              <w:tc>
                <w:tcPr>
                  <w:tcW w:w="1433" w:type="dxa"/>
                  <w:tcBorders>
                    <w:tl2br w:val="nil"/>
                    <w:tr2bl w:val="nil"/>
                  </w:tcBorders>
                  <w:vAlign w:val="top"/>
                </w:tcPr>
                <w:p w14:paraId="7421A2F8">
                  <w:pPr>
                    <w:keepNext w:val="0"/>
                    <w:keepLines w:val="0"/>
                    <w:pageBreakBefore w:val="0"/>
                    <w:widowControl w:val="0"/>
                    <w:kinsoku/>
                    <w:wordWrap/>
                    <w:overflowPunct/>
                    <w:topLinePunct w:val="0"/>
                    <w:autoSpaceDE/>
                    <w:autoSpaceDN/>
                    <w:bidi w:val="0"/>
                    <w:adjustRightInd/>
                    <w:snapToGrid/>
                    <w:spacing w:line="300" w:lineRule="exact"/>
                    <w:ind w:left="545" w:leftChars="0"/>
                    <w:textAlignment w:val="auto"/>
                    <w:rPr>
                      <w:rFonts w:cs="Times New Roman"/>
                      <w:color w:val="auto"/>
                      <w:sz w:val="21"/>
                      <w:szCs w:val="21"/>
                      <w:vertAlign w:val="baseline"/>
                    </w:rPr>
                  </w:pPr>
                  <w:r>
                    <w:rPr>
                      <w:rFonts w:ascii="Times New Roman" w:hAnsi="Times New Roman" w:eastAsia="Times New Roman" w:cs="Times New Roman"/>
                      <w:color w:val="auto"/>
                      <w:sz w:val="21"/>
                      <w:szCs w:val="21"/>
                    </w:rPr>
                    <w:t>0</w:t>
                  </w:r>
                </w:p>
              </w:tc>
            </w:tr>
            <w:tr w14:paraId="075E57C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3" w:hRule="atLeast"/>
                <w:jc w:val="center"/>
              </w:trPr>
              <w:tc>
                <w:tcPr>
                  <w:tcW w:w="1431" w:type="dxa"/>
                  <w:vMerge w:val="continue"/>
                  <w:tcBorders>
                    <w:tl2br w:val="nil"/>
                    <w:tr2bl w:val="nil"/>
                  </w:tcBorders>
                  <w:vAlign w:val="top"/>
                </w:tcPr>
                <w:p w14:paraId="00C42DFD">
                  <w:pPr>
                    <w:keepNext w:val="0"/>
                    <w:keepLines w:val="0"/>
                    <w:pageBreakBefore w:val="0"/>
                    <w:widowControl w:val="0"/>
                    <w:kinsoku/>
                    <w:wordWrap/>
                    <w:overflowPunct/>
                    <w:topLinePunct w:val="0"/>
                    <w:autoSpaceDE/>
                    <w:autoSpaceDN/>
                    <w:bidi w:val="0"/>
                    <w:adjustRightInd/>
                    <w:snapToGrid/>
                    <w:spacing w:line="300" w:lineRule="exact"/>
                    <w:textAlignment w:val="auto"/>
                    <w:rPr>
                      <w:rFonts w:cs="Times New Roman"/>
                      <w:color w:val="auto"/>
                      <w:sz w:val="21"/>
                      <w:szCs w:val="21"/>
                      <w:vertAlign w:val="baseline"/>
                    </w:rPr>
                  </w:pPr>
                </w:p>
              </w:tc>
              <w:tc>
                <w:tcPr>
                  <w:tcW w:w="1433" w:type="dxa"/>
                  <w:tcBorders>
                    <w:tl2br w:val="nil"/>
                    <w:tr2bl w:val="nil"/>
                  </w:tcBorders>
                  <w:vAlign w:val="top"/>
                </w:tcPr>
                <w:p w14:paraId="22E0A6B9">
                  <w:pPr>
                    <w:keepNext w:val="0"/>
                    <w:keepLines w:val="0"/>
                    <w:pageBreakBefore w:val="0"/>
                    <w:widowControl w:val="0"/>
                    <w:kinsoku/>
                    <w:wordWrap/>
                    <w:overflowPunct/>
                    <w:topLinePunct w:val="0"/>
                    <w:autoSpaceDE/>
                    <w:autoSpaceDN/>
                    <w:bidi w:val="0"/>
                    <w:adjustRightInd/>
                    <w:snapToGrid/>
                    <w:spacing w:line="300" w:lineRule="exact"/>
                    <w:ind w:left="296" w:leftChars="0"/>
                    <w:textAlignment w:val="auto"/>
                    <w:rPr>
                      <w:rFonts w:cs="Times New Roman"/>
                      <w:color w:val="auto"/>
                      <w:sz w:val="21"/>
                      <w:szCs w:val="21"/>
                      <w:vertAlign w:val="baseline"/>
                    </w:rPr>
                  </w:pPr>
                  <w:r>
                    <w:rPr>
                      <w:rFonts w:ascii="Times New Roman" w:hAnsi="Times New Roman" w:eastAsia="Times New Roman" w:cs="Times New Roman"/>
                      <w:color w:val="auto"/>
                      <w:spacing w:val="-1"/>
                      <w:sz w:val="21"/>
                      <w:szCs w:val="21"/>
                    </w:rPr>
                    <w:t>2024.6.28</w:t>
                  </w:r>
                </w:p>
              </w:tc>
              <w:tc>
                <w:tcPr>
                  <w:tcW w:w="1433" w:type="dxa"/>
                  <w:tcBorders>
                    <w:tl2br w:val="nil"/>
                    <w:tr2bl w:val="nil"/>
                  </w:tcBorders>
                  <w:vAlign w:val="top"/>
                </w:tcPr>
                <w:p w14:paraId="6359BD2C">
                  <w:pPr>
                    <w:keepNext w:val="0"/>
                    <w:keepLines w:val="0"/>
                    <w:pageBreakBefore w:val="0"/>
                    <w:widowControl w:val="0"/>
                    <w:kinsoku/>
                    <w:wordWrap/>
                    <w:overflowPunct/>
                    <w:topLinePunct w:val="0"/>
                    <w:autoSpaceDE/>
                    <w:autoSpaceDN/>
                    <w:bidi w:val="0"/>
                    <w:adjustRightInd/>
                    <w:snapToGrid/>
                    <w:spacing w:line="300" w:lineRule="exact"/>
                    <w:ind w:left="327" w:leftChars="0"/>
                    <w:textAlignment w:val="auto"/>
                    <w:rPr>
                      <w:rFonts w:cs="Times New Roman"/>
                      <w:color w:val="auto"/>
                      <w:sz w:val="21"/>
                      <w:szCs w:val="21"/>
                      <w:vertAlign w:val="baseline"/>
                    </w:rPr>
                  </w:pPr>
                  <w:r>
                    <w:rPr>
                      <w:rFonts w:ascii="Times New Roman" w:hAnsi="Times New Roman" w:eastAsia="Times New Roman" w:cs="Times New Roman"/>
                      <w:color w:val="auto"/>
                      <w:spacing w:val="-3"/>
                      <w:sz w:val="21"/>
                      <w:szCs w:val="21"/>
                    </w:rPr>
                    <w:t>137ug/m</w:t>
                  </w:r>
                  <w:r>
                    <w:rPr>
                      <w:rFonts w:hint="eastAsia" w:eastAsia="宋体" w:cs="Times New Roman"/>
                      <w:color w:val="auto"/>
                      <w:spacing w:val="-3"/>
                      <w:sz w:val="21"/>
                      <w:szCs w:val="21"/>
                      <w:vertAlign w:val="superscript"/>
                      <w:lang w:val="en-US" w:eastAsia="zh-CN"/>
                    </w:rPr>
                    <w:t>3</w:t>
                  </w:r>
                </w:p>
              </w:tc>
              <w:tc>
                <w:tcPr>
                  <w:tcW w:w="1433" w:type="dxa"/>
                  <w:tcBorders>
                    <w:tl2br w:val="nil"/>
                    <w:tr2bl w:val="nil"/>
                  </w:tcBorders>
                  <w:vAlign w:val="top"/>
                </w:tcPr>
                <w:p w14:paraId="75517582">
                  <w:pPr>
                    <w:keepNext w:val="0"/>
                    <w:keepLines w:val="0"/>
                    <w:pageBreakBefore w:val="0"/>
                    <w:widowControl w:val="0"/>
                    <w:kinsoku/>
                    <w:wordWrap/>
                    <w:overflowPunct/>
                    <w:topLinePunct w:val="0"/>
                    <w:autoSpaceDE/>
                    <w:autoSpaceDN/>
                    <w:bidi w:val="0"/>
                    <w:adjustRightInd/>
                    <w:snapToGrid/>
                    <w:spacing w:line="300" w:lineRule="exact"/>
                    <w:ind w:left="372" w:leftChars="0"/>
                    <w:textAlignment w:val="auto"/>
                    <w:rPr>
                      <w:rFonts w:cs="Times New Roman"/>
                      <w:color w:val="auto"/>
                      <w:sz w:val="21"/>
                      <w:szCs w:val="21"/>
                      <w:vertAlign w:val="baseline"/>
                    </w:rPr>
                  </w:pPr>
                  <w:r>
                    <w:rPr>
                      <w:rFonts w:ascii="Times New Roman" w:hAnsi="Times New Roman" w:eastAsia="Times New Roman" w:cs="Times New Roman"/>
                      <w:color w:val="auto"/>
                      <w:spacing w:val="-1"/>
                      <w:sz w:val="21"/>
                      <w:szCs w:val="21"/>
                    </w:rPr>
                    <w:t>300ug/m</w:t>
                  </w:r>
                  <w:r>
                    <w:rPr>
                      <w:rFonts w:hint="eastAsia" w:eastAsia="宋体" w:cs="Times New Roman"/>
                      <w:color w:val="auto"/>
                      <w:spacing w:val="-3"/>
                      <w:sz w:val="21"/>
                      <w:szCs w:val="21"/>
                      <w:vertAlign w:val="superscript"/>
                      <w:lang w:val="en-US" w:eastAsia="zh-CN"/>
                    </w:rPr>
                    <w:t>3</w:t>
                  </w:r>
                </w:p>
              </w:tc>
              <w:tc>
                <w:tcPr>
                  <w:tcW w:w="1432" w:type="dxa"/>
                  <w:tcBorders>
                    <w:tl2br w:val="nil"/>
                    <w:tr2bl w:val="nil"/>
                  </w:tcBorders>
                  <w:vAlign w:val="top"/>
                </w:tcPr>
                <w:p w14:paraId="609E33F4">
                  <w:pPr>
                    <w:keepNext w:val="0"/>
                    <w:keepLines w:val="0"/>
                    <w:pageBreakBefore w:val="0"/>
                    <w:widowControl w:val="0"/>
                    <w:kinsoku/>
                    <w:wordWrap/>
                    <w:overflowPunct/>
                    <w:topLinePunct w:val="0"/>
                    <w:autoSpaceDE/>
                    <w:autoSpaceDN/>
                    <w:bidi w:val="0"/>
                    <w:adjustRightInd/>
                    <w:snapToGrid/>
                    <w:spacing w:line="300" w:lineRule="exact"/>
                    <w:ind w:left="297" w:leftChars="0"/>
                    <w:textAlignment w:val="auto"/>
                    <w:rPr>
                      <w:rFonts w:cs="Times New Roman"/>
                      <w:color w:val="auto"/>
                      <w:sz w:val="21"/>
                      <w:szCs w:val="21"/>
                      <w:vertAlign w:val="baseline"/>
                    </w:rPr>
                  </w:pPr>
                  <w:r>
                    <w:rPr>
                      <w:rFonts w:ascii="Times New Roman" w:hAnsi="Times New Roman" w:eastAsia="Times New Roman" w:cs="Times New Roman"/>
                      <w:color w:val="auto"/>
                      <w:spacing w:val="-1"/>
                      <w:sz w:val="21"/>
                      <w:szCs w:val="21"/>
                    </w:rPr>
                    <w:t>45.67%</w:t>
                  </w:r>
                </w:p>
              </w:tc>
              <w:tc>
                <w:tcPr>
                  <w:tcW w:w="1433" w:type="dxa"/>
                  <w:tcBorders>
                    <w:tl2br w:val="nil"/>
                    <w:tr2bl w:val="nil"/>
                  </w:tcBorders>
                  <w:vAlign w:val="top"/>
                </w:tcPr>
                <w:p w14:paraId="70DEC5FD">
                  <w:pPr>
                    <w:keepNext w:val="0"/>
                    <w:keepLines w:val="0"/>
                    <w:pageBreakBefore w:val="0"/>
                    <w:widowControl w:val="0"/>
                    <w:kinsoku/>
                    <w:wordWrap/>
                    <w:overflowPunct/>
                    <w:topLinePunct w:val="0"/>
                    <w:autoSpaceDE/>
                    <w:autoSpaceDN/>
                    <w:bidi w:val="0"/>
                    <w:adjustRightInd/>
                    <w:snapToGrid/>
                    <w:spacing w:line="300" w:lineRule="exact"/>
                    <w:ind w:left="545" w:leftChars="0"/>
                    <w:textAlignment w:val="auto"/>
                    <w:rPr>
                      <w:rFonts w:cs="Times New Roman"/>
                      <w:color w:val="auto"/>
                      <w:sz w:val="21"/>
                      <w:szCs w:val="21"/>
                      <w:vertAlign w:val="baseline"/>
                    </w:rPr>
                  </w:pPr>
                  <w:r>
                    <w:rPr>
                      <w:rFonts w:ascii="Times New Roman" w:hAnsi="Times New Roman" w:eastAsia="Times New Roman" w:cs="Times New Roman"/>
                      <w:color w:val="auto"/>
                      <w:sz w:val="21"/>
                      <w:szCs w:val="21"/>
                    </w:rPr>
                    <w:t>0</w:t>
                  </w:r>
                </w:p>
              </w:tc>
            </w:tr>
            <w:tr w14:paraId="094612D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1431" w:type="dxa"/>
                  <w:vMerge w:val="continue"/>
                  <w:tcBorders>
                    <w:tl2br w:val="nil"/>
                    <w:tr2bl w:val="nil"/>
                  </w:tcBorders>
                  <w:vAlign w:val="top"/>
                </w:tcPr>
                <w:p w14:paraId="4B6217FB">
                  <w:pPr>
                    <w:keepNext w:val="0"/>
                    <w:keepLines w:val="0"/>
                    <w:pageBreakBefore w:val="0"/>
                    <w:widowControl w:val="0"/>
                    <w:kinsoku/>
                    <w:wordWrap/>
                    <w:overflowPunct/>
                    <w:topLinePunct w:val="0"/>
                    <w:autoSpaceDE/>
                    <w:autoSpaceDN/>
                    <w:bidi w:val="0"/>
                    <w:adjustRightInd/>
                    <w:snapToGrid/>
                    <w:spacing w:line="300" w:lineRule="exact"/>
                    <w:textAlignment w:val="auto"/>
                    <w:rPr>
                      <w:rFonts w:cs="Times New Roman"/>
                      <w:color w:val="auto"/>
                      <w:sz w:val="21"/>
                      <w:szCs w:val="21"/>
                      <w:vertAlign w:val="baseline"/>
                    </w:rPr>
                  </w:pPr>
                </w:p>
              </w:tc>
              <w:tc>
                <w:tcPr>
                  <w:tcW w:w="1433" w:type="dxa"/>
                  <w:tcBorders>
                    <w:tl2br w:val="nil"/>
                    <w:tr2bl w:val="nil"/>
                  </w:tcBorders>
                  <w:vAlign w:val="top"/>
                </w:tcPr>
                <w:p w14:paraId="62104AC1">
                  <w:pPr>
                    <w:keepNext w:val="0"/>
                    <w:keepLines w:val="0"/>
                    <w:pageBreakBefore w:val="0"/>
                    <w:widowControl w:val="0"/>
                    <w:kinsoku/>
                    <w:wordWrap/>
                    <w:overflowPunct/>
                    <w:topLinePunct w:val="0"/>
                    <w:autoSpaceDE/>
                    <w:autoSpaceDN/>
                    <w:bidi w:val="0"/>
                    <w:adjustRightInd/>
                    <w:snapToGrid/>
                    <w:spacing w:line="300" w:lineRule="exact"/>
                    <w:ind w:left="296" w:leftChars="0"/>
                    <w:textAlignment w:val="auto"/>
                    <w:rPr>
                      <w:rFonts w:cs="Times New Roman"/>
                      <w:color w:val="auto"/>
                      <w:sz w:val="21"/>
                      <w:szCs w:val="21"/>
                      <w:vertAlign w:val="baseline"/>
                    </w:rPr>
                  </w:pPr>
                  <w:r>
                    <w:rPr>
                      <w:rFonts w:ascii="Times New Roman" w:hAnsi="Times New Roman" w:eastAsia="Times New Roman" w:cs="Times New Roman"/>
                      <w:color w:val="auto"/>
                      <w:spacing w:val="-1"/>
                      <w:sz w:val="21"/>
                      <w:szCs w:val="21"/>
                    </w:rPr>
                    <w:t>2024.6.29</w:t>
                  </w:r>
                </w:p>
              </w:tc>
              <w:tc>
                <w:tcPr>
                  <w:tcW w:w="1433" w:type="dxa"/>
                  <w:tcBorders>
                    <w:tl2br w:val="nil"/>
                    <w:tr2bl w:val="nil"/>
                  </w:tcBorders>
                  <w:vAlign w:val="top"/>
                </w:tcPr>
                <w:p w14:paraId="446C9E66">
                  <w:pPr>
                    <w:keepNext w:val="0"/>
                    <w:keepLines w:val="0"/>
                    <w:pageBreakBefore w:val="0"/>
                    <w:widowControl w:val="0"/>
                    <w:kinsoku/>
                    <w:wordWrap/>
                    <w:overflowPunct/>
                    <w:topLinePunct w:val="0"/>
                    <w:autoSpaceDE/>
                    <w:autoSpaceDN/>
                    <w:bidi w:val="0"/>
                    <w:adjustRightInd/>
                    <w:snapToGrid/>
                    <w:spacing w:line="300" w:lineRule="exact"/>
                    <w:ind w:left="327" w:leftChars="0"/>
                    <w:textAlignment w:val="auto"/>
                    <w:rPr>
                      <w:rFonts w:cs="Times New Roman"/>
                      <w:color w:val="auto"/>
                      <w:sz w:val="21"/>
                      <w:szCs w:val="21"/>
                      <w:vertAlign w:val="baseline"/>
                    </w:rPr>
                  </w:pPr>
                  <w:r>
                    <w:rPr>
                      <w:rFonts w:ascii="Times New Roman" w:hAnsi="Times New Roman" w:eastAsia="Times New Roman" w:cs="Times New Roman"/>
                      <w:color w:val="auto"/>
                      <w:spacing w:val="-3"/>
                      <w:sz w:val="21"/>
                      <w:szCs w:val="21"/>
                    </w:rPr>
                    <w:t>141ug/m</w:t>
                  </w:r>
                  <w:r>
                    <w:rPr>
                      <w:rFonts w:hint="eastAsia" w:eastAsia="宋体" w:cs="Times New Roman"/>
                      <w:color w:val="auto"/>
                      <w:spacing w:val="-3"/>
                      <w:sz w:val="21"/>
                      <w:szCs w:val="21"/>
                      <w:vertAlign w:val="superscript"/>
                      <w:lang w:val="en-US" w:eastAsia="zh-CN"/>
                    </w:rPr>
                    <w:t>3</w:t>
                  </w:r>
                </w:p>
              </w:tc>
              <w:tc>
                <w:tcPr>
                  <w:tcW w:w="1433" w:type="dxa"/>
                  <w:tcBorders>
                    <w:tl2br w:val="nil"/>
                    <w:tr2bl w:val="nil"/>
                  </w:tcBorders>
                  <w:vAlign w:val="top"/>
                </w:tcPr>
                <w:p w14:paraId="77198BCE">
                  <w:pPr>
                    <w:keepNext w:val="0"/>
                    <w:keepLines w:val="0"/>
                    <w:pageBreakBefore w:val="0"/>
                    <w:widowControl w:val="0"/>
                    <w:kinsoku/>
                    <w:wordWrap/>
                    <w:overflowPunct/>
                    <w:topLinePunct w:val="0"/>
                    <w:autoSpaceDE/>
                    <w:autoSpaceDN/>
                    <w:bidi w:val="0"/>
                    <w:adjustRightInd/>
                    <w:snapToGrid/>
                    <w:spacing w:line="300" w:lineRule="exact"/>
                    <w:ind w:left="372" w:leftChars="0"/>
                    <w:textAlignment w:val="auto"/>
                    <w:rPr>
                      <w:rFonts w:cs="Times New Roman"/>
                      <w:color w:val="auto"/>
                      <w:sz w:val="21"/>
                      <w:szCs w:val="21"/>
                      <w:vertAlign w:val="baseline"/>
                    </w:rPr>
                  </w:pPr>
                  <w:r>
                    <w:rPr>
                      <w:rFonts w:ascii="Times New Roman" w:hAnsi="Times New Roman" w:eastAsia="Times New Roman" w:cs="Times New Roman"/>
                      <w:color w:val="auto"/>
                      <w:spacing w:val="-1"/>
                      <w:sz w:val="21"/>
                      <w:szCs w:val="21"/>
                    </w:rPr>
                    <w:t>300ug/m</w:t>
                  </w:r>
                  <w:r>
                    <w:rPr>
                      <w:rFonts w:hint="eastAsia" w:eastAsia="宋体" w:cs="Times New Roman"/>
                      <w:color w:val="auto"/>
                      <w:spacing w:val="-3"/>
                      <w:sz w:val="21"/>
                      <w:szCs w:val="21"/>
                      <w:vertAlign w:val="superscript"/>
                      <w:lang w:val="en-US" w:eastAsia="zh-CN"/>
                    </w:rPr>
                    <w:t>3</w:t>
                  </w:r>
                </w:p>
              </w:tc>
              <w:tc>
                <w:tcPr>
                  <w:tcW w:w="1432" w:type="dxa"/>
                  <w:tcBorders>
                    <w:tl2br w:val="nil"/>
                    <w:tr2bl w:val="nil"/>
                  </w:tcBorders>
                  <w:vAlign w:val="top"/>
                </w:tcPr>
                <w:p w14:paraId="63598CE3">
                  <w:pPr>
                    <w:keepNext w:val="0"/>
                    <w:keepLines w:val="0"/>
                    <w:pageBreakBefore w:val="0"/>
                    <w:widowControl w:val="0"/>
                    <w:kinsoku/>
                    <w:wordWrap/>
                    <w:overflowPunct/>
                    <w:topLinePunct w:val="0"/>
                    <w:autoSpaceDE/>
                    <w:autoSpaceDN/>
                    <w:bidi w:val="0"/>
                    <w:adjustRightInd/>
                    <w:snapToGrid/>
                    <w:spacing w:line="300" w:lineRule="exact"/>
                    <w:ind w:left="297" w:leftChars="0"/>
                    <w:textAlignment w:val="auto"/>
                    <w:rPr>
                      <w:rFonts w:cs="Times New Roman"/>
                      <w:color w:val="auto"/>
                      <w:sz w:val="21"/>
                      <w:szCs w:val="21"/>
                      <w:vertAlign w:val="baseline"/>
                    </w:rPr>
                  </w:pPr>
                  <w:r>
                    <w:rPr>
                      <w:rFonts w:ascii="Times New Roman" w:hAnsi="Times New Roman" w:eastAsia="Times New Roman" w:cs="Times New Roman"/>
                      <w:color w:val="auto"/>
                      <w:spacing w:val="-1"/>
                      <w:sz w:val="21"/>
                      <w:szCs w:val="21"/>
                    </w:rPr>
                    <w:t>47.00%</w:t>
                  </w:r>
                </w:p>
              </w:tc>
              <w:tc>
                <w:tcPr>
                  <w:tcW w:w="1433" w:type="dxa"/>
                  <w:tcBorders>
                    <w:tl2br w:val="nil"/>
                    <w:tr2bl w:val="nil"/>
                  </w:tcBorders>
                  <w:vAlign w:val="top"/>
                </w:tcPr>
                <w:p w14:paraId="7C64CE88">
                  <w:pPr>
                    <w:keepNext w:val="0"/>
                    <w:keepLines w:val="0"/>
                    <w:pageBreakBefore w:val="0"/>
                    <w:widowControl w:val="0"/>
                    <w:kinsoku/>
                    <w:wordWrap/>
                    <w:overflowPunct/>
                    <w:topLinePunct w:val="0"/>
                    <w:autoSpaceDE/>
                    <w:autoSpaceDN/>
                    <w:bidi w:val="0"/>
                    <w:adjustRightInd/>
                    <w:snapToGrid/>
                    <w:spacing w:line="300" w:lineRule="exact"/>
                    <w:ind w:left="545" w:leftChars="0"/>
                    <w:textAlignment w:val="auto"/>
                    <w:rPr>
                      <w:rFonts w:cs="Times New Roman"/>
                      <w:color w:val="auto"/>
                      <w:sz w:val="21"/>
                      <w:szCs w:val="21"/>
                      <w:vertAlign w:val="baseline"/>
                    </w:rPr>
                  </w:pPr>
                  <w:r>
                    <w:rPr>
                      <w:rFonts w:ascii="Times New Roman" w:hAnsi="Times New Roman" w:eastAsia="Times New Roman" w:cs="Times New Roman"/>
                      <w:color w:val="auto"/>
                      <w:sz w:val="21"/>
                      <w:szCs w:val="21"/>
                    </w:rPr>
                    <w:t>0</w:t>
                  </w:r>
                </w:p>
              </w:tc>
            </w:tr>
          </w:tbl>
          <w:p w14:paraId="1D4E6D69">
            <w:pPr>
              <w:spacing w:line="360" w:lineRule="auto"/>
              <w:ind w:firstLine="480" w:firstLineChars="200"/>
              <w:rPr>
                <w:rFonts w:hint="eastAsia" w:eastAsia="宋体" w:cs="Times New Roman"/>
                <w:b/>
                <w:bCs/>
                <w:color w:val="auto"/>
                <w:sz w:val="24"/>
                <w:szCs w:val="24"/>
                <w:lang w:eastAsia="zh-CN"/>
              </w:rPr>
            </w:pPr>
            <w:r>
              <w:rPr>
                <w:rFonts w:cs="Times New Roman"/>
                <w:b w:val="0"/>
                <w:bCs w:val="0"/>
                <w:color w:val="auto"/>
                <w:sz w:val="24"/>
                <w:szCs w:val="24"/>
              </w:rPr>
              <w:t>由上表可见，项目区环境空气特征因子TSP评价指标的占标率均小于100%。评价结果表明，项目所在地环境空气质量（TSP）能够满足相关要求</w:t>
            </w:r>
            <w:r>
              <w:rPr>
                <w:rFonts w:hint="eastAsia" w:cs="Times New Roman"/>
                <w:b w:val="0"/>
                <w:bCs w:val="0"/>
                <w:color w:val="auto"/>
                <w:sz w:val="24"/>
                <w:szCs w:val="24"/>
                <w:lang w:eastAsia="zh-CN"/>
              </w:rPr>
              <w:t>。</w:t>
            </w:r>
          </w:p>
          <w:p w14:paraId="490674A1">
            <w:pPr>
              <w:spacing w:line="360" w:lineRule="auto"/>
              <w:ind w:firstLine="482" w:firstLineChars="200"/>
              <w:rPr>
                <w:rFonts w:cs="Times New Roman"/>
                <w:b/>
                <w:color w:val="auto"/>
                <w:sz w:val="24"/>
                <w:szCs w:val="24"/>
              </w:rPr>
            </w:pPr>
            <w:r>
              <w:rPr>
                <w:rFonts w:cs="Times New Roman"/>
                <w:b/>
                <w:color w:val="auto"/>
                <w:sz w:val="24"/>
                <w:szCs w:val="24"/>
              </w:rPr>
              <w:t>2、地表水环境质量现状</w:t>
            </w:r>
          </w:p>
          <w:p w14:paraId="6B723C66">
            <w:pPr>
              <w:spacing w:line="360" w:lineRule="auto"/>
              <w:ind w:firstLine="480" w:firstLineChars="200"/>
              <w:jc w:val="left"/>
              <w:rPr>
                <w:rFonts w:hint="eastAsia" w:eastAsia="宋体" w:cs="Times New Roman"/>
                <w:color w:val="auto"/>
                <w:sz w:val="24"/>
                <w:szCs w:val="24"/>
                <w:lang w:eastAsia="zh-CN"/>
              </w:rPr>
            </w:pPr>
            <w:r>
              <w:rPr>
                <w:rFonts w:cs="Times New Roman"/>
                <w:color w:val="auto"/>
                <w:sz w:val="24"/>
                <w:szCs w:val="24"/>
              </w:rPr>
              <w:t>本项目区域河流为州河水系，项目生产废水全部回用不外排，生活污水通过定期拉运的方式进入东岳场镇污水处理厂处理后达标排入双龙河。</w:t>
            </w:r>
            <w:r>
              <w:rPr>
                <w:rFonts w:hint="eastAsia" w:cs="Times New Roman"/>
                <w:color w:val="auto"/>
                <w:sz w:val="24"/>
                <w:szCs w:val="24"/>
                <w:lang w:eastAsia="zh-CN"/>
              </w:rPr>
              <w:t>因此，项目受纳水体为双龙河。</w:t>
            </w:r>
          </w:p>
          <w:p w14:paraId="50E032EC">
            <w:pPr>
              <w:spacing w:line="360" w:lineRule="auto"/>
              <w:ind w:firstLine="480" w:firstLineChars="200"/>
              <w:jc w:val="left"/>
              <w:rPr>
                <w:rFonts w:cs="Times New Roman"/>
                <w:color w:val="auto"/>
                <w:sz w:val="24"/>
                <w:szCs w:val="24"/>
              </w:rPr>
            </w:pPr>
            <w:r>
              <w:rPr>
                <w:rFonts w:cs="Times New Roman"/>
                <w:color w:val="auto"/>
                <w:sz w:val="24"/>
                <w:szCs w:val="24"/>
              </w:rPr>
              <w:t>根据调查，项目附近的地表水体为</w:t>
            </w:r>
            <w:r>
              <w:rPr>
                <w:rFonts w:hint="eastAsia" w:cs="Times New Roman"/>
                <w:color w:val="auto"/>
                <w:sz w:val="24"/>
                <w:szCs w:val="24"/>
                <w:lang w:eastAsia="zh-CN"/>
              </w:rPr>
              <w:t>西侧</w:t>
            </w:r>
            <w:r>
              <w:rPr>
                <w:rFonts w:cs="Times New Roman"/>
                <w:color w:val="auto"/>
                <w:sz w:val="24"/>
                <w:szCs w:val="24"/>
              </w:rPr>
              <w:t>的双龙河。根据《通川区河长制断面水质 检测》报告（通川环监字</w:t>
            </w:r>
            <w:r>
              <w:rPr>
                <w:rFonts w:hint="eastAsia" w:cs="Times New Roman"/>
                <w:color w:val="auto"/>
                <w:sz w:val="24"/>
                <w:szCs w:val="24"/>
                <w:lang w:eastAsia="zh-CN"/>
              </w:rPr>
              <w:t>（</w:t>
            </w:r>
            <w:r>
              <w:rPr>
                <w:rFonts w:cs="Times New Roman"/>
                <w:color w:val="auto"/>
                <w:sz w:val="24"/>
                <w:szCs w:val="24"/>
              </w:rPr>
              <w:t>2023）字第117号），本次环评引用该报告中</w:t>
            </w:r>
            <w:r>
              <w:rPr>
                <w:rFonts w:hint="eastAsia" w:cs="Times New Roman"/>
                <w:color w:val="auto"/>
                <w:sz w:val="24"/>
                <w:szCs w:val="24"/>
                <w:lang w:eastAsia="zh-CN"/>
              </w:rPr>
              <w:t>“</w:t>
            </w:r>
            <w:r>
              <w:rPr>
                <w:rFonts w:cs="Times New Roman"/>
                <w:color w:val="auto"/>
                <w:sz w:val="24"/>
                <w:szCs w:val="24"/>
              </w:rPr>
              <w:t>双龙河柏林口断面</w:t>
            </w:r>
            <w:r>
              <w:rPr>
                <w:rFonts w:hint="eastAsia" w:cs="Times New Roman"/>
                <w:color w:val="auto"/>
                <w:sz w:val="24"/>
                <w:szCs w:val="24"/>
                <w:lang w:eastAsia="zh-CN"/>
              </w:rPr>
              <w:t>”</w:t>
            </w:r>
            <w:r>
              <w:rPr>
                <w:rFonts w:cs="Times New Roman"/>
                <w:color w:val="auto"/>
                <w:sz w:val="24"/>
                <w:szCs w:val="24"/>
              </w:rPr>
              <w:t>数据。根据调查，监测时间为2023年12月20日，距离评价时间为1年，在引用的时效范围。</w:t>
            </w:r>
          </w:p>
          <w:p w14:paraId="6F3C63EF">
            <w:pPr>
              <w:spacing w:line="360" w:lineRule="auto"/>
              <w:ind w:firstLine="480" w:firstLineChars="200"/>
              <w:rPr>
                <w:rFonts w:cs="Times New Roman"/>
                <w:color w:val="auto"/>
                <w:sz w:val="24"/>
                <w:szCs w:val="24"/>
              </w:rPr>
            </w:pPr>
            <w:r>
              <w:rPr>
                <w:rFonts w:cs="Times New Roman"/>
                <w:color w:val="auto"/>
                <w:sz w:val="24"/>
                <w:szCs w:val="24"/>
              </w:rPr>
              <w:t>根据该检测报告，项目所在区域双龙河水质监测结果如下。</w:t>
            </w:r>
          </w:p>
          <w:p w14:paraId="63263097">
            <w:pPr>
              <w:spacing w:line="360" w:lineRule="auto"/>
              <w:jc w:val="center"/>
              <w:rPr>
                <w:rFonts w:cs="Times New Roman"/>
                <w:b/>
                <w:bCs/>
                <w:color w:val="auto"/>
                <w:sz w:val="21"/>
                <w:szCs w:val="21"/>
              </w:rPr>
            </w:pPr>
            <w:r>
              <w:rPr>
                <w:rFonts w:cs="Times New Roman"/>
                <w:b/>
                <w:bCs/>
                <w:color w:val="auto"/>
                <w:sz w:val="21"/>
                <w:szCs w:val="21"/>
              </w:rPr>
              <w:t>表3-</w:t>
            </w:r>
            <w:r>
              <w:rPr>
                <w:rFonts w:hint="eastAsia" w:cs="Times New Roman"/>
                <w:b/>
                <w:bCs/>
                <w:color w:val="auto"/>
                <w:sz w:val="21"/>
                <w:szCs w:val="21"/>
                <w:lang w:val="en-US" w:eastAsia="zh-CN"/>
              </w:rPr>
              <w:t>2</w:t>
            </w:r>
            <w:r>
              <w:rPr>
                <w:rFonts w:cs="Times New Roman"/>
                <w:b/>
                <w:bCs/>
                <w:color w:val="auto"/>
                <w:sz w:val="21"/>
                <w:szCs w:val="21"/>
              </w:rPr>
              <w:t xml:space="preserve"> </w:t>
            </w:r>
            <w:r>
              <w:rPr>
                <w:rFonts w:hint="eastAsia" w:cs="Times New Roman"/>
                <w:b/>
                <w:bCs/>
                <w:color w:val="auto"/>
                <w:sz w:val="21"/>
                <w:szCs w:val="21"/>
                <w:lang w:val="en-US" w:eastAsia="zh-CN"/>
              </w:rPr>
              <w:t xml:space="preserve"> </w:t>
            </w:r>
            <w:r>
              <w:rPr>
                <w:rFonts w:cs="Times New Roman"/>
                <w:b/>
                <w:bCs/>
                <w:color w:val="auto"/>
                <w:sz w:val="21"/>
                <w:szCs w:val="21"/>
              </w:rPr>
              <w:t>双龙河柏林口断面水质监测结果表</w:t>
            </w:r>
          </w:p>
          <w:tbl>
            <w:tblPr>
              <w:tblStyle w:val="25"/>
              <w:tblW w:w="8756" w:type="dxa"/>
              <w:tblInd w:w="5"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88"/>
              <w:gridCol w:w="1278"/>
              <w:gridCol w:w="712"/>
              <w:gridCol w:w="872"/>
              <w:gridCol w:w="868"/>
              <w:gridCol w:w="863"/>
              <w:gridCol w:w="868"/>
              <w:gridCol w:w="763"/>
              <w:gridCol w:w="968"/>
              <w:gridCol w:w="876"/>
            </w:tblGrid>
            <w:tr w14:paraId="0F867BF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34" w:hRule="atLeast"/>
              </w:trPr>
              <w:tc>
                <w:tcPr>
                  <w:tcW w:w="688" w:type="dxa"/>
                  <w:tcBorders>
                    <w:tl2br w:val="nil"/>
                    <w:tr2bl w:val="nil"/>
                  </w:tcBorders>
                  <w:shd w:val="clear" w:color="auto" w:fill="auto"/>
                  <w:vAlign w:val="center"/>
                </w:tcPr>
                <w:p w14:paraId="3182EF6F">
                  <w:pPr>
                    <w:pStyle w:val="111"/>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bCs/>
                      <w:color w:val="auto"/>
                      <w:kern w:val="2"/>
                      <w:sz w:val="21"/>
                      <w:szCs w:val="21"/>
                      <w:lang w:val="en-US" w:eastAsia="en-US" w:bidi="ar-SA"/>
                    </w:rPr>
                  </w:pPr>
                  <w:r>
                    <w:rPr>
                      <w:rFonts w:hint="default" w:ascii="Times New Roman" w:hAnsi="Times New Roman" w:eastAsia="宋体" w:cs="Times New Roman"/>
                      <w:b/>
                      <w:bCs/>
                      <w:color w:val="auto"/>
                      <w:kern w:val="2"/>
                      <w:sz w:val="21"/>
                      <w:szCs w:val="21"/>
                      <w:lang w:val="en-US" w:eastAsia="en-US" w:bidi="ar-SA"/>
                    </w:rPr>
                    <w:t>检测 点位</w:t>
                  </w:r>
                </w:p>
              </w:tc>
              <w:tc>
                <w:tcPr>
                  <w:tcW w:w="1278" w:type="dxa"/>
                  <w:tcBorders>
                    <w:tl2br w:val="nil"/>
                    <w:tr2bl w:val="nil"/>
                  </w:tcBorders>
                  <w:shd w:val="clear" w:color="auto" w:fill="auto"/>
                  <w:vAlign w:val="center"/>
                </w:tcPr>
                <w:p w14:paraId="0E43D2A7">
                  <w:pPr>
                    <w:pStyle w:val="111"/>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bCs/>
                      <w:color w:val="auto"/>
                      <w:kern w:val="2"/>
                      <w:sz w:val="21"/>
                      <w:szCs w:val="21"/>
                      <w:lang w:val="en-US" w:eastAsia="en-US" w:bidi="ar-SA"/>
                    </w:rPr>
                  </w:pPr>
                  <w:r>
                    <w:rPr>
                      <w:rFonts w:hint="default" w:ascii="Times New Roman" w:hAnsi="Times New Roman" w:eastAsia="宋体" w:cs="Times New Roman"/>
                      <w:b/>
                      <w:bCs/>
                      <w:color w:val="auto"/>
                      <w:kern w:val="2"/>
                      <w:sz w:val="21"/>
                      <w:szCs w:val="21"/>
                      <w:lang w:val="en-US" w:eastAsia="en-US" w:bidi="ar-SA"/>
                    </w:rPr>
                    <w:t>项目</w:t>
                  </w:r>
                </w:p>
              </w:tc>
              <w:tc>
                <w:tcPr>
                  <w:tcW w:w="712" w:type="dxa"/>
                  <w:tcBorders>
                    <w:tl2br w:val="nil"/>
                    <w:tr2bl w:val="nil"/>
                  </w:tcBorders>
                  <w:shd w:val="clear" w:color="auto" w:fill="auto"/>
                  <w:vAlign w:val="center"/>
                </w:tcPr>
                <w:p w14:paraId="61A381DE">
                  <w:pPr>
                    <w:pStyle w:val="111"/>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eastAsia="宋体" w:cs="Times New Roman"/>
                      <w:b/>
                      <w:bCs/>
                      <w:color w:val="auto"/>
                      <w:kern w:val="2"/>
                      <w:sz w:val="21"/>
                      <w:szCs w:val="21"/>
                      <w:lang w:val="en-US" w:eastAsia="en-US" w:bidi="ar-SA"/>
                    </w:rPr>
                    <w:t>pH</w:t>
                  </w:r>
                </w:p>
              </w:tc>
              <w:tc>
                <w:tcPr>
                  <w:tcW w:w="872" w:type="dxa"/>
                  <w:tcBorders>
                    <w:tl2br w:val="nil"/>
                    <w:tr2bl w:val="nil"/>
                  </w:tcBorders>
                  <w:shd w:val="clear" w:color="auto" w:fill="auto"/>
                  <w:vAlign w:val="center"/>
                </w:tcPr>
                <w:p w14:paraId="1130A6CB">
                  <w:pPr>
                    <w:pStyle w:val="111"/>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bCs/>
                      <w:color w:val="auto"/>
                      <w:kern w:val="2"/>
                      <w:sz w:val="21"/>
                      <w:szCs w:val="21"/>
                      <w:lang w:val="en-US" w:eastAsia="en-US" w:bidi="ar-SA"/>
                    </w:rPr>
                  </w:pPr>
                  <w:r>
                    <w:rPr>
                      <w:rFonts w:hint="default" w:ascii="Times New Roman" w:hAnsi="Times New Roman" w:eastAsia="宋体" w:cs="Times New Roman"/>
                      <w:b/>
                      <w:bCs/>
                      <w:color w:val="auto"/>
                      <w:kern w:val="2"/>
                      <w:sz w:val="21"/>
                      <w:szCs w:val="21"/>
                      <w:lang w:val="en-US" w:eastAsia="en-US" w:bidi="ar-SA"/>
                    </w:rPr>
                    <w:t>溶解氧</w:t>
                  </w:r>
                </w:p>
              </w:tc>
              <w:tc>
                <w:tcPr>
                  <w:tcW w:w="868" w:type="dxa"/>
                  <w:tcBorders>
                    <w:tl2br w:val="nil"/>
                    <w:tr2bl w:val="nil"/>
                  </w:tcBorders>
                  <w:shd w:val="clear" w:color="auto" w:fill="auto"/>
                  <w:vAlign w:val="center"/>
                </w:tcPr>
                <w:p w14:paraId="065DF9FD">
                  <w:pPr>
                    <w:pStyle w:val="111"/>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bCs/>
                      <w:color w:val="auto"/>
                      <w:kern w:val="2"/>
                      <w:sz w:val="21"/>
                      <w:szCs w:val="21"/>
                      <w:lang w:val="en-US" w:eastAsia="en-US" w:bidi="ar-SA"/>
                    </w:rPr>
                  </w:pPr>
                  <w:r>
                    <w:rPr>
                      <w:rFonts w:hint="default" w:ascii="Times New Roman" w:hAnsi="Times New Roman" w:eastAsia="宋体" w:cs="Times New Roman"/>
                      <w:b/>
                      <w:bCs/>
                      <w:color w:val="auto"/>
                      <w:kern w:val="2"/>
                      <w:sz w:val="21"/>
                      <w:szCs w:val="21"/>
                      <w:lang w:val="en-US" w:eastAsia="en-US" w:bidi="ar-SA"/>
                    </w:rPr>
                    <w:t>高锰酸盐指数</w:t>
                  </w:r>
                </w:p>
              </w:tc>
              <w:tc>
                <w:tcPr>
                  <w:tcW w:w="863" w:type="dxa"/>
                  <w:tcBorders>
                    <w:tl2br w:val="nil"/>
                    <w:tr2bl w:val="nil"/>
                  </w:tcBorders>
                  <w:shd w:val="clear" w:color="auto" w:fill="auto"/>
                  <w:vAlign w:val="center"/>
                </w:tcPr>
                <w:p w14:paraId="6E695A10">
                  <w:pPr>
                    <w:pStyle w:val="111"/>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bCs/>
                      <w:color w:val="auto"/>
                      <w:kern w:val="2"/>
                      <w:sz w:val="21"/>
                      <w:szCs w:val="21"/>
                      <w:lang w:val="en-US" w:eastAsia="en-US" w:bidi="ar-SA"/>
                    </w:rPr>
                  </w:pPr>
                  <w:r>
                    <w:rPr>
                      <w:rFonts w:hint="default" w:ascii="Times New Roman" w:hAnsi="Times New Roman" w:eastAsia="宋体" w:cs="Times New Roman"/>
                      <w:b/>
                      <w:bCs/>
                      <w:color w:val="auto"/>
                      <w:kern w:val="2"/>
                      <w:sz w:val="21"/>
                      <w:szCs w:val="21"/>
                      <w:lang w:val="en-US" w:eastAsia="en-US" w:bidi="ar-SA"/>
                    </w:rPr>
                    <w:t>化学需氧量</w:t>
                  </w:r>
                </w:p>
              </w:tc>
              <w:tc>
                <w:tcPr>
                  <w:tcW w:w="868" w:type="dxa"/>
                  <w:tcBorders>
                    <w:tl2br w:val="nil"/>
                    <w:tr2bl w:val="nil"/>
                  </w:tcBorders>
                  <w:shd w:val="clear" w:color="auto" w:fill="auto"/>
                  <w:vAlign w:val="center"/>
                </w:tcPr>
                <w:p w14:paraId="70436468">
                  <w:pPr>
                    <w:pStyle w:val="111"/>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bCs/>
                      <w:color w:val="auto"/>
                      <w:kern w:val="2"/>
                      <w:sz w:val="21"/>
                      <w:szCs w:val="21"/>
                      <w:lang w:val="en-US" w:eastAsia="en-US" w:bidi="ar-SA"/>
                    </w:rPr>
                  </w:pPr>
                  <w:r>
                    <w:rPr>
                      <w:rFonts w:hint="default" w:ascii="Times New Roman" w:hAnsi="Times New Roman" w:eastAsia="宋体" w:cs="Times New Roman"/>
                      <w:b/>
                      <w:bCs/>
                      <w:color w:val="auto"/>
                      <w:kern w:val="2"/>
                      <w:sz w:val="21"/>
                      <w:szCs w:val="21"/>
                      <w:lang w:val="en-US" w:eastAsia="en-US" w:bidi="ar-SA"/>
                    </w:rPr>
                    <w:t>氨氮</w:t>
                  </w:r>
                </w:p>
              </w:tc>
              <w:tc>
                <w:tcPr>
                  <w:tcW w:w="763" w:type="dxa"/>
                  <w:tcBorders>
                    <w:tl2br w:val="nil"/>
                    <w:tr2bl w:val="nil"/>
                  </w:tcBorders>
                  <w:shd w:val="clear" w:color="auto" w:fill="auto"/>
                  <w:vAlign w:val="center"/>
                </w:tcPr>
                <w:p w14:paraId="2BBB048A">
                  <w:pPr>
                    <w:pStyle w:val="111"/>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bCs/>
                      <w:color w:val="auto"/>
                      <w:kern w:val="2"/>
                      <w:sz w:val="21"/>
                      <w:szCs w:val="21"/>
                      <w:lang w:val="en-US" w:eastAsia="en-US" w:bidi="ar-SA"/>
                    </w:rPr>
                  </w:pPr>
                  <w:r>
                    <w:rPr>
                      <w:rFonts w:hint="default" w:ascii="Times New Roman" w:hAnsi="Times New Roman" w:eastAsia="宋体" w:cs="Times New Roman"/>
                      <w:b/>
                      <w:bCs/>
                      <w:color w:val="auto"/>
                      <w:kern w:val="2"/>
                      <w:sz w:val="21"/>
                      <w:szCs w:val="21"/>
                      <w:lang w:val="en-US" w:eastAsia="en-US" w:bidi="ar-SA"/>
                    </w:rPr>
                    <w:t>总磷</w:t>
                  </w:r>
                </w:p>
              </w:tc>
              <w:tc>
                <w:tcPr>
                  <w:tcW w:w="968" w:type="dxa"/>
                  <w:tcBorders>
                    <w:tl2br w:val="nil"/>
                    <w:tr2bl w:val="nil"/>
                  </w:tcBorders>
                  <w:shd w:val="clear" w:color="auto" w:fill="auto"/>
                  <w:vAlign w:val="center"/>
                </w:tcPr>
                <w:p w14:paraId="338F3D70">
                  <w:pPr>
                    <w:pStyle w:val="111"/>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bCs/>
                      <w:color w:val="auto"/>
                      <w:kern w:val="2"/>
                      <w:sz w:val="21"/>
                      <w:szCs w:val="21"/>
                      <w:lang w:val="en-US" w:eastAsia="en-US" w:bidi="ar-SA"/>
                    </w:rPr>
                  </w:pPr>
                  <w:r>
                    <w:rPr>
                      <w:rFonts w:hint="default" w:ascii="Times New Roman" w:hAnsi="Times New Roman" w:eastAsia="宋体" w:cs="Times New Roman"/>
                      <w:b/>
                      <w:bCs/>
                      <w:color w:val="auto"/>
                      <w:kern w:val="2"/>
                      <w:sz w:val="21"/>
                      <w:szCs w:val="21"/>
                      <w:lang w:val="en-US" w:eastAsia="en-US" w:bidi="ar-SA"/>
                    </w:rPr>
                    <w:t>五日生化需氧量</w:t>
                  </w:r>
                </w:p>
              </w:tc>
              <w:tc>
                <w:tcPr>
                  <w:tcW w:w="876" w:type="dxa"/>
                  <w:tcBorders>
                    <w:tl2br w:val="nil"/>
                    <w:tr2bl w:val="nil"/>
                  </w:tcBorders>
                  <w:shd w:val="clear" w:color="auto" w:fill="auto"/>
                  <w:vAlign w:val="center"/>
                </w:tcPr>
                <w:p w14:paraId="15E31A8C">
                  <w:pPr>
                    <w:pStyle w:val="111"/>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bCs/>
                      <w:color w:val="auto"/>
                      <w:kern w:val="2"/>
                      <w:sz w:val="21"/>
                      <w:szCs w:val="21"/>
                      <w:lang w:val="en-US" w:eastAsia="en-US" w:bidi="ar-SA"/>
                    </w:rPr>
                  </w:pPr>
                  <w:r>
                    <w:rPr>
                      <w:rFonts w:hint="default" w:ascii="Times New Roman" w:hAnsi="Times New Roman" w:eastAsia="宋体" w:cs="Times New Roman"/>
                      <w:b/>
                      <w:bCs/>
                      <w:color w:val="auto"/>
                      <w:kern w:val="2"/>
                      <w:sz w:val="21"/>
                      <w:szCs w:val="21"/>
                      <w:lang w:val="en-US" w:eastAsia="en-US" w:bidi="ar-SA"/>
                    </w:rPr>
                    <w:t>挥发酚</w:t>
                  </w:r>
                </w:p>
              </w:tc>
            </w:tr>
            <w:tr w14:paraId="6CDFFB2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6" w:hRule="atLeast"/>
              </w:trPr>
              <w:tc>
                <w:tcPr>
                  <w:tcW w:w="688" w:type="dxa"/>
                  <w:vMerge w:val="restart"/>
                  <w:tcBorders>
                    <w:tl2br w:val="nil"/>
                    <w:tr2bl w:val="nil"/>
                  </w:tcBorders>
                  <w:shd w:val="clear" w:color="auto" w:fill="auto"/>
                  <w:vAlign w:val="center"/>
                </w:tcPr>
                <w:p w14:paraId="15561B12">
                  <w:pPr>
                    <w:pStyle w:val="111"/>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kern w:val="2"/>
                      <w:sz w:val="21"/>
                      <w:szCs w:val="21"/>
                      <w:lang w:val="en-US" w:eastAsia="en-US" w:bidi="ar-SA"/>
                    </w:rPr>
                  </w:pPr>
                  <w:r>
                    <w:rPr>
                      <w:rFonts w:hint="default" w:ascii="Times New Roman" w:hAnsi="Times New Roman" w:eastAsia="宋体" w:cs="Times New Roman"/>
                      <w:color w:val="auto"/>
                      <w:kern w:val="2"/>
                      <w:sz w:val="21"/>
                      <w:szCs w:val="21"/>
                      <w:lang w:val="en-US" w:eastAsia="en-US" w:bidi="ar-SA"/>
                    </w:rPr>
                    <w:t>双龙河柏 林口断面</w:t>
                  </w:r>
                </w:p>
              </w:tc>
              <w:tc>
                <w:tcPr>
                  <w:tcW w:w="1278" w:type="dxa"/>
                  <w:tcBorders>
                    <w:tl2br w:val="nil"/>
                    <w:tr2bl w:val="nil"/>
                  </w:tcBorders>
                  <w:shd w:val="clear" w:color="auto" w:fill="auto"/>
                  <w:vAlign w:val="center"/>
                </w:tcPr>
                <w:p w14:paraId="44315F64">
                  <w:pPr>
                    <w:pStyle w:val="111"/>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kern w:val="2"/>
                      <w:sz w:val="21"/>
                      <w:szCs w:val="21"/>
                      <w:lang w:val="en-US" w:eastAsia="en-US" w:bidi="ar-SA"/>
                    </w:rPr>
                  </w:pPr>
                  <w:r>
                    <w:rPr>
                      <w:rFonts w:hint="default" w:ascii="Times New Roman" w:hAnsi="Times New Roman" w:eastAsia="宋体" w:cs="Times New Roman"/>
                      <w:color w:val="auto"/>
                      <w:kern w:val="2"/>
                      <w:sz w:val="21"/>
                      <w:szCs w:val="21"/>
                      <w:lang w:val="en-US" w:eastAsia="en-US" w:bidi="ar-SA"/>
                    </w:rPr>
                    <w:t>检测结果（mg/L）</w:t>
                  </w:r>
                </w:p>
              </w:tc>
              <w:tc>
                <w:tcPr>
                  <w:tcW w:w="712" w:type="dxa"/>
                  <w:tcBorders>
                    <w:tl2br w:val="nil"/>
                    <w:tr2bl w:val="nil"/>
                  </w:tcBorders>
                  <w:shd w:val="clear" w:color="auto" w:fill="auto"/>
                  <w:vAlign w:val="center"/>
                </w:tcPr>
                <w:p w14:paraId="23873FCC">
                  <w:pPr>
                    <w:pStyle w:val="111"/>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en-US" w:bidi="ar-SA"/>
                    </w:rPr>
                    <w:t>8.0</w:t>
                  </w:r>
                </w:p>
              </w:tc>
              <w:tc>
                <w:tcPr>
                  <w:tcW w:w="872" w:type="dxa"/>
                  <w:tcBorders>
                    <w:tl2br w:val="nil"/>
                    <w:tr2bl w:val="nil"/>
                  </w:tcBorders>
                  <w:shd w:val="clear" w:color="auto" w:fill="auto"/>
                  <w:vAlign w:val="center"/>
                </w:tcPr>
                <w:p w14:paraId="70007B6C">
                  <w:pPr>
                    <w:pStyle w:val="111"/>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en-US" w:bidi="ar-SA"/>
                    </w:rPr>
                    <w:t>9.7</w:t>
                  </w:r>
                </w:p>
              </w:tc>
              <w:tc>
                <w:tcPr>
                  <w:tcW w:w="868" w:type="dxa"/>
                  <w:tcBorders>
                    <w:tl2br w:val="nil"/>
                    <w:tr2bl w:val="nil"/>
                  </w:tcBorders>
                  <w:shd w:val="clear" w:color="auto" w:fill="auto"/>
                  <w:vAlign w:val="center"/>
                </w:tcPr>
                <w:p w14:paraId="66318C8D">
                  <w:pPr>
                    <w:pStyle w:val="111"/>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en-US" w:bidi="ar-SA"/>
                    </w:rPr>
                    <w:t>3.38</w:t>
                  </w:r>
                </w:p>
              </w:tc>
              <w:tc>
                <w:tcPr>
                  <w:tcW w:w="863" w:type="dxa"/>
                  <w:tcBorders>
                    <w:tl2br w:val="nil"/>
                    <w:tr2bl w:val="nil"/>
                  </w:tcBorders>
                  <w:shd w:val="clear" w:color="auto" w:fill="auto"/>
                  <w:vAlign w:val="center"/>
                </w:tcPr>
                <w:p w14:paraId="75CE769C">
                  <w:pPr>
                    <w:pStyle w:val="111"/>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en-US" w:bidi="ar-SA"/>
                    </w:rPr>
                    <w:t>18</w:t>
                  </w:r>
                </w:p>
              </w:tc>
              <w:tc>
                <w:tcPr>
                  <w:tcW w:w="868" w:type="dxa"/>
                  <w:tcBorders>
                    <w:tl2br w:val="nil"/>
                    <w:tr2bl w:val="nil"/>
                  </w:tcBorders>
                  <w:shd w:val="clear" w:color="auto" w:fill="auto"/>
                  <w:vAlign w:val="center"/>
                </w:tcPr>
                <w:p w14:paraId="49683440">
                  <w:pPr>
                    <w:pStyle w:val="111"/>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en-US" w:bidi="ar-SA"/>
                    </w:rPr>
                    <w:t>0.168</w:t>
                  </w:r>
                </w:p>
              </w:tc>
              <w:tc>
                <w:tcPr>
                  <w:tcW w:w="763" w:type="dxa"/>
                  <w:tcBorders>
                    <w:tl2br w:val="nil"/>
                    <w:tr2bl w:val="nil"/>
                  </w:tcBorders>
                  <w:shd w:val="clear" w:color="auto" w:fill="auto"/>
                  <w:vAlign w:val="center"/>
                </w:tcPr>
                <w:p w14:paraId="1C0C05B5">
                  <w:pPr>
                    <w:pStyle w:val="111"/>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en-US" w:bidi="ar-SA"/>
                    </w:rPr>
                    <w:t>0.04</w:t>
                  </w:r>
                </w:p>
              </w:tc>
              <w:tc>
                <w:tcPr>
                  <w:tcW w:w="968" w:type="dxa"/>
                  <w:tcBorders>
                    <w:tl2br w:val="nil"/>
                    <w:tr2bl w:val="nil"/>
                  </w:tcBorders>
                  <w:shd w:val="clear" w:color="auto" w:fill="auto"/>
                  <w:vAlign w:val="center"/>
                </w:tcPr>
                <w:p w14:paraId="1724711C">
                  <w:pPr>
                    <w:pStyle w:val="111"/>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en-US" w:bidi="ar-SA"/>
                    </w:rPr>
                    <w:t>2.2</w:t>
                  </w:r>
                </w:p>
              </w:tc>
              <w:tc>
                <w:tcPr>
                  <w:tcW w:w="876" w:type="dxa"/>
                  <w:tcBorders>
                    <w:tl2br w:val="nil"/>
                    <w:tr2bl w:val="nil"/>
                  </w:tcBorders>
                  <w:shd w:val="clear" w:color="auto" w:fill="auto"/>
                  <w:vAlign w:val="center"/>
                </w:tcPr>
                <w:p w14:paraId="0E21A009">
                  <w:pPr>
                    <w:pStyle w:val="111"/>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en-US" w:bidi="ar-SA"/>
                    </w:rPr>
                    <w:t>0.0008</w:t>
                  </w:r>
                </w:p>
              </w:tc>
            </w:tr>
            <w:tr w14:paraId="304475D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5" w:hRule="atLeast"/>
              </w:trPr>
              <w:tc>
                <w:tcPr>
                  <w:tcW w:w="688" w:type="dxa"/>
                  <w:vMerge w:val="continue"/>
                  <w:tcBorders>
                    <w:tl2br w:val="nil"/>
                    <w:tr2bl w:val="nil"/>
                  </w:tcBorders>
                  <w:vAlign w:val="center"/>
                </w:tcPr>
                <w:p w14:paraId="63A0E529">
                  <w:pPr>
                    <w:pStyle w:val="111"/>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kern w:val="2"/>
                      <w:sz w:val="21"/>
                      <w:szCs w:val="21"/>
                      <w:lang w:val="en-US" w:eastAsia="en-US" w:bidi="ar-SA"/>
                    </w:rPr>
                  </w:pPr>
                </w:p>
              </w:tc>
              <w:tc>
                <w:tcPr>
                  <w:tcW w:w="1278" w:type="dxa"/>
                  <w:tcBorders>
                    <w:tl2br w:val="nil"/>
                    <w:tr2bl w:val="nil"/>
                  </w:tcBorders>
                  <w:shd w:val="clear" w:color="auto" w:fill="auto"/>
                  <w:vAlign w:val="center"/>
                </w:tcPr>
                <w:p w14:paraId="7FBB1A01">
                  <w:pPr>
                    <w:pStyle w:val="111"/>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kern w:val="2"/>
                      <w:sz w:val="21"/>
                      <w:szCs w:val="21"/>
                      <w:lang w:val="en-US" w:eastAsia="en-US" w:bidi="ar-SA"/>
                    </w:rPr>
                  </w:pPr>
                  <w:r>
                    <w:rPr>
                      <w:rFonts w:hint="default" w:ascii="Times New Roman" w:hAnsi="Times New Roman" w:eastAsia="宋体" w:cs="Times New Roman"/>
                      <w:color w:val="auto"/>
                      <w:kern w:val="2"/>
                      <w:sz w:val="21"/>
                      <w:szCs w:val="21"/>
                      <w:lang w:val="en-US" w:eastAsia="en-US" w:bidi="ar-SA"/>
                    </w:rPr>
                    <w:t>标准限值</w:t>
                  </w:r>
                </w:p>
              </w:tc>
              <w:tc>
                <w:tcPr>
                  <w:tcW w:w="712" w:type="dxa"/>
                  <w:tcBorders>
                    <w:tl2br w:val="nil"/>
                    <w:tr2bl w:val="nil"/>
                  </w:tcBorders>
                  <w:shd w:val="clear" w:color="auto" w:fill="auto"/>
                  <w:vAlign w:val="center"/>
                </w:tcPr>
                <w:p w14:paraId="1F8D1DF5">
                  <w:pPr>
                    <w:pStyle w:val="111"/>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en-US" w:bidi="ar-SA"/>
                    </w:rPr>
                    <w:t>6~9</w:t>
                  </w:r>
                </w:p>
              </w:tc>
              <w:tc>
                <w:tcPr>
                  <w:tcW w:w="872" w:type="dxa"/>
                  <w:tcBorders>
                    <w:tl2br w:val="nil"/>
                    <w:tr2bl w:val="nil"/>
                  </w:tcBorders>
                  <w:shd w:val="clear" w:color="auto" w:fill="auto"/>
                  <w:vAlign w:val="center"/>
                </w:tcPr>
                <w:p w14:paraId="00CFF300">
                  <w:pPr>
                    <w:pStyle w:val="111"/>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kern w:val="2"/>
                      <w:sz w:val="21"/>
                      <w:szCs w:val="21"/>
                      <w:lang w:val="en-US" w:eastAsia="en-US" w:bidi="ar-SA"/>
                    </w:rPr>
                  </w:pPr>
                  <w:r>
                    <w:rPr>
                      <w:rFonts w:hint="default" w:ascii="Times New Roman" w:hAnsi="Times New Roman" w:eastAsia="宋体" w:cs="Times New Roman"/>
                      <w:color w:val="auto"/>
                      <w:kern w:val="2"/>
                      <w:sz w:val="21"/>
                      <w:szCs w:val="21"/>
                      <w:lang w:val="en-US" w:eastAsia="en-US" w:bidi="ar-SA"/>
                    </w:rPr>
                    <w:t>≥5</w:t>
                  </w:r>
                </w:p>
              </w:tc>
              <w:tc>
                <w:tcPr>
                  <w:tcW w:w="868" w:type="dxa"/>
                  <w:tcBorders>
                    <w:tl2br w:val="nil"/>
                    <w:tr2bl w:val="nil"/>
                  </w:tcBorders>
                  <w:shd w:val="clear" w:color="auto" w:fill="auto"/>
                  <w:vAlign w:val="center"/>
                </w:tcPr>
                <w:p w14:paraId="2F80E9FF">
                  <w:pPr>
                    <w:pStyle w:val="111"/>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kern w:val="2"/>
                      <w:sz w:val="21"/>
                      <w:szCs w:val="21"/>
                      <w:lang w:val="en-US" w:eastAsia="en-US" w:bidi="ar-SA"/>
                    </w:rPr>
                  </w:pPr>
                  <w:r>
                    <w:rPr>
                      <w:rFonts w:hint="default" w:ascii="Times New Roman" w:hAnsi="Times New Roman" w:eastAsia="宋体" w:cs="Times New Roman"/>
                      <w:color w:val="auto"/>
                      <w:kern w:val="2"/>
                      <w:sz w:val="21"/>
                      <w:szCs w:val="21"/>
                      <w:lang w:val="en-US" w:eastAsia="en-US" w:bidi="ar-SA"/>
                    </w:rPr>
                    <w:t>≤6</w:t>
                  </w:r>
                </w:p>
              </w:tc>
              <w:tc>
                <w:tcPr>
                  <w:tcW w:w="863" w:type="dxa"/>
                  <w:tcBorders>
                    <w:tl2br w:val="nil"/>
                    <w:tr2bl w:val="nil"/>
                  </w:tcBorders>
                  <w:shd w:val="clear" w:color="auto" w:fill="auto"/>
                  <w:vAlign w:val="center"/>
                </w:tcPr>
                <w:p w14:paraId="45C509ED">
                  <w:pPr>
                    <w:pStyle w:val="111"/>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kern w:val="2"/>
                      <w:sz w:val="21"/>
                      <w:szCs w:val="21"/>
                      <w:lang w:val="en-US" w:eastAsia="en-US" w:bidi="ar-SA"/>
                    </w:rPr>
                  </w:pPr>
                  <w:r>
                    <w:rPr>
                      <w:rFonts w:hint="default" w:ascii="Times New Roman" w:hAnsi="Times New Roman" w:eastAsia="宋体" w:cs="Times New Roman"/>
                      <w:color w:val="auto"/>
                      <w:kern w:val="2"/>
                      <w:sz w:val="21"/>
                      <w:szCs w:val="21"/>
                      <w:lang w:val="en-US" w:eastAsia="en-US" w:bidi="ar-SA"/>
                    </w:rPr>
                    <w:t>≤20</w:t>
                  </w:r>
                </w:p>
              </w:tc>
              <w:tc>
                <w:tcPr>
                  <w:tcW w:w="868" w:type="dxa"/>
                  <w:tcBorders>
                    <w:tl2br w:val="nil"/>
                    <w:tr2bl w:val="nil"/>
                  </w:tcBorders>
                  <w:shd w:val="clear" w:color="auto" w:fill="auto"/>
                  <w:vAlign w:val="center"/>
                </w:tcPr>
                <w:p w14:paraId="19CCAC71">
                  <w:pPr>
                    <w:pStyle w:val="111"/>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kern w:val="2"/>
                      <w:sz w:val="21"/>
                      <w:szCs w:val="21"/>
                      <w:lang w:val="en-US" w:eastAsia="en-US" w:bidi="ar-SA"/>
                    </w:rPr>
                  </w:pPr>
                  <w:r>
                    <w:rPr>
                      <w:rFonts w:hint="default" w:ascii="Times New Roman" w:hAnsi="Times New Roman" w:eastAsia="宋体" w:cs="Times New Roman"/>
                      <w:color w:val="auto"/>
                      <w:kern w:val="2"/>
                      <w:sz w:val="21"/>
                      <w:szCs w:val="21"/>
                      <w:lang w:val="en-US" w:eastAsia="en-US" w:bidi="ar-SA"/>
                    </w:rPr>
                    <w:t>≤1.0</w:t>
                  </w:r>
                </w:p>
              </w:tc>
              <w:tc>
                <w:tcPr>
                  <w:tcW w:w="763" w:type="dxa"/>
                  <w:tcBorders>
                    <w:tl2br w:val="nil"/>
                    <w:tr2bl w:val="nil"/>
                  </w:tcBorders>
                  <w:shd w:val="clear" w:color="auto" w:fill="auto"/>
                  <w:vAlign w:val="center"/>
                </w:tcPr>
                <w:p w14:paraId="3C9FE90C">
                  <w:pPr>
                    <w:pStyle w:val="111"/>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kern w:val="2"/>
                      <w:sz w:val="21"/>
                      <w:szCs w:val="21"/>
                      <w:lang w:val="en-US" w:eastAsia="en-US" w:bidi="ar-SA"/>
                    </w:rPr>
                  </w:pPr>
                  <w:r>
                    <w:rPr>
                      <w:rFonts w:hint="default" w:ascii="Times New Roman" w:hAnsi="Times New Roman" w:eastAsia="宋体" w:cs="Times New Roman"/>
                      <w:color w:val="auto"/>
                      <w:kern w:val="2"/>
                      <w:sz w:val="21"/>
                      <w:szCs w:val="21"/>
                      <w:lang w:val="en-US" w:eastAsia="en-US" w:bidi="ar-SA"/>
                    </w:rPr>
                    <w:t>≤0.2</w:t>
                  </w:r>
                </w:p>
              </w:tc>
              <w:tc>
                <w:tcPr>
                  <w:tcW w:w="968" w:type="dxa"/>
                  <w:tcBorders>
                    <w:tl2br w:val="nil"/>
                    <w:tr2bl w:val="nil"/>
                  </w:tcBorders>
                  <w:shd w:val="clear" w:color="auto" w:fill="auto"/>
                  <w:vAlign w:val="center"/>
                </w:tcPr>
                <w:p w14:paraId="5F8E62C7">
                  <w:pPr>
                    <w:pStyle w:val="111"/>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kern w:val="2"/>
                      <w:sz w:val="21"/>
                      <w:szCs w:val="21"/>
                      <w:lang w:val="en-US" w:eastAsia="en-US" w:bidi="ar-SA"/>
                    </w:rPr>
                  </w:pPr>
                  <w:r>
                    <w:rPr>
                      <w:rFonts w:hint="default" w:ascii="Times New Roman" w:hAnsi="Times New Roman" w:eastAsia="宋体" w:cs="Times New Roman"/>
                      <w:color w:val="auto"/>
                      <w:kern w:val="2"/>
                      <w:sz w:val="21"/>
                      <w:szCs w:val="21"/>
                      <w:lang w:val="en-US" w:eastAsia="en-US" w:bidi="ar-SA"/>
                    </w:rPr>
                    <w:t>≤4</w:t>
                  </w:r>
                </w:p>
              </w:tc>
              <w:tc>
                <w:tcPr>
                  <w:tcW w:w="876" w:type="dxa"/>
                  <w:tcBorders>
                    <w:tl2br w:val="nil"/>
                    <w:tr2bl w:val="nil"/>
                  </w:tcBorders>
                  <w:shd w:val="clear" w:color="auto" w:fill="auto"/>
                  <w:vAlign w:val="center"/>
                </w:tcPr>
                <w:p w14:paraId="63D52A2F">
                  <w:pPr>
                    <w:pStyle w:val="111"/>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kern w:val="2"/>
                      <w:sz w:val="21"/>
                      <w:szCs w:val="21"/>
                      <w:lang w:val="en-US" w:eastAsia="en-US" w:bidi="ar-SA"/>
                    </w:rPr>
                  </w:pPr>
                  <w:r>
                    <w:rPr>
                      <w:rFonts w:hint="default" w:ascii="Times New Roman" w:hAnsi="Times New Roman" w:eastAsia="宋体" w:cs="Times New Roman"/>
                      <w:color w:val="auto"/>
                      <w:kern w:val="2"/>
                      <w:sz w:val="21"/>
                      <w:szCs w:val="21"/>
                      <w:lang w:val="en-US" w:eastAsia="en-US" w:bidi="ar-SA"/>
                    </w:rPr>
                    <w:t>≤0.005</w:t>
                  </w:r>
                </w:p>
              </w:tc>
            </w:tr>
            <w:tr w14:paraId="2E30F2F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34" w:hRule="atLeast"/>
              </w:trPr>
              <w:tc>
                <w:tcPr>
                  <w:tcW w:w="688" w:type="dxa"/>
                  <w:vMerge w:val="continue"/>
                  <w:tcBorders>
                    <w:tl2br w:val="nil"/>
                    <w:tr2bl w:val="nil"/>
                  </w:tcBorders>
                  <w:vAlign w:val="center"/>
                </w:tcPr>
                <w:p w14:paraId="67BE0BF7">
                  <w:pPr>
                    <w:pStyle w:val="111"/>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kern w:val="2"/>
                      <w:sz w:val="21"/>
                      <w:szCs w:val="21"/>
                      <w:lang w:val="en-US" w:eastAsia="en-US" w:bidi="ar-SA"/>
                    </w:rPr>
                  </w:pPr>
                </w:p>
              </w:tc>
              <w:tc>
                <w:tcPr>
                  <w:tcW w:w="1278" w:type="dxa"/>
                  <w:tcBorders>
                    <w:tl2br w:val="nil"/>
                    <w:tr2bl w:val="nil"/>
                  </w:tcBorders>
                  <w:shd w:val="clear" w:color="auto" w:fill="auto"/>
                  <w:vAlign w:val="center"/>
                </w:tcPr>
                <w:p w14:paraId="1EC40242">
                  <w:pPr>
                    <w:pStyle w:val="111"/>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en-US" w:bidi="ar-SA"/>
                    </w:rPr>
                    <w:t>评价结果</w:t>
                  </w:r>
                  <w:r>
                    <w:rPr>
                      <w:rFonts w:hint="eastAsia" w:ascii="Times New Roman" w:hAnsi="Times New Roman" w:cs="Times New Roman"/>
                      <w:color w:val="auto"/>
                      <w:kern w:val="2"/>
                      <w:sz w:val="21"/>
                      <w:szCs w:val="21"/>
                      <w:lang w:val="en-US" w:eastAsia="zh-CN" w:bidi="ar-SA"/>
                    </w:rPr>
                    <w:t>（</w:t>
                  </w:r>
                  <w:r>
                    <w:rPr>
                      <w:rFonts w:hint="default" w:ascii="Times New Roman" w:hAnsi="Times New Roman" w:eastAsia="宋体" w:cs="Times New Roman"/>
                      <w:color w:val="auto"/>
                      <w:kern w:val="2"/>
                      <w:sz w:val="21"/>
                      <w:szCs w:val="21"/>
                      <w:lang w:val="en-US" w:eastAsia="en-US" w:bidi="ar-SA"/>
                    </w:rPr>
                    <w:t>单项指数</w:t>
                  </w:r>
                  <w:r>
                    <w:rPr>
                      <w:rFonts w:hint="eastAsia" w:ascii="Times New Roman" w:hAnsi="Times New Roman" w:cs="Times New Roman"/>
                      <w:color w:val="auto"/>
                      <w:kern w:val="2"/>
                      <w:sz w:val="21"/>
                      <w:szCs w:val="21"/>
                      <w:lang w:val="en-US" w:eastAsia="zh-CN" w:bidi="ar-SA"/>
                    </w:rPr>
                    <w:t>）</w:t>
                  </w:r>
                </w:p>
              </w:tc>
              <w:tc>
                <w:tcPr>
                  <w:tcW w:w="712" w:type="dxa"/>
                  <w:tcBorders>
                    <w:tl2br w:val="nil"/>
                    <w:tr2bl w:val="nil"/>
                  </w:tcBorders>
                  <w:shd w:val="clear" w:color="auto" w:fill="auto"/>
                  <w:vAlign w:val="center"/>
                </w:tcPr>
                <w:p w14:paraId="27A49C33">
                  <w:pPr>
                    <w:pStyle w:val="111"/>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kern w:val="2"/>
                      <w:sz w:val="21"/>
                      <w:szCs w:val="21"/>
                      <w:lang w:val="en-US" w:eastAsia="en-US" w:bidi="ar-SA"/>
                    </w:rPr>
                  </w:pPr>
                </w:p>
                <w:p w14:paraId="30C1AB85">
                  <w:pPr>
                    <w:pStyle w:val="111"/>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en-US" w:bidi="ar-SA"/>
                    </w:rPr>
                    <w:t>0.5</w:t>
                  </w:r>
                </w:p>
              </w:tc>
              <w:tc>
                <w:tcPr>
                  <w:tcW w:w="872" w:type="dxa"/>
                  <w:tcBorders>
                    <w:tl2br w:val="nil"/>
                    <w:tr2bl w:val="nil"/>
                  </w:tcBorders>
                  <w:shd w:val="clear" w:color="auto" w:fill="auto"/>
                  <w:vAlign w:val="center"/>
                </w:tcPr>
                <w:p w14:paraId="481D1371">
                  <w:pPr>
                    <w:pStyle w:val="111"/>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en-US" w:bidi="ar-SA"/>
                    </w:rPr>
                    <w:t>0.369*</w:t>
                  </w:r>
                </w:p>
              </w:tc>
              <w:tc>
                <w:tcPr>
                  <w:tcW w:w="868" w:type="dxa"/>
                  <w:tcBorders>
                    <w:tl2br w:val="nil"/>
                    <w:tr2bl w:val="nil"/>
                  </w:tcBorders>
                  <w:shd w:val="clear" w:color="auto" w:fill="auto"/>
                  <w:vAlign w:val="center"/>
                </w:tcPr>
                <w:p w14:paraId="6C74591D">
                  <w:pPr>
                    <w:pStyle w:val="111"/>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kern w:val="2"/>
                      <w:sz w:val="21"/>
                      <w:szCs w:val="21"/>
                      <w:lang w:val="en-US" w:eastAsia="en-US" w:bidi="ar-SA"/>
                    </w:rPr>
                  </w:pPr>
                </w:p>
                <w:p w14:paraId="2A46DBB6">
                  <w:pPr>
                    <w:pStyle w:val="111"/>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en-US" w:bidi="ar-SA"/>
                    </w:rPr>
                    <w:t>0.563</w:t>
                  </w:r>
                </w:p>
              </w:tc>
              <w:tc>
                <w:tcPr>
                  <w:tcW w:w="863" w:type="dxa"/>
                  <w:tcBorders>
                    <w:tl2br w:val="nil"/>
                    <w:tr2bl w:val="nil"/>
                  </w:tcBorders>
                  <w:shd w:val="clear" w:color="auto" w:fill="auto"/>
                  <w:vAlign w:val="center"/>
                </w:tcPr>
                <w:p w14:paraId="41F5DED6">
                  <w:pPr>
                    <w:pStyle w:val="111"/>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kern w:val="2"/>
                      <w:sz w:val="21"/>
                      <w:szCs w:val="21"/>
                      <w:lang w:val="en-US" w:eastAsia="en-US" w:bidi="ar-SA"/>
                    </w:rPr>
                  </w:pPr>
                </w:p>
                <w:p w14:paraId="228B7B0A">
                  <w:pPr>
                    <w:pStyle w:val="111"/>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en-US" w:bidi="ar-SA"/>
                    </w:rPr>
                    <w:t>0.9</w:t>
                  </w:r>
                </w:p>
              </w:tc>
              <w:tc>
                <w:tcPr>
                  <w:tcW w:w="868" w:type="dxa"/>
                  <w:tcBorders>
                    <w:tl2br w:val="nil"/>
                    <w:tr2bl w:val="nil"/>
                  </w:tcBorders>
                  <w:shd w:val="clear" w:color="auto" w:fill="auto"/>
                  <w:vAlign w:val="center"/>
                </w:tcPr>
                <w:p w14:paraId="60A54DC8">
                  <w:pPr>
                    <w:pStyle w:val="111"/>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kern w:val="2"/>
                      <w:sz w:val="21"/>
                      <w:szCs w:val="21"/>
                      <w:lang w:val="en-US" w:eastAsia="en-US" w:bidi="ar-SA"/>
                    </w:rPr>
                  </w:pPr>
                </w:p>
                <w:p w14:paraId="168AA599">
                  <w:pPr>
                    <w:pStyle w:val="111"/>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en-US" w:bidi="ar-SA"/>
                    </w:rPr>
                    <w:t>0.168</w:t>
                  </w:r>
                </w:p>
              </w:tc>
              <w:tc>
                <w:tcPr>
                  <w:tcW w:w="763" w:type="dxa"/>
                  <w:tcBorders>
                    <w:tl2br w:val="nil"/>
                    <w:tr2bl w:val="nil"/>
                  </w:tcBorders>
                  <w:shd w:val="clear" w:color="auto" w:fill="auto"/>
                  <w:vAlign w:val="center"/>
                </w:tcPr>
                <w:p w14:paraId="6E938050">
                  <w:pPr>
                    <w:pStyle w:val="111"/>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kern w:val="2"/>
                      <w:sz w:val="21"/>
                      <w:szCs w:val="21"/>
                      <w:lang w:val="en-US" w:eastAsia="en-US" w:bidi="ar-SA"/>
                    </w:rPr>
                  </w:pPr>
                </w:p>
                <w:p w14:paraId="7FCF0D24">
                  <w:pPr>
                    <w:pStyle w:val="111"/>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en-US" w:bidi="ar-SA"/>
                    </w:rPr>
                    <w:t>0.2</w:t>
                  </w:r>
                </w:p>
              </w:tc>
              <w:tc>
                <w:tcPr>
                  <w:tcW w:w="968" w:type="dxa"/>
                  <w:tcBorders>
                    <w:tl2br w:val="nil"/>
                    <w:tr2bl w:val="nil"/>
                  </w:tcBorders>
                  <w:shd w:val="clear" w:color="auto" w:fill="auto"/>
                  <w:vAlign w:val="center"/>
                </w:tcPr>
                <w:p w14:paraId="551B173F">
                  <w:pPr>
                    <w:pStyle w:val="111"/>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kern w:val="2"/>
                      <w:sz w:val="21"/>
                      <w:szCs w:val="21"/>
                      <w:lang w:val="en-US" w:eastAsia="en-US" w:bidi="ar-SA"/>
                    </w:rPr>
                  </w:pPr>
                </w:p>
                <w:p w14:paraId="25E8BE24">
                  <w:pPr>
                    <w:pStyle w:val="111"/>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en-US" w:bidi="ar-SA"/>
                    </w:rPr>
                    <w:t>0.55</w:t>
                  </w:r>
                </w:p>
              </w:tc>
              <w:tc>
                <w:tcPr>
                  <w:tcW w:w="876" w:type="dxa"/>
                  <w:tcBorders>
                    <w:tl2br w:val="nil"/>
                    <w:tr2bl w:val="nil"/>
                  </w:tcBorders>
                  <w:shd w:val="clear" w:color="auto" w:fill="auto"/>
                  <w:vAlign w:val="center"/>
                </w:tcPr>
                <w:p w14:paraId="367365BB">
                  <w:pPr>
                    <w:pStyle w:val="111"/>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kern w:val="2"/>
                      <w:sz w:val="21"/>
                      <w:szCs w:val="21"/>
                      <w:lang w:val="en-US" w:eastAsia="en-US" w:bidi="ar-SA"/>
                    </w:rPr>
                  </w:pPr>
                </w:p>
                <w:p w14:paraId="1D38069C">
                  <w:pPr>
                    <w:pStyle w:val="111"/>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en-US" w:bidi="ar-SA"/>
                    </w:rPr>
                    <w:t>0.16</w:t>
                  </w:r>
                </w:p>
              </w:tc>
            </w:tr>
            <w:tr w14:paraId="3B37188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92" w:hRule="atLeast"/>
              </w:trPr>
              <w:tc>
                <w:tcPr>
                  <w:tcW w:w="8756" w:type="dxa"/>
                  <w:gridSpan w:val="10"/>
                  <w:tcBorders>
                    <w:tl2br w:val="nil"/>
                    <w:tr2bl w:val="nil"/>
                  </w:tcBorders>
                  <w:vAlign w:val="center"/>
                </w:tcPr>
                <w:p w14:paraId="4EB941AB">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default" w:ascii="Times New Roman" w:hAnsi="Times New Roman" w:cs="Times New Roman"/>
                      <w:color w:val="auto"/>
                      <w:sz w:val="21"/>
                      <w:szCs w:val="21"/>
                      <w:vertAlign w:val="baseline"/>
                    </w:rPr>
                  </w:pPr>
                  <w:r>
                    <w:rPr>
                      <w:rFonts w:hint="default" w:ascii="Times New Roman" w:hAnsi="Times New Roman" w:cs="Times New Roman"/>
                      <w:color w:val="auto"/>
                      <w:spacing w:val="-2"/>
                      <w:sz w:val="21"/>
                      <w:szCs w:val="21"/>
                    </w:rPr>
                    <w:t>注：评价结果右上角带</w:t>
                  </w:r>
                  <w:r>
                    <w:rPr>
                      <w:rFonts w:hint="default" w:ascii="Times New Roman" w:hAnsi="Times New Roman" w:cs="Times New Roman"/>
                      <w:color w:val="auto"/>
                      <w:spacing w:val="-2"/>
                      <w:sz w:val="21"/>
                      <w:szCs w:val="21"/>
                      <w:lang w:eastAsia="zh-CN"/>
                    </w:rPr>
                    <w:t>“</w:t>
                  </w:r>
                  <w:r>
                    <w:rPr>
                      <w:rFonts w:hint="default" w:ascii="Times New Roman" w:hAnsi="Times New Roman" w:eastAsia="Times New Roman" w:cs="Times New Roman"/>
                      <w:color w:val="auto"/>
                      <w:spacing w:val="-2"/>
                      <w:sz w:val="21"/>
                      <w:szCs w:val="21"/>
                    </w:rPr>
                    <w:t>*</w:t>
                  </w:r>
                  <w:r>
                    <w:rPr>
                      <w:rFonts w:hint="default" w:ascii="Times New Roman" w:hAnsi="Times New Roman" w:eastAsia="Times New Roman" w:cs="Times New Roman"/>
                      <w:color w:val="auto"/>
                      <w:spacing w:val="-15"/>
                      <w:sz w:val="21"/>
                      <w:szCs w:val="21"/>
                    </w:rPr>
                    <w:t xml:space="preserve"> </w:t>
                  </w:r>
                  <w:r>
                    <w:rPr>
                      <w:rFonts w:hint="default" w:ascii="Times New Roman" w:hAnsi="Times New Roman" w:eastAsia="宋体" w:cs="Times New Roman"/>
                      <w:color w:val="auto"/>
                      <w:spacing w:val="-2"/>
                      <w:sz w:val="21"/>
                      <w:szCs w:val="21"/>
                      <w:lang w:eastAsia="zh-CN"/>
                    </w:rPr>
                    <w:t>”</w:t>
                  </w:r>
                  <w:r>
                    <w:rPr>
                      <w:rFonts w:hint="default" w:ascii="Times New Roman" w:hAnsi="Times New Roman" w:cs="Times New Roman"/>
                      <w:color w:val="auto"/>
                      <w:spacing w:val="-2"/>
                      <w:sz w:val="21"/>
                      <w:szCs w:val="21"/>
                    </w:rPr>
                    <w:t>，表示溶解氧在单项指数评价时，根据当地气候条件，冬季河水温度平</w:t>
                  </w:r>
                  <w:r>
                    <w:rPr>
                      <w:rFonts w:hint="default" w:ascii="Times New Roman" w:hAnsi="Times New Roman" w:cs="Times New Roman"/>
                      <w:color w:val="auto"/>
                      <w:sz w:val="21"/>
                      <w:szCs w:val="21"/>
                    </w:rPr>
                    <w:t xml:space="preserve"> </w:t>
                  </w:r>
                  <w:r>
                    <w:rPr>
                      <w:rFonts w:hint="default" w:ascii="Times New Roman" w:hAnsi="Times New Roman" w:cs="Times New Roman"/>
                      <w:color w:val="auto"/>
                      <w:spacing w:val="4"/>
                      <w:sz w:val="21"/>
                      <w:szCs w:val="21"/>
                    </w:rPr>
                    <w:t>均在</w:t>
                  </w:r>
                  <w:r>
                    <w:rPr>
                      <w:rFonts w:hint="default" w:ascii="Times New Roman" w:hAnsi="Times New Roman" w:cs="Times New Roman"/>
                      <w:color w:val="auto"/>
                      <w:spacing w:val="-32"/>
                      <w:sz w:val="21"/>
                      <w:szCs w:val="21"/>
                    </w:rPr>
                    <w:t xml:space="preserve"> </w:t>
                  </w:r>
                  <w:r>
                    <w:rPr>
                      <w:rFonts w:hint="default" w:ascii="Times New Roman" w:hAnsi="Times New Roman" w:eastAsia="Times New Roman" w:cs="Times New Roman"/>
                      <w:color w:val="auto"/>
                      <w:spacing w:val="4"/>
                      <w:sz w:val="21"/>
                      <w:szCs w:val="21"/>
                    </w:rPr>
                    <w:t>2</w:t>
                  </w:r>
                  <w:r>
                    <w:rPr>
                      <w:rFonts w:hint="default" w:ascii="Times New Roman" w:hAnsi="Times New Roman" w:cs="Times New Roman"/>
                      <w:color w:val="auto"/>
                      <w:spacing w:val="4"/>
                      <w:sz w:val="21"/>
                      <w:szCs w:val="21"/>
                    </w:rPr>
                    <w:t>℃到</w:t>
                  </w:r>
                  <w:r>
                    <w:rPr>
                      <w:rFonts w:hint="default" w:ascii="Times New Roman" w:hAnsi="Times New Roman" w:eastAsia="Times New Roman" w:cs="Times New Roman"/>
                      <w:color w:val="auto"/>
                      <w:spacing w:val="4"/>
                      <w:sz w:val="21"/>
                      <w:szCs w:val="21"/>
                    </w:rPr>
                    <w:t>6</w:t>
                  </w:r>
                  <w:r>
                    <w:rPr>
                      <w:rFonts w:hint="default" w:ascii="Times New Roman" w:hAnsi="Times New Roman" w:cs="Times New Roman"/>
                      <w:color w:val="auto"/>
                      <w:spacing w:val="4"/>
                      <w:sz w:val="21"/>
                      <w:szCs w:val="21"/>
                    </w:rPr>
                    <w:t>℃之间，评价时取</w:t>
                  </w:r>
                  <w:r>
                    <w:rPr>
                      <w:rFonts w:hint="default" w:ascii="Times New Roman" w:hAnsi="Times New Roman" w:eastAsia="Times New Roman" w:cs="Times New Roman"/>
                      <w:color w:val="auto"/>
                      <w:spacing w:val="4"/>
                      <w:sz w:val="21"/>
                      <w:szCs w:val="21"/>
                    </w:rPr>
                    <w:t>6</w:t>
                  </w:r>
                  <w:r>
                    <w:rPr>
                      <w:rFonts w:hint="default" w:ascii="Times New Roman" w:hAnsi="Times New Roman" w:cs="Times New Roman"/>
                      <w:color w:val="auto"/>
                      <w:spacing w:val="4"/>
                      <w:sz w:val="21"/>
                      <w:szCs w:val="21"/>
                    </w:rPr>
                    <w:t>℃。</w:t>
                  </w:r>
                </w:p>
              </w:tc>
            </w:tr>
          </w:tbl>
          <w:p w14:paraId="411326C8">
            <w:pPr>
              <w:spacing w:line="360" w:lineRule="auto"/>
              <w:ind w:firstLine="480" w:firstLineChars="200"/>
              <w:rPr>
                <w:rFonts w:cs="Times New Roman"/>
                <w:color w:val="auto"/>
                <w:sz w:val="24"/>
                <w:szCs w:val="24"/>
              </w:rPr>
            </w:pPr>
            <w:r>
              <w:rPr>
                <w:rFonts w:cs="Times New Roman"/>
                <w:color w:val="auto"/>
                <w:sz w:val="24"/>
                <w:szCs w:val="24"/>
              </w:rPr>
              <w:t>根据上表监测数据表明：项目所在区域地表水体双龙河柏林口断面水质单项污染 指数计算结果均小于</w:t>
            </w:r>
            <w:r>
              <w:rPr>
                <w:rFonts w:hint="eastAsia" w:cs="Times New Roman"/>
                <w:color w:val="auto"/>
                <w:sz w:val="24"/>
                <w:szCs w:val="24"/>
                <w:lang w:val="en-US" w:eastAsia="zh-CN"/>
              </w:rPr>
              <w:t>1</w:t>
            </w:r>
            <w:r>
              <w:rPr>
                <w:rFonts w:cs="Times New Roman"/>
                <w:color w:val="auto"/>
                <w:sz w:val="24"/>
                <w:szCs w:val="24"/>
              </w:rPr>
              <w:t>，区域水质能够满足《地表水环境质量标准》（GB3838-2002）Ⅲ类水域水质标准。</w:t>
            </w:r>
          </w:p>
          <w:p w14:paraId="178746DD">
            <w:pPr>
              <w:spacing w:line="360" w:lineRule="auto"/>
              <w:ind w:firstLine="482" w:firstLineChars="200"/>
              <w:rPr>
                <w:rFonts w:cs="Times New Roman"/>
                <w:b/>
                <w:color w:val="auto"/>
                <w:sz w:val="24"/>
                <w:szCs w:val="24"/>
              </w:rPr>
            </w:pPr>
            <w:r>
              <w:rPr>
                <w:rFonts w:cs="Times New Roman"/>
                <w:b/>
                <w:color w:val="auto"/>
                <w:sz w:val="24"/>
                <w:szCs w:val="24"/>
              </w:rPr>
              <w:t>3、声环境质量现状</w:t>
            </w:r>
          </w:p>
          <w:p w14:paraId="07523B0F">
            <w:pPr>
              <w:spacing w:line="360" w:lineRule="auto"/>
              <w:ind w:firstLine="480" w:firstLineChars="200"/>
              <w:rPr>
                <w:rFonts w:cs="Times New Roman"/>
                <w:color w:val="auto"/>
                <w:sz w:val="24"/>
                <w:szCs w:val="24"/>
              </w:rPr>
            </w:pPr>
            <w:r>
              <w:rPr>
                <w:rFonts w:cs="Times New Roman"/>
                <w:color w:val="auto"/>
                <w:sz w:val="24"/>
                <w:szCs w:val="24"/>
              </w:rPr>
              <w:t>根据《建设项目环境影响报告表编制技术指南》（污染影响类）（试行）</w:t>
            </w:r>
            <w:r>
              <w:rPr>
                <w:rFonts w:hint="eastAsia" w:cs="Times New Roman"/>
                <w:color w:val="auto"/>
                <w:sz w:val="24"/>
                <w:szCs w:val="24"/>
                <w:lang w:eastAsia="zh-CN"/>
              </w:rPr>
              <w:t>“</w:t>
            </w:r>
            <w:r>
              <w:rPr>
                <w:rFonts w:cs="Times New Roman"/>
                <w:color w:val="auto"/>
                <w:sz w:val="24"/>
                <w:szCs w:val="24"/>
              </w:rPr>
              <w:t>项目厂界外50m范围内存在声环境保护目标的建设项目，应监测保护目标声环境质量现状并评价达标情况。</w:t>
            </w:r>
            <w:r>
              <w:rPr>
                <w:rFonts w:hint="eastAsia" w:cs="Times New Roman"/>
                <w:color w:val="auto"/>
                <w:sz w:val="24"/>
                <w:szCs w:val="24"/>
                <w:lang w:eastAsia="zh-CN"/>
              </w:rPr>
              <w:t>”</w:t>
            </w:r>
            <w:r>
              <w:rPr>
                <w:rFonts w:cs="Times New Roman"/>
                <w:color w:val="auto"/>
                <w:sz w:val="24"/>
                <w:szCs w:val="24"/>
              </w:rPr>
              <w:t>本项目厂界外50m范围内不存在声环境敏感目标，故本次评价不开展声环境质量现状调查。</w:t>
            </w:r>
          </w:p>
          <w:p w14:paraId="623B5448">
            <w:pPr>
              <w:spacing w:line="360" w:lineRule="auto"/>
              <w:ind w:firstLine="482" w:firstLineChars="200"/>
              <w:rPr>
                <w:rFonts w:cs="Times New Roman"/>
                <w:b/>
                <w:color w:val="auto"/>
                <w:sz w:val="24"/>
                <w:szCs w:val="24"/>
              </w:rPr>
            </w:pPr>
            <w:r>
              <w:rPr>
                <w:rFonts w:cs="Times New Roman"/>
                <w:b/>
                <w:color w:val="auto"/>
                <w:sz w:val="24"/>
                <w:szCs w:val="24"/>
              </w:rPr>
              <w:t>4、地下水、土壤环境</w:t>
            </w:r>
          </w:p>
          <w:p w14:paraId="4F1D1E36">
            <w:pPr>
              <w:spacing w:line="360" w:lineRule="auto"/>
              <w:ind w:firstLine="480" w:firstLineChars="200"/>
              <w:rPr>
                <w:rFonts w:cs="Times New Roman"/>
                <w:color w:val="auto"/>
                <w:sz w:val="24"/>
                <w:szCs w:val="24"/>
              </w:rPr>
            </w:pPr>
            <w:r>
              <w:rPr>
                <w:rFonts w:cs="Times New Roman"/>
                <w:color w:val="auto"/>
                <w:sz w:val="24"/>
                <w:szCs w:val="24"/>
              </w:rPr>
              <w:t>根据《建设项目环境影响报告表编制技术指南》（污染影响类）（试行）</w:t>
            </w:r>
            <w:r>
              <w:rPr>
                <w:rFonts w:hint="eastAsia" w:cs="Times New Roman"/>
                <w:color w:val="auto"/>
                <w:sz w:val="24"/>
                <w:szCs w:val="24"/>
                <w:lang w:eastAsia="zh-CN"/>
              </w:rPr>
              <w:t>“</w:t>
            </w:r>
            <w:r>
              <w:rPr>
                <w:rFonts w:cs="Times New Roman"/>
                <w:color w:val="auto"/>
                <w:sz w:val="24"/>
                <w:szCs w:val="24"/>
              </w:rPr>
              <w:t>地下水、土壤环境。原则上不开展环境质量现状调查</w:t>
            </w:r>
            <w:r>
              <w:rPr>
                <w:rFonts w:hint="eastAsia" w:cs="Times New Roman"/>
                <w:color w:val="auto"/>
                <w:sz w:val="24"/>
                <w:szCs w:val="24"/>
                <w:lang w:eastAsia="zh-CN"/>
              </w:rPr>
              <w:t>”</w:t>
            </w:r>
            <w:r>
              <w:rPr>
                <w:rFonts w:hint="eastAsia" w:cs="Times New Roman"/>
                <w:color w:val="auto"/>
                <w:sz w:val="24"/>
                <w:szCs w:val="24"/>
                <w:lang w:val="en-US" w:eastAsia="zh-CN"/>
              </w:rPr>
              <w:t>，项目属于</w:t>
            </w:r>
            <w:r>
              <w:rPr>
                <w:rFonts w:cs="Times New Roman"/>
                <w:sz w:val="24"/>
                <w:szCs w:val="24"/>
              </w:rPr>
              <w:t>非金属矿物制品业</w:t>
            </w:r>
            <w:r>
              <w:rPr>
                <w:rFonts w:hint="eastAsia" w:cs="Times New Roman"/>
                <w:sz w:val="24"/>
                <w:szCs w:val="24"/>
                <w:lang w:eastAsia="zh-CN"/>
              </w:rPr>
              <w:t>中</w:t>
            </w:r>
            <w:r>
              <w:rPr>
                <w:rFonts w:cs="Times New Roman"/>
                <w:sz w:val="24"/>
                <w:szCs w:val="24"/>
              </w:rPr>
              <w:t>建筑用石加工</w:t>
            </w:r>
            <w:r>
              <w:rPr>
                <w:rFonts w:hint="eastAsia" w:cs="Times New Roman"/>
                <w:sz w:val="24"/>
                <w:szCs w:val="24"/>
                <w:lang w:eastAsia="zh-CN"/>
              </w:rPr>
              <w:t>行业，厂区按要求进行</w:t>
            </w:r>
            <w:r>
              <w:rPr>
                <w:rFonts w:hint="eastAsia" w:cs="Times New Roman"/>
                <w:color w:val="auto"/>
                <w:sz w:val="24"/>
                <w:szCs w:val="24"/>
                <w:lang w:val="en-US" w:eastAsia="zh-CN"/>
              </w:rPr>
              <w:t>了分区防渗</w:t>
            </w:r>
            <w:r>
              <w:rPr>
                <w:rFonts w:cs="Times New Roman"/>
                <w:color w:val="auto"/>
                <w:sz w:val="24"/>
                <w:szCs w:val="24"/>
              </w:rPr>
              <w:t>，不会造成土壤、地下水环境污染途径。故不对地下水和土壤环境进行现状调查。</w:t>
            </w:r>
          </w:p>
          <w:p w14:paraId="2471A6F6">
            <w:pPr>
              <w:spacing w:line="360" w:lineRule="auto"/>
              <w:ind w:firstLine="482" w:firstLineChars="200"/>
              <w:rPr>
                <w:rFonts w:cs="Times New Roman"/>
                <w:b/>
                <w:bCs/>
                <w:color w:val="auto"/>
                <w:sz w:val="24"/>
                <w:szCs w:val="24"/>
                <w:lang w:val="zh-CN"/>
              </w:rPr>
            </w:pPr>
            <w:r>
              <w:rPr>
                <w:rFonts w:cs="Times New Roman"/>
                <w:b/>
                <w:bCs/>
                <w:color w:val="auto"/>
                <w:sz w:val="24"/>
                <w:szCs w:val="24"/>
              </w:rPr>
              <w:t>5</w:t>
            </w:r>
            <w:r>
              <w:rPr>
                <w:rFonts w:cs="Times New Roman"/>
                <w:b/>
                <w:bCs/>
                <w:color w:val="auto"/>
                <w:sz w:val="24"/>
                <w:szCs w:val="24"/>
                <w:lang w:val="zh-CN"/>
              </w:rPr>
              <w:t>、生态环境质量现状分析</w:t>
            </w:r>
          </w:p>
          <w:p w14:paraId="1B2BA528">
            <w:pPr>
              <w:spacing w:line="360" w:lineRule="auto"/>
              <w:ind w:firstLine="480" w:firstLineChars="200"/>
              <w:rPr>
                <w:rFonts w:cs="Times New Roman"/>
                <w:color w:val="auto"/>
                <w:sz w:val="24"/>
                <w:szCs w:val="24"/>
                <w:lang w:val="zh-CN"/>
              </w:rPr>
            </w:pPr>
            <w:r>
              <w:rPr>
                <w:rFonts w:cs="Times New Roman"/>
                <w:color w:val="auto"/>
                <w:sz w:val="24"/>
                <w:szCs w:val="24"/>
                <w:lang w:val="zh-CN"/>
              </w:rPr>
              <w:t>本项目所在区域位于规划的工业园区内， 占地属于工业用地，周边主要为工业企业。受人类活动的影响，区域主要以人工绿化为主，无各类保护植被。根据现场调查， 项目区域内不涉及自然保护区、森林公园及风景名胜区、生活饮用水水源保护区及其他需要特别保护区域，区域内无国家保护的重点野生动植物，无名木古树及珍稀动植物等，无特殊文物保护单位等环境敏感目标。</w:t>
            </w:r>
          </w:p>
          <w:p w14:paraId="29F2F794">
            <w:pPr>
              <w:spacing w:line="360" w:lineRule="auto"/>
              <w:ind w:firstLine="480" w:firstLineChars="200"/>
              <w:rPr>
                <w:rFonts w:cs="Times New Roman"/>
                <w:color w:val="auto"/>
                <w:lang w:val="zh-CN"/>
              </w:rPr>
            </w:pPr>
            <w:r>
              <w:rPr>
                <w:rFonts w:cs="Times New Roman"/>
                <w:color w:val="auto"/>
                <w:sz w:val="24"/>
                <w:szCs w:val="24"/>
                <w:lang w:val="zh-CN"/>
              </w:rPr>
              <w:t>总体来看，项目区域生态环境质量良好，适合项目选址建设。</w:t>
            </w:r>
          </w:p>
        </w:tc>
      </w:tr>
      <w:tr w14:paraId="1A32C8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844" w:type="dxa"/>
            <w:vAlign w:val="center"/>
          </w:tcPr>
          <w:p w14:paraId="2500A33D">
            <w:pPr>
              <w:jc w:val="center"/>
              <w:rPr>
                <w:rFonts w:cs="Times New Roman"/>
                <w:color w:val="auto"/>
                <w:sz w:val="24"/>
                <w:szCs w:val="24"/>
              </w:rPr>
            </w:pPr>
            <w:r>
              <w:rPr>
                <w:rFonts w:cs="Times New Roman"/>
                <w:color w:val="auto"/>
                <w:sz w:val="24"/>
                <w:szCs w:val="24"/>
              </w:rPr>
              <w:t>环境</w:t>
            </w:r>
          </w:p>
          <w:p w14:paraId="15279E1F">
            <w:pPr>
              <w:jc w:val="center"/>
              <w:rPr>
                <w:rFonts w:cs="Times New Roman"/>
                <w:color w:val="auto"/>
                <w:sz w:val="24"/>
                <w:szCs w:val="24"/>
              </w:rPr>
            </w:pPr>
            <w:r>
              <w:rPr>
                <w:rFonts w:cs="Times New Roman"/>
                <w:color w:val="auto"/>
                <w:sz w:val="24"/>
                <w:szCs w:val="24"/>
              </w:rPr>
              <w:t>保护</w:t>
            </w:r>
          </w:p>
          <w:p w14:paraId="3DAB8E82">
            <w:pPr>
              <w:jc w:val="center"/>
              <w:rPr>
                <w:rFonts w:cs="Times New Roman"/>
                <w:color w:val="auto"/>
                <w:sz w:val="24"/>
                <w:szCs w:val="24"/>
              </w:rPr>
            </w:pPr>
            <w:r>
              <w:rPr>
                <w:rFonts w:cs="Times New Roman"/>
                <w:color w:val="auto"/>
                <w:sz w:val="24"/>
                <w:szCs w:val="24"/>
              </w:rPr>
              <w:t>目标</w:t>
            </w:r>
          </w:p>
        </w:tc>
        <w:tc>
          <w:tcPr>
            <w:tcW w:w="8811" w:type="dxa"/>
            <w:vAlign w:val="center"/>
          </w:tcPr>
          <w:p w14:paraId="2D560265">
            <w:pPr>
              <w:spacing w:line="360" w:lineRule="auto"/>
              <w:ind w:firstLine="482" w:firstLineChars="200"/>
              <w:rPr>
                <w:rFonts w:cs="Times New Roman"/>
                <w:b/>
                <w:color w:val="auto"/>
                <w:sz w:val="24"/>
                <w:szCs w:val="24"/>
              </w:rPr>
            </w:pPr>
            <w:r>
              <w:rPr>
                <w:rFonts w:cs="Times New Roman"/>
                <w:b/>
                <w:color w:val="auto"/>
                <w:sz w:val="24"/>
                <w:szCs w:val="24"/>
              </w:rPr>
              <w:t xml:space="preserve">1、大气环境 </w:t>
            </w:r>
          </w:p>
          <w:p w14:paraId="1E55387F">
            <w:pPr>
              <w:spacing w:line="360" w:lineRule="auto"/>
              <w:ind w:firstLine="480" w:firstLineChars="200"/>
              <w:rPr>
                <w:rFonts w:cs="Times New Roman"/>
                <w:color w:val="auto"/>
                <w:sz w:val="24"/>
                <w:szCs w:val="24"/>
              </w:rPr>
            </w:pPr>
            <w:r>
              <w:rPr>
                <w:rFonts w:cs="Times New Roman"/>
                <w:color w:val="auto"/>
                <w:sz w:val="24"/>
                <w:szCs w:val="24"/>
              </w:rPr>
              <w:t>项目厂界外500m范围有少量散居住户以及东岳场镇部分居民，但无自然保护区、风景名胜区、文化区。因此，本项目的大气环境保护目标如下。</w:t>
            </w:r>
          </w:p>
          <w:p w14:paraId="394F6133">
            <w:pPr>
              <w:spacing w:line="360" w:lineRule="auto"/>
              <w:jc w:val="center"/>
              <w:rPr>
                <w:rFonts w:cs="Times New Roman"/>
                <w:b/>
                <w:bCs/>
                <w:color w:val="auto"/>
                <w:sz w:val="21"/>
                <w:szCs w:val="21"/>
              </w:rPr>
            </w:pPr>
            <w:r>
              <w:rPr>
                <w:rFonts w:cs="Times New Roman"/>
                <w:b/>
                <w:bCs/>
                <w:color w:val="auto"/>
                <w:sz w:val="21"/>
                <w:szCs w:val="21"/>
              </w:rPr>
              <w:t>表3-</w:t>
            </w:r>
            <w:r>
              <w:rPr>
                <w:rFonts w:hint="eastAsia" w:cs="Times New Roman"/>
                <w:b/>
                <w:bCs/>
                <w:color w:val="auto"/>
                <w:sz w:val="21"/>
                <w:szCs w:val="21"/>
                <w:lang w:val="en-US" w:eastAsia="zh-CN"/>
              </w:rPr>
              <w:t>3</w:t>
            </w:r>
            <w:r>
              <w:rPr>
                <w:rFonts w:cs="Times New Roman"/>
                <w:b/>
                <w:bCs/>
                <w:color w:val="auto"/>
                <w:sz w:val="21"/>
                <w:szCs w:val="21"/>
              </w:rPr>
              <w:t xml:space="preserve">  主要环境保护目标</w:t>
            </w:r>
          </w:p>
          <w:tbl>
            <w:tblPr>
              <w:tblStyle w:val="25"/>
              <w:tblW w:w="8731"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57" w:type="dxa"/>
                <w:bottom w:w="0" w:type="dxa"/>
                <w:right w:w="57" w:type="dxa"/>
              </w:tblCellMar>
            </w:tblPr>
            <w:tblGrid>
              <w:gridCol w:w="589"/>
              <w:gridCol w:w="1463"/>
              <w:gridCol w:w="832"/>
              <w:gridCol w:w="1758"/>
              <w:gridCol w:w="1426"/>
              <w:gridCol w:w="814"/>
              <w:gridCol w:w="1849"/>
            </w:tblGrid>
            <w:tr w14:paraId="78049C7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337" w:type="pct"/>
                  <w:tcBorders>
                    <w:tl2br w:val="nil"/>
                    <w:tr2bl w:val="nil"/>
                  </w:tcBorders>
                  <w:vAlign w:val="center"/>
                </w:tcPr>
                <w:p w14:paraId="77DE3709">
                  <w:pPr>
                    <w:jc w:val="center"/>
                    <w:rPr>
                      <w:rFonts w:cs="Times New Roman"/>
                      <w:b/>
                      <w:bCs/>
                      <w:color w:val="auto"/>
                      <w:szCs w:val="21"/>
                    </w:rPr>
                  </w:pPr>
                  <w:r>
                    <w:rPr>
                      <w:rFonts w:cs="Times New Roman"/>
                      <w:b/>
                      <w:bCs/>
                      <w:color w:val="auto"/>
                      <w:szCs w:val="21"/>
                    </w:rPr>
                    <w:t>序号</w:t>
                  </w:r>
                </w:p>
              </w:tc>
              <w:tc>
                <w:tcPr>
                  <w:tcW w:w="837" w:type="pct"/>
                  <w:tcBorders>
                    <w:tl2br w:val="nil"/>
                    <w:tr2bl w:val="nil"/>
                  </w:tcBorders>
                  <w:vAlign w:val="center"/>
                </w:tcPr>
                <w:p w14:paraId="78AF89F9">
                  <w:pPr>
                    <w:jc w:val="center"/>
                    <w:rPr>
                      <w:rFonts w:cs="Times New Roman"/>
                      <w:b/>
                      <w:bCs/>
                      <w:color w:val="auto"/>
                      <w:szCs w:val="21"/>
                    </w:rPr>
                  </w:pPr>
                  <w:r>
                    <w:rPr>
                      <w:rFonts w:cs="Times New Roman"/>
                      <w:b/>
                      <w:bCs/>
                      <w:color w:val="auto"/>
                      <w:szCs w:val="21"/>
                    </w:rPr>
                    <w:t>保护对象</w:t>
                  </w:r>
                </w:p>
              </w:tc>
              <w:tc>
                <w:tcPr>
                  <w:tcW w:w="476" w:type="pct"/>
                  <w:tcBorders>
                    <w:tl2br w:val="nil"/>
                    <w:tr2bl w:val="nil"/>
                  </w:tcBorders>
                  <w:vAlign w:val="center"/>
                </w:tcPr>
                <w:p w14:paraId="19E87CF3">
                  <w:pPr>
                    <w:jc w:val="center"/>
                    <w:rPr>
                      <w:rFonts w:cs="Times New Roman"/>
                      <w:b/>
                      <w:bCs/>
                      <w:color w:val="auto"/>
                      <w:szCs w:val="21"/>
                    </w:rPr>
                  </w:pPr>
                  <w:r>
                    <w:rPr>
                      <w:rFonts w:cs="Times New Roman"/>
                      <w:b/>
                      <w:bCs/>
                      <w:color w:val="auto"/>
                      <w:szCs w:val="21"/>
                    </w:rPr>
                    <w:t>方位</w:t>
                  </w:r>
                </w:p>
              </w:tc>
              <w:tc>
                <w:tcPr>
                  <w:tcW w:w="1006" w:type="pct"/>
                  <w:tcBorders>
                    <w:tl2br w:val="nil"/>
                    <w:tr2bl w:val="nil"/>
                  </w:tcBorders>
                  <w:vAlign w:val="center"/>
                </w:tcPr>
                <w:p w14:paraId="2F672E10">
                  <w:pPr>
                    <w:jc w:val="center"/>
                    <w:rPr>
                      <w:rFonts w:hint="eastAsia" w:eastAsia="宋体" w:cs="Times New Roman"/>
                      <w:b/>
                      <w:bCs/>
                      <w:color w:val="auto"/>
                      <w:szCs w:val="21"/>
                      <w:lang w:eastAsia="zh-CN"/>
                    </w:rPr>
                  </w:pPr>
                  <w:r>
                    <w:rPr>
                      <w:rFonts w:cs="Times New Roman"/>
                      <w:b/>
                      <w:bCs/>
                      <w:color w:val="auto"/>
                      <w:szCs w:val="21"/>
                    </w:rPr>
                    <w:t>距离</w:t>
                  </w:r>
                  <w:r>
                    <w:rPr>
                      <w:rFonts w:hint="eastAsia" w:cs="Times New Roman"/>
                      <w:b/>
                      <w:bCs/>
                      <w:color w:val="auto"/>
                      <w:szCs w:val="21"/>
                      <w:lang w:eastAsia="zh-CN"/>
                    </w:rPr>
                    <w:t>、高差</w:t>
                  </w:r>
                </w:p>
              </w:tc>
              <w:tc>
                <w:tcPr>
                  <w:tcW w:w="816" w:type="pct"/>
                  <w:tcBorders>
                    <w:tl2br w:val="nil"/>
                    <w:tr2bl w:val="nil"/>
                  </w:tcBorders>
                  <w:vAlign w:val="center"/>
                </w:tcPr>
                <w:p w14:paraId="6E05B7BB">
                  <w:pPr>
                    <w:jc w:val="center"/>
                    <w:rPr>
                      <w:rFonts w:cs="Times New Roman"/>
                      <w:b/>
                      <w:bCs/>
                      <w:color w:val="auto"/>
                      <w:szCs w:val="21"/>
                    </w:rPr>
                  </w:pPr>
                  <w:r>
                    <w:rPr>
                      <w:rFonts w:cs="Times New Roman"/>
                      <w:b/>
                      <w:bCs/>
                      <w:color w:val="auto"/>
                      <w:szCs w:val="21"/>
                    </w:rPr>
                    <w:t>规模</w:t>
                  </w:r>
                </w:p>
              </w:tc>
              <w:tc>
                <w:tcPr>
                  <w:tcW w:w="466" w:type="pct"/>
                  <w:tcBorders>
                    <w:tl2br w:val="nil"/>
                    <w:tr2bl w:val="nil"/>
                  </w:tcBorders>
                  <w:vAlign w:val="center"/>
                </w:tcPr>
                <w:p w14:paraId="78A6789D">
                  <w:pPr>
                    <w:jc w:val="center"/>
                    <w:rPr>
                      <w:rFonts w:cs="Times New Roman"/>
                      <w:b/>
                      <w:bCs/>
                      <w:color w:val="auto"/>
                      <w:szCs w:val="21"/>
                    </w:rPr>
                  </w:pPr>
                  <w:r>
                    <w:rPr>
                      <w:rFonts w:cs="Times New Roman"/>
                      <w:b/>
                      <w:bCs/>
                      <w:color w:val="auto"/>
                      <w:szCs w:val="21"/>
                    </w:rPr>
                    <w:t>性质</w:t>
                  </w:r>
                </w:p>
              </w:tc>
              <w:tc>
                <w:tcPr>
                  <w:tcW w:w="1058" w:type="pct"/>
                  <w:tcBorders>
                    <w:tl2br w:val="nil"/>
                    <w:tr2bl w:val="nil"/>
                  </w:tcBorders>
                  <w:vAlign w:val="center"/>
                </w:tcPr>
                <w:p w14:paraId="63D663B6">
                  <w:pPr>
                    <w:jc w:val="center"/>
                    <w:rPr>
                      <w:rFonts w:cs="Times New Roman"/>
                      <w:b/>
                      <w:bCs/>
                      <w:color w:val="auto"/>
                      <w:szCs w:val="21"/>
                    </w:rPr>
                  </w:pPr>
                  <w:r>
                    <w:rPr>
                      <w:rFonts w:cs="Times New Roman"/>
                      <w:b/>
                      <w:bCs/>
                      <w:color w:val="auto"/>
                      <w:szCs w:val="21"/>
                    </w:rPr>
                    <w:t>保护级别</w:t>
                  </w:r>
                </w:p>
              </w:tc>
            </w:tr>
            <w:tr w14:paraId="185F44E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337" w:type="pct"/>
                  <w:tcBorders>
                    <w:tl2br w:val="nil"/>
                    <w:tr2bl w:val="nil"/>
                  </w:tcBorders>
                  <w:vAlign w:val="center"/>
                </w:tcPr>
                <w:p w14:paraId="51B0AEA3">
                  <w:pPr>
                    <w:jc w:val="center"/>
                    <w:rPr>
                      <w:rFonts w:cs="Times New Roman"/>
                      <w:color w:val="auto"/>
                      <w:szCs w:val="21"/>
                    </w:rPr>
                  </w:pPr>
                  <w:r>
                    <w:rPr>
                      <w:rFonts w:cs="Times New Roman"/>
                      <w:color w:val="auto"/>
                      <w:szCs w:val="21"/>
                    </w:rPr>
                    <w:t>1</w:t>
                  </w:r>
                </w:p>
              </w:tc>
              <w:tc>
                <w:tcPr>
                  <w:tcW w:w="837" w:type="pct"/>
                  <w:tcBorders>
                    <w:tl2br w:val="nil"/>
                    <w:tr2bl w:val="nil"/>
                  </w:tcBorders>
                  <w:vAlign w:val="top"/>
                </w:tcPr>
                <w:p w14:paraId="528C5A11">
                  <w:pPr>
                    <w:jc w:val="center"/>
                    <w:rPr>
                      <w:rFonts w:cs="Times New Roman"/>
                      <w:color w:val="auto"/>
                      <w:szCs w:val="21"/>
                    </w:rPr>
                  </w:pPr>
                  <w:r>
                    <w:rPr>
                      <w:rFonts w:cs="Times New Roman"/>
                      <w:color w:val="auto"/>
                      <w:szCs w:val="21"/>
                    </w:rPr>
                    <w:t>住户</w:t>
                  </w:r>
                </w:p>
              </w:tc>
              <w:tc>
                <w:tcPr>
                  <w:tcW w:w="476" w:type="pct"/>
                  <w:tcBorders>
                    <w:tl2br w:val="nil"/>
                    <w:tr2bl w:val="nil"/>
                  </w:tcBorders>
                  <w:vAlign w:val="top"/>
                </w:tcPr>
                <w:p w14:paraId="00C6A1A1">
                  <w:pPr>
                    <w:jc w:val="center"/>
                    <w:rPr>
                      <w:rFonts w:hint="eastAsia" w:cs="Times New Roman"/>
                      <w:color w:val="auto"/>
                      <w:szCs w:val="21"/>
                      <w:highlight w:val="none"/>
                      <w:lang w:val="en-US" w:eastAsia="zh-CN"/>
                    </w:rPr>
                  </w:pPr>
                  <w:r>
                    <w:rPr>
                      <w:rFonts w:cs="Times New Roman"/>
                      <w:color w:val="auto"/>
                      <w:szCs w:val="21"/>
                      <w:highlight w:val="none"/>
                    </w:rPr>
                    <w:t>东</w:t>
                  </w:r>
                  <w:r>
                    <w:rPr>
                      <w:rFonts w:hint="eastAsia" w:cs="Times New Roman"/>
                      <w:color w:val="auto"/>
                      <w:szCs w:val="21"/>
                      <w:highlight w:val="none"/>
                      <w:lang w:eastAsia="zh-CN"/>
                    </w:rPr>
                    <w:t>侧</w:t>
                  </w:r>
                </w:p>
              </w:tc>
              <w:tc>
                <w:tcPr>
                  <w:tcW w:w="1006" w:type="pct"/>
                  <w:tcBorders>
                    <w:tl2br w:val="nil"/>
                    <w:tr2bl w:val="nil"/>
                  </w:tcBorders>
                  <w:vAlign w:val="center"/>
                </w:tcPr>
                <w:p w14:paraId="2ED86845">
                  <w:pPr>
                    <w:jc w:val="center"/>
                    <w:rPr>
                      <w:rFonts w:cs="Times New Roman"/>
                      <w:color w:val="auto"/>
                      <w:szCs w:val="21"/>
                      <w:highlight w:val="none"/>
                    </w:rPr>
                  </w:pPr>
                  <w:r>
                    <w:rPr>
                      <w:rFonts w:hint="eastAsia" w:cs="Times New Roman"/>
                      <w:color w:val="auto"/>
                      <w:szCs w:val="21"/>
                      <w:highlight w:val="none"/>
                      <w:lang w:val="en-US" w:eastAsia="zh-CN"/>
                    </w:rPr>
                    <w:t>130～</w:t>
                  </w:r>
                  <w:r>
                    <w:rPr>
                      <w:rFonts w:cs="Times New Roman"/>
                      <w:color w:val="auto"/>
                      <w:szCs w:val="21"/>
                      <w:highlight w:val="none"/>
                    </w:rPr>
                    <w:t>2</w:t>
                  </w:r>
                  <w:r>
                    <w:rPr>
                      <w:rFonts w:hint="eastAsia" w:cs="Times New Roman"/>
                      <w:color w:val="auto"/>
                      <w:szCs w:val="21"/>
                      <w:highlight w:val="none"/>
                      <w:lang w:val="en-US" w:eastAsia="zh-CN"/>
                    </w:rPr>
                    <w:t>6</w:t>
                  </w:r>
                  <w:r>
                    <w:rPr>
                      <w:rFonts w:cs="Times New Roman"/>
                      <w:color w:val="auto"/>
                      <w:szCs w:val="21"/>
                      <w:highlight w:val="none"/>
                    </w:rPr>
                    <w:t>0m</w:t>
                  </w:r>
                  <w:r>
                    <w:rPr>
                      <w:rFonts w:hint="eastAsia" w:cs="Times New Roman"/>
                      <w:color w:val="auto"/>
                      <w:szCs w:val="21"/>
                      <w:highlight w:val="none"/>
                      <w:lang w:eastAsia="zh-CN"/>
                    </w:rPr>
                    <w:t>,</w:t>
                  </w:r>
                  <w:r>
                    <w:rPr>
                      <w:rFonts w:hint="eastAsia" w:cs="Times New Roman"/>
                      <w:color w:val="auto"/>
                      <w:szCs w:val="21"/>
                      <w:highlight w:val="none"/>
                      <w:lang w:val="en-US" w:eastAsia="zh-CN"/>
                    </w:rPr>
                    <w:t>-7</w:t>
                  </w:r>
                  <w:r>
                    <w:rPr>
                      <w:rFonts w:cs="Times New Roman"/>
                      <w:color w:val="auto"/>
                      <w:szCs w:val="21"/>
                      <w:highlight w:val="none"/>
                    </w:rPr>
                    <w:t>m</w:t>
                  </w:r>
                </w:p>
              </w:tc>
              <w:tc>
                <w:tcPr>
                  <w:tcW w:w="816" w:type="pct"/>
                  <w:tcBorders>
                    <w:tl2br w:val="nil"/>
                    <w:tr2bl w:val="nil"/>
                  </w:tcBorders>
                  <w:vAlign w:val="top"/>
                </w:tcPr>
                <w:p w14:paraId="59F3CD4C">
                  <w:pPr>
                    <w:jc w:val="center"/>
                    <w:rPr>
                      <w:rFonts w:cs="Times New Roman"/>
                      <w:color w:val="auto"/>
                      <w:szCs w:val="21"/>
                    </w:rPr>
                  </w:pPr>
                  <w:r>
                    <w:rPr>
                      <w:rFonts w:cs="Times New Roman"/>
                      <w:color w:val="auto"/>
                      <w:szCs w:val="21"/>
                    </w:rPr>
                    <w:t>15户、</w:t>
                  </w:r>
                  <w:r>
                    <w:rPr>
                      <w:rFonts w:hint="eastAsia" w:cs="Times New Roman"/>
                      <w:color w:val="auto"/>
                      <w:szCs w:val="21"/>
                      <w:lang w:val="en-US" w:eastAsia="zh-CN"/>
                    </w:rPr>
                    <w:t>45</w:t>
                  </w:r>
                  <w:r>
                    <w:rPr>
                      <w:rFonts w:cs="Times New Roman"/>
                      <w:color w:val="auto"/>
                      <w:szCs w:val="21"/>
                    </w:rPr>
                    <w:t>人</w:t>
                  </w:r>
                </w:p>
              </w:tc>
              <w:tc>
                <w:tcPr>
                  <w:tcW w:w="466" w:type="pct"/>
                  <w:tcBorders>
                    <w:tl2br w:val="nil"/>
                    <w:tr2bl w:val="nil"/>
                  </w:tcBorders>
                  <w:vAlign w:val="top"/>
                </w:tcPr>
                <w:p w14:paraId="0A27F908">
                  <w:pPr>
                    <w:jc w:val="center"/>
                    <w:rPr>
                      <w:rFonts w:cs="Times New Roman"/>
                      <w:color w:val="auto"/>
                      <w:szCs w:val="21"/>
                    </w:rPr>
                  </w:pPr>
                  <w:r>
                    <w:rPr>
                      <w:rFonts w:cs="Times New Roman"/>
                      <w:color w:val="auto"/>
                      <w:szCs w:val="21"/>
                    </w:rPr>
                    <w:t>居民</w:t>
                  </w:r>
                </w:p>
              </w:tc>
              <w:tc>
                <w:tcPr>
                  <w:tcW w:w="1058" w:type="pct"/>
                  <w:vMerge w:val="restart"/>
                  <w:tcBorders>
                    <w:tl2br w:val="nil"/>
                    <w:tr2bl w:val="nil"/>
                  </w:tcBorders>
                  <w:vAlign w:val="center"/>
                </w:tcPr>
                <w:p w14:paraId="45EFE364">
                  <w:pPr>
                    <w:jc w:val="center"/>
                    <w:rPr>
                      <w:rFonts w:cs="Times New Roman"/>
                      <w:color w:val="auto"/>
                      <w:szCs w:val="21"/>
                    </w:rPr>
                  </w:pPr>
                  <w:r>
                    <w:rPr>
                      <w:rFonts w:cs="Times New Roman"/>
                      <w:color w:val="auto"/>
                      <w:szCs w:val="21"/>
                    </w:rPr>
                    <w:t>《环境空气质量标准》（GB3095-2012）二级标准</w:t>
                  </w:r>
                </w:p>
              </w:tc>
            </w:tr>
            <w:tr w14:paraId="73D0393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337" w:type="pct"/>
                  <w:tcBorders>
                    <w:tl2br w:val="nil"/>
                    <w:tr2bl w:val="nil"/>
                  </w:tcBorders>
                  <w:shd w:val="clear" w:color="auto" w:fill="auto"/>
                  <w:vAlign w:val="center"/>
                </w:tcPr>
                <w:p w14:paraId="5C721889">
                  <w:pPr>
                    <w:jc w:val="center"/>
                    <w:rPr>
                      <w:rFonts w:ascii="Times New Roman" w:hAnsi="Times New Roman" w:eastAsia="宋体" w:cs="Times New Roman"/>
                      <w:color w:val="auto"/>
                      <w:kern w:val="2"/>
                      <w:sz w:val="21"/>
                      <w:szCs w:val="21"/>
                      <w:lang w:val="en-US" w:eastAsia="zh-CN" w:bidi="ar-SA"/>
                    </w:rPr>
                  </w:pPr>
                  <w:r>
                    <w:rPr>
                      <w:rFonts w:cs="Times New Roman"/>
                      <w:color w:val="auto"/>
                      <w:szCs w:val="21"/>
                    </w:rPr>
                    <w:t>2</w:t>
                  </w:r>
                </w:p>
              </w:tc>
              <w:tc>
                <w:tcPr>
                  <w:tcW w:w="837" w:type="pct"/>
                  <w:tcBorders>
                    <w:tl2br w:val="nil"/>
                    <w:tr2bl w:val="nil"/>
                  </w:tcBorders>
                  <w:vAlign w:val="top"/>
                </w:tcPr>
                <w:p w14:paraId="37D5CEE4">
                  <w:pPr>
                    <w:jc w:val="center"/>
                    <w:rPr>
                      <w:rFonts w:cs="Times New Roman"/>
                      <w:color w:val="auto"/>
                      <w:szCs w:val="21"/>
                    </w:rPr>
                  </w:pPr>
                  <w:r>
                    <w:rPr>
                      <w:rFonts w:cs="Times New Roman"/>
                      <w:color w:val="auto"/>
                      <w:szCs w:val="21"/>
                    </w:rPr>
                    <w:t>住户</w:t>
                  </w:r>
                </w:p>
              </w:tc>
              <w:tc>
                <w:tcPr>
                  <w:tcW w:w="476" w:type="pct"/>
                  <w:tcBorders>
                    <w:tl2br w:val="nil"/>
                    <w:tr2bl w:val="nil"/>
                  </w:tcBorders>
                  <w:vAlign w:val="top"/>
                </w:tcPr>
                <w:p w14:paraId="0E045D19">
                  <w:pPr>
                    <w:jc w:val="center"/>
                    <w:rPr>
                      <w:rFonts w:hint="eastAsia" w:eastAsia="宋体" w:cs="Times New Roman"/>
                      <w:color w:val="auto"/>
                      <w:szCs w:val="21"/>
                      <w:highlight w:val="none"/>
                      <w:lang w:eastAsia="zh-CN"/>
                    </w:rPr>
                  </w:pPr>
                  <w:r>
                    <w:rPr>
                      <w:rFonts w:hint="eastAsia" w:cs="Times New Roman"/>
                      <w:color w:val="auto"/>
                      <w:szCs w:val="21"/>
                      <w:highlight w:val="none"/>
                      <w:lang w:eastAsia="zh-CN"/>
                    </w:rPr>
                    <w:t>西南侧</w:t>
                  </w:r>
                </w:p>
              </w:tc>
              <w:tc>
                <w:tcPr>
                  <w:tcW w:w="1006" w:type="pct"/>
                  <w:tcBorders>
                    <w:tl2br w:val="nil"/>
                    <w:tr2bl w:val="nil"/>
                  </w:tcBorders>
                  <w:shd w:val="clear" w:color="auto" w:fill="auto"/>
                  <w:vAlign w:val="center"/>
                </w:tcPr>
                <w:p w14:paraId="06C0CFAC">
                  <w:pPr>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Cs w:val="21"/>
                      <w:highlight w:val="none"/>
                      <w:lang w:val="en-US" w:eastAsia="zh-CN"/>
                    </w:rPr>
                    <w:t>230～38</w:t>
                  </w:r>
                  <w:r>
                    <w:rPr>
                      <w:rFonts w:cs="Times New Roman"/>
                      <w:color w:val="auto"/>
                      <w:szCs w:val="21"/>
                      <w:highlight w:val="none"/>
                    </w:rPr>
                    <w:t>0m</w:t>
                  </w:r>
                  <w:r>
                    <w:rPr>
                      <w:rFonts w:hint="eastAsia" w:cs="Times New Roman"/>
                      <w:color w:val="auto"/>
                      <w:szCs w:val="21"/>
                      <w:highlight w:val="none"/>
                      <w:lang w:eastAsia="zh-CN"/>
                    </w:rPr>
                    <w:t>,</w:t>
                  </w:r>
                  <w:r>
                    <w:rPr>
                      <w:rFonts w:hint="eastAsia" w:cs="Times New Roman"/>
                      <w:color w:val="auto"/>
                      <w:szCs w:val="21"/>
                      <w:highlight w:val="none"/>
                      <w:lang w:val="en-US" w:eastAsia="zh-CN"/>
                    </w:rPr>
                    <w:t>-6</w:t>
                  </w:r>
                  <w:r>
                    <w:rPr>
                      <w:rFonts w:cs="Times New Roman"/>
                      <w:color w:val="auto"/>
                      <w:szCs w:val="21"/>
                      <w:highlight w:val="none"/>
                    </w:rPr>
                    <w:t>m</w:t>
                  </w:r>
                </w:p>
              </w:tc>
              <w:tc>
                <w:tcPr>
                  <w:tcW w:w="816" w:type="pct"/>
                  <w:tcBorders>
                    <w:tl2br w:val="nil"/>
                    <w:tr2bl w:val="nil"/>
                  </w:tcBorders>
                  <w:shd w:val="clear" w:color="auto" w:fill="auto"/>
                  <w:vAlign w:val="top"/>
                </w:tcPr>
                <w:p w14:paraId="14178A92">
                  <w:pPr>
                    <w:jc w:val="center"/>
                    <w:rPr>
                      <w:rFonts w:ascii="Times New Roman" w:hAnsi="Times New Roman" w:eastAsia="宋体" w:cs="Times New Roman"/>
                      <w:color w:val="auto"/>
                      <w:kern w:val="2"/>
                      <w:sz w:val="21"/>
                      <w:szCs w:val="21"/>
                      <w:lang w:val="en-US" w:eastAsia="zh-CN" w:bidi="ar-SA"/>
                    </w:rPr>
                  </w:pPr>
                  <w:r>
                    <w:rPr>
                      <w:rFonts w:cs="Times New Roman"/>
                      <w:color w:val="auto"/>
                      <w:szCs w:val="21"/>
                    </w:rPr>
                    <w:t>1</w:t>
                  </w:r>
                  <w:r>
                    <w:rPr>
                      <w:rFonts w:hint="eastAsia" w:cs="Times New Roman"/>
                      <w:color w:val="auto"/>
                      <w:szCs w:val="21"/>
                      <w:lang w:val="en-US" w:eastAsia="zh-CN"/>
                    </w:rPr>
                    <w:t>0</w:t>
                  </w:r>
                  <w:r>
                    <w:rPr>
                      <w:rFonts w:cs="Times New Roman"/>
                      <w:color w:val="auto"/>
                      <w:szCs w:val="21"/>
                    </w:rPr>
                    <w:t>户、</w:t>
                  </w:r>
                  <w:r>
                    <w:rPr>
                      <w:rFonts w:hint="eastAsia" w:cs="Times New Roman"/>
                      <w:color w:val="auto"/>
                      <w:szCs w:val="21"/>
                      <w:lang w:val="en-US" w:eastAsia="zh-CN"/>
                    </w:rPr>
                    <w:t>30</w:t>
                  </w:r>
                  <w:r>
                    <w:rPr>
                      <w:rFonts w:cs="Times New Roman"/>
                      <w:color w:val="auto"/>
                      <w:szCs w:val="21"/>
                    </w:rPr>
                    <w:t>人</w:t>
                  </w:r>
                </w:p>
              </w:tc>
              <w:tc>
                <w:tcPr>
                  <w:tcW w:w="466" w:type="pct"/>
                  <w:tcBorders>
                    <w:tl2br w:val="nil"/>
                    <w:tr2bl w:val="nil"/>
                  </w:tcBorders>
                  <w:vAlign w:val="top"/>
                </w:tcPr>
                <w:p w14:paraId="7C96F932">
                  <w:pPr>
                    <w:jc w:val="center"/>
                    <w:rPr>
                      <w:rFonts w:cs="Times New Roman"/>
                      <w:color w:val="auto"/>
                      <w:szCs w:val="21"/>
                    </w:rPr>
                  </w:pPr>
                  <w:r>
                    <w:rPr>
                      <w:rFonts w:cs="Times New Roman"/>
                      <w:color w:val="auto"/>
                      <w:szCs w:val="21"/>
                    </w:rPr>
                    <w:t>居民</w:t>
                  </w:r>
                </w:p>
              </w:tc>
              <w:tc>
                <w:tcPr>
                  <w:tcW w:w="1058" w:type="pct"/>
                  <w:vMerge w:val="continue"/>
                  <w:tcBorders>
                    <w:tl2br w:val="nil"/>
                    <w:tr2bl w:val="nil"/>
                  </w:tcBorders>
                  <w:vAlign w:val="center"/>
                </w:tcPr>
                <w:p w14:paraId="786093E4">
                  <w:pPr>
                    <w:jc w:val="center"/>
                    <w:rPr>
                      <w:rFonts w:cs="Times New Roman"/>
                      <w:color w:val="auto"/>
                      <w:szCs w:val="21"/>
                    </w:rPr>
                  </w:pPr>
                </w:p>
              </w:tc>
            </w:tr>
            <w:tr w14:paraId="2138E6F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337" w:type="pct"/>
                  <w:tcBorders>
                    <w:tl2br w:val="nil"/>
                    <w:tr2bl w:val="nil"/>
                  </w:tcBorders>
                  <w:shd w:val="clear" w:color="auto" w:fill="auto"/>
                  <w:vAlign w:val="center"/>
                </w:tcPr>
                <w:p w14:paraId="6E689D05">
                  <w:pPr>
                    <w:jc w:val="center"/>
                    <w:rPr>
                      <w:rFonts w:ascii="Times New Roman" w:hAnsi="Times New Roman" w:eastAsia="宋体" w:cs="Times New Roman"/>
                      <w:color w:val="auto"/>
                      <w:kern w:val="2"/>
                      <w:sz w:val="21"/>
                      <w:szCs w:val="21"/>
                      <w:lang w:val="en-US" w:eastAsia="zh-CN" w:bidi="ar-SA"/>
                    </w:rPr>
                  </w:pPr>
                  <w:r>
                    <w:rPr>
                      <w:rFonts w:cs="Times New Roman"/>
                      <w:color w:val="auto"/>
                      <w:szCs w:val="21"/>
                    </w:rPr>
                    <w:t>3</w:t>
                  </w:r>
                </w:p>
              </w:tc>
              <w:tc>
                <w:tcPr>
                  <w:tcW w:w="837" w:type="pct"/>
                  <w:tcBorders>
                    <w:tl2br w:val="nil"/>
                    <w:tr2bl w:val="nil"/>
                  </w:tcBorders>
                  <w:vAlign w:val="top"/>
                </w:tcPr>
                <w:p w14:paraId="48C6B697">
                  <w:pPr>
                    <w:jc w:val="center"/>
                    <w:rPr>
                      <w:rFonts w:cs="Times New Roman"/>
                      <w:color w:val="auto"/>
                      <w:szCs w:val="21"/>
                    </w:rPr>
                  </w:pPr>
                  <w:r>
                    <w:rPr>
                      <w:rFonts w:cs="Times New Roman"/>
                      <w:color w:val="auto"/>
                      <w:szCs w:val="21"/>
                    </w:rPr>
                    <w:t>住户</w:t>
                  </w:r>
                </w:p>
              </w:tc>
              <w:tc>
                <w:tcPr>
                  <w:tcW w:w="476" w:type="pct"/>
                  <w:tcBorders>
                    <w:tl2br w:val="nil"/>
                    <w:tr2bl w:val="nil"/>
                  </w:tcBorders>
                  <w:vAlign w:val="top"/>
                </w:tcPr>
                <w:p w14:paraId="5F7991D0">
                  <w:pPr>
                    <w:jc w:val="center"/>
                    <w:rPr>
                      <w:rFonts w:hint="eastAsia" w:cs="Times New Roman"/>
                      <w:color w:val="auto"/>
                      <w:szCs w:val="21"/>
                      <w:lang w:eastAsia="zh-CN"/>
                    </w:rPr>
                  </w:pPr>
                  <w:r>
                    <w:rPr>
                      <w:rFonts w:cs="Times New Roman"/>
                      <w:color w:val="auto"/>
                      <w:szCs w:val="21"/>
                    </w:rPr>
                    <w:t>西</w:t>
                  </w:r>
                  <w:r>
                    <w:rPr>
                      <w:rFonts w:hint="eastAsia" w:cs="Times New Roman"/>
                      <w:color w:val="auto"/>
                      <w:szCs w:val="21"/>
                      <w:lang w:eastAsia="zh-CN"/>
                    </w:rPr>
                    <w:t>侧</w:t>
                  </w:r>
                </w:p>
              </w:tc>
              <w:tc>
                <w:tcPr>
                  <w:tcW w:w="1006" w:type="pct"/>
                  <w:tcBorders>
                    <w:tl2br w:val="nil"/>
                    <w:tr2bl w:val="nil"/>
                  </w:tcBorders>
                  <w:vAlign w:val="center"/>
                </w:tcPr>
                <w:p w14:paraId="6A63CF4F">
                  <w:pPr>
                    <w:jc w:val="center"/>
                    <w:rPr>
                      <w:rFonts w:cs="Times New Roman"/>
                      <w:color w:val="auto"/>
                      <w:szCs w:val="21"/>
                      <w:highlight w:val="none"/>
                    </w:rPr>
                  </w:pPr>
                  <w:r>
                    <w:rPr>
                      <w:rFonts w:hint="eastAsia" w:cs="Times New Roman"/>
                      <w:color w:val="auto"/>
                      <w:szCs w:val="21"/>
                      <w:highlight w:val="none"/>
                      <w:lang w:val="en-US" w:eastAsia="zh-CN"/>
                    </w:rPr>
                    <w:t>145</w:t>
                  </w:r>
                  <w:r>
                    <w:rPr>
                      <w:rFonts w:cs="Times New Roman"/>
                      <w:color w:val="auto"/>
                      <w:szCs w:val="21"/>
                      <w:highlight w:val="none"/>
                    </w:rPr>
                    <w:t xml:space="preserve">~ </w:t>
                  </w:r>
                  <w:r>
                    <w:rPr>
                      <w:rFonts w:hint="eastAsia" w:cs="Times New Roman"/>
                      <w:color w:val="auto"/>
                      <w:szCs w:val="21"/>
                      <w:highlight w:val="none"/>
                      <w:lang w:val="en-US" w:eastAsia="zh-CN"/>
                    </w:rPr>
                    <w:t>25</w:t>
                  </w:r>
                  <w:r>
                    <w:rPr>
                      <w:rFonts w:cs="Times New Roman"/>
                      <w:color w:val="auto"/>
                      <w:szCs w:val="21"/>
                      <w:highlight w:val="none"/>
                    </w:rPr>
                    <w:t>0m</w:t>
                  </w:r>
                  <w:r>
                    <w:rPr>
                      <w:rFonts w:hint="eastAsia" w:cs="Times New Roman"/>
                      <w:color w:val="auto"/>
                      <w:szCs w:val="21"/>
                      <w:highlight w:val="none"/>
                      <w:lang w:eastAsia="zh-CN"/>
                    </w:rPr>
                    <w:t>,</w:t>
                  </w:r>
                  <w:r>
                    <w:rPr>
                      <w:rFonts w:cs="Times New Roman"/>
                      <w:color w:val="auto"/>
                      <w:szCs w:val="21"/>
                      <w:highlight w:val="none"/>
                    </w:rPr>
                    <w:t>-5m</w:t>
                  </w:r>
                </w:p>
              </w:tc>
              <w:tc>
                <w:tcPr>
                  <w:tcW w:w="816" w:type="pct"/>
                  <w:tcBorders>
                    <w:tl2br w:val="nil"/>
                    <w:tr2bl w:val="nil"/>
                  </w:tcBorders>
                  <w:vAlign w:val="top"/>
                </w:tcPr>
                <w:p w14:paraId="5E2402DB">
                  <w:pPr>
                    <w:jc w:val="center"/>
                    <w:rPr>
                      <w:rFonts w:cs="Times New Roman"/>
                      <w:color w:val="auto"/>
                      <w:szCs w:val="21"/>
                    </w:rPr>
                  </w:pPr>
                  <w:r>
                    <w:rPr>
                      <w:rFonts w:cs="Times New Roman"/>
                      <w:color w:val="auto"/>
                      <w:szCs w:val="21"/>
                    </w:rPr>
                    <w:t>2</w:t>
                  </w:r>
                  <w:r>
                    <w:rPr>
                      <w:rFonts w:hint="eastAsia" w:cs="Times New Roman"/>
                      <w:color w:val="auto"/>
                      <w:szCs w:val="21"/>
                      <w:lang w:val="en-US" w:eastAsia="zh-CN"/>
                    </w:rPr>
                    <w:t>5</w:t>
                  </w:r>
                  <w:r>
                    <w:rPr>
                      <w:rFonts w:cs="Times New Roman"/>
                      <w:color w:val="auto"/>
                      <w:szCs w:val="21"/>
                    </w:rPr>
                    <w:t>户、</w:t>
                  </w:r>
                  <w:r>
                    <w:rPr>
                      <w:rFonts w:hint="eastAsia" w:cs="Times New Roman"/>
                      <w:color w:val="auto"/>
                      <w:szCs w:val="21"/>
                      <w:lang w:val="en-US" w:eastAsia="zh-CN"/>
                    </w:rPr>
                    <w:t>75</w:t>
                  </w:r>
                  <w:r>
                    <w:rPr>
                      <w:rFonts w:cs="Times New Roman"/>
                      <w:color w:val="auto"/>
                      <w:szCs w:val="21"/>
                    </w:rPr>
                    <w:t>人</w:t>
                  </w:r>
                </w:p>
              </w:tc>
              <w:tc>
                <w:tcPr>
                  <w:tcW w:w="466" w:type="pct"/>
                  <w:tcBorders>
                    <w:tl2br w:val="nil"/>
                    <w:tr2bl w:val="nil"/>
                  </w:tcBorders>
                  <w:vAlign w:val="top"/>
                </w:tcPr>
                <w:p w14:paraId="054063CC">
                  <w:pPr>
                    <w:jc w:val="center"/>
                    <w:rPr>
                      <w:rFonts w:cs="Times New Roman"/>
                      <w:color w:val="auto"/>
                      <w:szCs w:val="21"/>
                    </w:rPr>
                  </w:pPr>
                  <w:r>
                    <w:rPr>
                      <w:rFonts w:cs="Times New Roman"/>
                      <w:color w:val="auto"/>
                      <w:szCs w:val="21"/>
                    </w:rPr>
                    <w:t>居民</w:t>
                  </w:r>
                </w:p>
              </w:tc>
              <w:tc>
                <w:tcPr>
                  <w:tcW w:w="1058" w:type="pct"/>
                  <w:vMerge w:val="continue"/>
                  <w:tcBorders>
                    <w:tl2br w:val="nil"/>
                    <w:tr2bl w:val="nil"/>
                  </w:tcBorders>
                  <w:vAlign w:val="center"/>
                </w:tcPr>
                <w:p w14:paraId="24F6E969">
                  <w:pPr>
                    <w:jc w:val="center"/>
                    <w:rPr>
                      <w:rFonts w:cs="Times New Roman"/>
                      <w:color w:val="auto"/>
                      <w:szCs w:val="21"/>
                    </w:rPr>
                  </w:pPr>
                </w:p>
              </w:tc>
            </w:tr>
            <w:tr w14:paraId="079EF95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337" w:type="pct"/>
                  <w:tcBorders>
                    <w:tl2br w:val="nil"/>
                    <w:tr2bl w:val="nil"/>
                  </w:tcBorders>
                  <w:vAlign w:val="center"/>
                </w:tcPr>
                <w:p w14:paraId="758F9A36">
                  <w:pPr>
                    <w:jc w:val="center"/>
                    <w:rPr>
                      <w:rFonts w:hint="eastAsia" w:eastAsia="宋体" w:cs="Times New Roman"/>
                      <w:color w:val="auto"/>
                      <w:szCs w:val="21"/>
                      <w:lang w:val="en-US" w:eastAsia="zh-CN"/>
                    </w:rPr>
                  </w:pPr>
                  <w:r>
                    <w:rPr>
                      <w:rFonts w:hint="eastAsia" w:cs="Times New Roman"/>
                      <w:color w:val="auto"/>
                      <w:szCs w:val="21"/>
                      <w:lang w:val="en-US" w:eastAsia="zh-CN"/>
                    </w:rPr>
                    <w:t>4</w:t>
                  </w:r>
                </w:p>
              </w:tc>
              <w:tc>
                <w:tcPr>
                  <w:tcW w:w="837" w:type="pct"/>
                  <w:tcBorders>
                    <w:tl2br w:val="nil"/>
                    <w:tr2bl w:val="nil"/>
                  </w:tcBorders>
                  <w:vAlign w:val="top"/>
                </w:tcPr>
                <w:p w14:paraId="58016BB0">
                  <w:pPr>
                    <w:jc w:val="center"/>
                    <w:rPr>
                      <w:rFonts w:cs="Times New Roman"/>
                      <w:color w:val="auto"/>
                      <w:szCs w:val="21"/>
                    </w:rPr>
                  </w:pPr>
                  <w:r>
                    <w:rPr>
                      <w:rFonts w:cs="Times New Roman"/>
                      <w:color w:val="auto"/>
                      <w:szCs w:val="21"/>
                    </w:rPr>
                    <w:t>住户</w:t>
                  </w:r>
                </w:p>
              </w:tc>
              <w:tc>
                <w:tcPr>
                  <w:tcW w:w="476" w:type="pct"/>
                  <w:tcBorders>
                    <w:tl2br w:val="nil"/>
                    <w:tr2bl w:val="nil"/>
                  </w:tcBorders>
                  <w:vAlign w:val="top"/>
                </w:tcPr>
                <w:p w14:paraId="1D1C3253">
                  <w:pPr>
                    <w:jc w:val="center"/>
                    <w:rPr>
                      <w:rFonts w:cs="Times New Roman"/>
                      <w:color w:val="auto"/>
                      <w:szCs w:val="21"/>
                    </w:rPr>
                  </w:pPr>
                  <w:r>
                    <w:rPr>
                      <w:rFonts w:hint="eastAsia" w:cs="Times New Roman"/>
                      <w:color w:val="auto"/>
                      <w:szCs w:val="21"/>
                      <w:lang w:eastAsia="zh-CN"/>
                    </w:rPr>
                    <w:t>西</w:t>
                  </w:r>
                  <w:r>
                    <w:rPr>
                      <w:rFonts w:cs="Times New Roman"/>
                      <w:color w:val="auto"/>
                      <w:szCs w:val="21"/>
                    </w:rPr>
                    <w:t>北</w:t>
                  </w:r>
                  <w:r>
                    <w:rPr>
                      <w:rFonts w:hint="eastAsia" w:cs="Times New Roman"/>
                      <w:color w:val="auto"/>
                      <w:szCs w:val="21"/>
                      <w:lang w:eastAsia="zh-CN"/>
                    </w:rPr>
                    <w:t>侧</w:t>
                  </w:r>
                </w:p>
              </w:tc>
              <w:tc>
                <w:tcPr>
                  <w:tcW w:w="1006" w:type="pct"/>
                  <w:tcBorders>
                    <w:tl2br w:val="nil"/>
                    <w:tr2bl w:val="nil"/>
                  </w:tcBorders>
                  <w:vAlign w:val="center"/>
                </w:tcPr>
                <w:p w14:paraId="526D336C">
                  <w:pPr>
                    <w:jc w:val="center"/>
                    <w:rPr>
                      <w:rFonts w:cs="Times New Roman"/>
                      <w:color w:val="auto"/>
                      <w:szCs w:val="21"/>
                      <w:highlight w:val="none"/>
                    </w:rPr>
                  </w:pPr>
                  <w:r>
                    <w:rPr>
                      <w:rFonts w:hint="eastAsia" w:cs="Times New Roman"/>
                      <w:color w:val="auto"/>
                      <w:szCs w:val="21"/>
                      <w:highlight w:val="none"/>
                      <w:lang w:val="en-US" w:eastAsia="zh-CN"/>
                    </w:rPr>
                    <w:t>150～430</w:t>
                  </w:r>
                  <w:r>
                    <w:rPr>
                      <w:rFonts w:cs="Times New Roman"/>
                      <w:color w:val="auto"/>
                      <w:szCs w:val="21"/>
                      <w:highlight w:val="none"/>
                    </w:rPr>
                    <w:t>m</w:t>
                  </w:r>
                  <w:r>
                    <w:rPr>
                      <w:rFonts w:hint="eastAsia" w:cs="Times New Roman"/>
                      <w:color w:val="auto"/>
                      <w:szCs w:val="21"/>
                      <w:highlight w:val="none"/>
                      <w:lang w:eastAsia="zh-CN"/>
                    </w:rPr>
                    <w:t>,</w:t>
                  </w:r>
                  <w:r>
                    <w:rPr>
                      <w:rFonts w:cs="Times New Roman"/>
                      <w:color w:val="auto"/>
                      <w:szCs w:val="21"/>
                      <w:highlight w:val="none"/>
                    </w:rPr>
                    <w:t>-6m</w:t>
                  </w:r>
                </w:p>
              </w:tc>
              <w:tc>
                <w:tcPr>
                  <w:tcW w:w="816" w:type="pct"/>
                  <w:tcBorders>
                    <w:tl2br w:val="nil"/>
                    <w:tr2bl w:val="nil"/>
                  </w:tcBorders>
                  <w:vAlign w:val="top"/>
                </w:tcPr>
                <w:p w14:paraId="66DD80A6">
                  <w:pPr>
                    <w:jc w:val="center"/>
                    <w:rPr>
                      <w:rFonts w:cs="Times New Roman"/>
                      <w:color w:val="auto"/>
                      <w:szCs w:val="21"/>
                      <w:highlight w:val="none"/>
                    </w:rPr>
                  </w:pPr>
                  <w:r>
                    <w:rPr>
                      <w:rFonts w:hint="eastAsia" w:cs="Times New Roman"/>
                      <w:color w:val="auto"/>
                      <w:szCs w:val="21"/>
                      <w:highlight w:val="none"/>
                      <w:lang w:val="en-US" w:eastAsia="zh-CN"/>
                    </w:rPr>
                    <w:t>21</w:t>
                  </w:r>
                  <w:r>
                    <w:rPr>
                      <w:rFonts w:cs="Times New Roman"/>
                      <w:color w:val="auto"/>
                      <w:szCs w:val="21"/>
                      <w:highlight w:val="none"/>
                    </w:rPr>
                    <w:t>户、</w:t>
                  </w:r>
                  <w:r>
                    <w:rPr>
                      <w:rFonts w:hint="eastAsia" w:cs="Times New Roman"/>
                      <w:color w:val="auto"/>
                      <w:szCs w:val="21"/>
                      <w:highlight w:val="none"/>
                      <w:lang w:val="en-US" w:eastAsia="zh-CN"/>
                    </w:rPr>
                    <w:t>65</w:t>
                  </w:r>
                  <w:r>
                    <w:rPr>
                      <w:rFonts w:cs="Times New Roman"/>
                      <w:color w:val="auto"/>
                      <w:szCs w:val="21"/>
                      <w:highlight w:val="none"/>
                    </w:rPr>
                    <w:t>人</w:t>
                  </w:r>
                </w:p>
              </w:tc>
              <w:tc>
                <w:tcPr>
                  <w:tcW w:w="466" w:type="pct"/>
                  <w:tcBorders>
                    <w:tl2br w:val="nil"/>
                    <w:tr2bl w:val="nil"/>
                  </w:tcBorders>
                  <w:vAlign w:val="top"/>
                </w:tcPr>
                <w:p w14:paraId="506965A4">
                  <w:pPr>
                    <w:jc w:val="center"/>
                    <w:rPr>
                      <w:rFonts w:cs="Times New Roman"/>
                      <w:color w:val="auto"/>
                      <w:szCs w:val="21"/>
                    </w:rPr>
                  </w:pPr>
                  <w:r>
                    <w:rPr>
                      <w:rFonts w:cs="Times New Roman"/>
                      <w:color w:val="auto"/>
                      <w:szCs w:val="21"/>
                    </w:rPr>
                    <w:t>居民</w:t>
                  </w:r>
                </w:p>
              </w:tc>
              <w:tc>
                <w:tcPr>
                  <w:tcW w:w="1058" w:type="pct"/>
                  <w:vMerge w:val="continue"/>
                  <w:tcBorders>
                    <w:tl2br w:val="nil"/>
                    <w:tr2bl w:val="nil"/>
                  </w:tcBorders>
                  <w:vAlign w:val="center"/>
                </w:tcPr>
                <w:p w14:paraId="6600C9C8">
                  <w:pPr>
                    <w:jc w:val="center"/>
                    <w:rPr>
                      <w:rFonts w:cs="Times New Roman"/>
                      <w:color w:val="auto"/>
                      <w:szCs w:val="21"/>
                    </w:rPr>
                  </w:pPr>
                </w:p>
              </w:tc>
            </w:tr>
            <w:tr w14:paraId="2C83D0C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337" w:type="pct"/>
                  <w:tcBorders>
                    <w:tl2br w:val="nil"/>
                    <w:tr2bl w:val="nil"/>
                  </w:tcBorders>
                  <w:vAlign w:val="center"/>
                </w:tcPr>
                <w:p w14:paraId="074E5916">
                  <w:pPr>
                    <w:jc w:val="center"/>
                    <w:rPr>
                      <w:rFonts w:hint="eastAsia" w:eastAsia="宋体" w:cs="Times New Roman"/>
                      <w:color w:val="auto"/>
                      <w:szCs w:val="21"/>
                      <w:lang w:val="en-US" w:eastAsia="zh-CN"/>
                    </w:rPr>
                  </w:pPr>
                  <w:r>
                    <w:rPr>
                      <w:rFonts w:hint="eastAsia" w:cs="Times New Roman"/>
                      <w:color w:val="auto"/>
                      <w:szCs w:val="21"/>
                      <w:lang w:val="en-US" w:eastAsia="zh-CN"/>
                    </w:rPr>
                    <w:t>5</w:t>
                  </w:r>
                </w:p>
              </w:tc>
              <w:tc>
                <w:tcPr>
                  <w:tcW w:w="837" w:type="pct"/>
                  <w:tcBorders>
                    <w:tl2br w:val="nil"/>
                    <w:tr2bl w:val="nil"/>
                  </w:tcBorders>
                  <w:shd w:val="clear" w:color="auto" w:fill="auto"/>
                  <w:vAlign w:val="top"/>
                </w:tcPr>
                <w:p w14:paraId="4A99D1D9">
                  <w:pPr>
                    <w:jc w:val="center"/>
                    <w:rPr>
                      <w:rFonts w:ascii="Times New Roman" w:hAnsi="Times New Roman" w:eastAsia="宋体" w:cs="Times New Roman"/>
                      <w:color w:val="auto"/>
                      <w:kern w:val="2"/>
                      <w:sz w:val="21"/>
                      <w:szCs w:val="21"/>
                      <w:lang w:val="en-US" w:eastAsia="zh-CN" w:bidi="ar-SA"/>
                    </w:rPr>
                  </w:pPr>
                  <w:r>
                    <w:rPr>
                      <w:rFonts w:cs="Times New Roman"/>
                      <w:color w:val="auto"/>
                      <w:szCs w:val="21"/>
                    </w:rPr>
                    <w:t>民办幼儿园</w:t>
                  </w:r>
                </w:p>
              </w:tc>
              <w:tc>
                <w:tcPr>
                  <w:tcW w:w="476" w:type="pct"/>
                  <w:tcBorders>
                    <w:tl2br w:val="nil"/>
                    <w:tr2bl w:val="nil"/>
                  </w:tcBorders>
                  <w:shd w:val="clear" w:color="auto" w:fill="auto"/>
                  <w:vAlign w:val="top"/>
                </w:tcPr>
                <w:p w14:paraId="7F14CC0F">
                  <w:pPr>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szCs w:val="21"/>
                      <w:lang w:eastAsia="zh-CN"/>
                    </w:rPr>
                    <w:t>西侧</w:t>
                  </w:r>
                </w:p>
              </w:tc>
              <w:tc>
                <w:tcPr>
                  <w:tcW w:w="1006" w:type="pct"/>
                  <w:tcBorders>
                    <w:tl2br w:val="nil"/>
                    <w:tr2bl w:val="nil"/>
                  </w:tcBorders>
                  <w:shd w:val="clear" w:color="auto" w:fill="auto"/>
                  <w:vAlign w:val="center"/>
                </w:tcPr>
                <w:p w14:paraId="0BF29CDC">
                  <w:pPr>
                    <w:jc w:val="center"/>
                    <w:rPr>
                      <w:rFonts w:ascii="Times New Roman" w:hAnsi="Times New Roman" w:eastAsia="宋体" w:cs="Times New Roman"/>
                      <w:color w:val="auto"/>
                      <w:kern w:val="2"/>
                      <w:sz w:val="21"/>
                      <w:szCs w:val="21"/>
                      <w:highlight w:val="none"/>
                      <w:lang w:val="en-US" w:eastAsia="zh-CN" w:bidi="ar-SA"/>
                    </w:rPr>
                  </w:pPr>
                  <w:r>
                    <w:rPr>
                      <w:rFonts w:hint="eastAsia" w:cs="Times New Roman"/>
                      <w:color w:val="auto"/>
                      <w:szCs w:val="21"/>
                      <w:highlight w:val="none"/>
                      <w:lang w:val="en-US" w:eastAsia="zh-CN"/>
                    </w:rPr>
                    <w:t>14</w:t>
                  </w:r>
                  <w:r>
                    <w:rPr>
                      <w:rFonts w:cs="Times New Roman"/>
                      <w:color w:val="auto"/>
                      <w:szCs w:val="21"/>
                      <w:highlight w:val="none"/>
                    </w:rPr>
                    <w:t>0m</w:t>
                  </w:r>
                  <w:r>
                    <w:rPr>
                      <w:rFonts w:hint="eastAsia" w:cs="Times New Roman"/>
                      <w:color w:val="auto"/>
                      <w:szCs w:val="21"/>
                      <w:highlight w:val="none"/>
                      <w:lang w:eastAsia="zh-CN"/>
                    </w:rPr>
                    <w:t>,</w:t>
                  </w:r>
                  <w:r>
                    <w:rPr>
                      <w:rFonts w:cs="Times New Roman"/>
                      <w:color w:val="auto"/>
                      <w:szCs w:val="21"/>
                      <w:highlight w:val="none"/>
                    </w:rPr>
                    <w:t>-6m</w:t>
                  </w:r>
                </w:p>
              </w:tc>
              <w:tc>
                <w:tcPr>
                  <w:tcW w:w="816" w:type="pct"/>
                  <w:tcBorders>
                    <w:tl2br w:val="nil"/>
                    <w:tr2bl w:val="nil"/>
                  </w:tcBorders>
                  <w:shd w:val="clear" w:color="auto" w:fill="auto"/>
                  <w:vAlign w:val="center"/>
                </w:tcPr>
                <w:p w14:paraId="556DBCF5">
                  <w:pPr>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Cs w:val="21"/>
                      <w:highlight w:val="none"/>
                      <w:lang w:val="en-US" w:eastAsia="zh-CN"/>
                    </w:rPr>
                    <w:t>50人</w:t>
                  </w:r>
                </w:p>
              </w:tc>
              <w:tc>
                <w:tcPr>
                  <w:tcW w:w="466" w:type="pct"/>
                  <w:tcBorders>
                    <w:tl2br w:val="nil"/>
                    <w:tr2bl w:val="nil"/>
                  </w:tcBorders>
                  <w:shd w:val="clear" w:color="auto" w:fill="auto"/>
                  <w:vAlign w:val="center"/>
                </w:tcPr>
                <w:p w14:paraId="0F5232A3">
                  <w:pPr>
                    <w:jc w:val="center"/>
                    <w:rPr>
                      <w:rFonts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学校</w:t>
                  </w:r>
                </w:p>
              </w:tc>
              <w:tc>
                <w:tcPr>
                  <w:tcW w:w="1058" w:type="pct"/>
                  <w:vMerge w:val="continue"/>
                  <w:tcBorders>
                    <w:tl2br w:val="nil"/>
                    <w:tr2bl w:val="nil"/>
                  </w:tcBorders>
                  <w:vAlign w:val="center"/>
                </w:tcPr>
                <w:p w14:paraId="391316F6">
                  <w:pPr>
                    <w:jc w:val="center"/>
                    <w:rPr>
                      <w:rFonts w:cs="Times New Roman"/>
                      <w:color w:val="auto"/>
                      <w:szCs w:val="21"/>
                    </w:rPr>
                  </w:pPr>
                </w:p>
              </w:tc>
            </w:tr>
            <w:tr w14:paraId="0152D03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337" w:type="pct"/>
                  <w:tcBorders>
                    <w:tl2br w:val="nil"/>
                    <w:tr2bl w:val="nil"/>
                  </w:tcBorders>
                  <w:vAlign w:val="center"/>
                </w:tcPr>
                <w:p w14:paraId="2F0C2802">
                  <w:pPr>
                    <w:jc w:val="center"/>
                    <w:rPr>
                      <w:rFonts w:hint="default" w:cs="Times New Roman"/>
                      <w:color w:val="auto"/>
                      <w:szCs w:val="21"/>
                      <w:lang w:val="en-US" w:eastAsia="zh-CN"/>
                    </w:rPr>
                  </w:pPr>
                  <w:r>
                    <w:rPr>
                      <w:rFonts w:hint="eastAsia" w:cs="Times New Roman"/>
                      <w:color w:val="auto"/>
                      <w:szCs w:val="21"/>
                      <w:lang w:val="en-US" w:eastAsia="zh-CN"/>
                    </w:rPr>
                    <w:t>6</w:t>
                  </w:r>
                </w:p>
              </w:tc>
              <w:tc>
                <w:tcPr>
                  <w:tcW w:w="837" w:type="pct"/>
                  <w:tcBorders>
                    <w:tl2br w:val="nil"/>
                    <w:tr2bl w:val="nil"/>
                  </w:tcBorders>
                  <w:shd w:val="clear" w:color="auto" w:fill="auto"/>
                  <w:vAlign w:val="top"/>
                </w:tcPr>
                <w:p w14:paraId="541824A9">
                  <w:pPr>
                    <w:jc w:val="center"/>
                    <w:rPr>
                      <w:rFonts w:hint="eastAsia" w:eastAsia="宋体" w:cs="Times New Roman"/>
                      <w:color w:val="auto"/>
                      <w:szCs w:val="21"/>
                      <w:lang w:eastAsia="zh-CN"/>
                    </w:rPr>
                  </w:pPr>
                  <w:r>
                    <w:rPr>
                      <w:rFonts w:hint="eastAsia" w:cs="Times New Roman"/>
                      <w:color w:val="auto"/>
                      <w:szCs w:val="21"/>
                      <w:lang w:eastAsia="zh-CN"/>
                    </w:rPr>
                    <w:t>住户</w:t>
                  </w:r>
                </w:p>
              </w:tc>
              <w:tc>
                <w:tcPr>
                  <w:tcW w:w="476" w:type="pct"/>
                  <w:tcBorders>
                    <w:tl2br w:val="nil"/>
                    <w:tr2bl w:val="nil"/>
                  </w:tcBorders>
                  <w:shd w:val="clear" w:color="auto" w:fill="auto"/>
                  <w:vAlign w:val="top"/>
                </w:tcPr>
                <w:p w14:paraId="61D49946">
                  <w:pPr>
                    <w:jc w:val="center"/>
                    <w:rPr>
                      <w:rFonts w:hint="eastAsia" w:cs="Times New Roman"/>
                      <w:color w:val="auto"/>
                      <w:szCs w:val="21"/>
                      <w:lang w:eastAsia="zh-CN"/>
                    </w:rPr>
                  </w:pPr>
                  <w:r>
                    <w:rPr>
                      <w:rFonts w:hint="eastAsia" w:cs="Times New Roman"/>
                      <w:color w:val="auto"/>
                      <w:szCs w:val="21"/>
                      <w:lang w:eastAsia="zh-CN"/>
                    </w:rPr>
                    <w:t>北侧</w:t>
                  </w:r>
                </w:p>
              </w:tc>
              <w:tc>
                <w:tcPr>
                  <w:tcW w:w="1006" w:type="pct"/>
                  <w:tcBorders>
                    <w:tl2br w:val="nil"/>
                    <w:tr2bl w:val="nil"/>
                  </w:tcBorders>
                  <w:shd w:val="clear" w:color="auto" w:fill="auto"/>
                  <w:vAlign w:val="center"/>
                </w:tcPr>
                <w:p w14:paraId="2190307C">
                  <w:pPr>
                    <w:jc w:val="center"/>
                    <w:rPr>
                      <w:rFonts w:hint="eastAsia" w:eastAsia="宋体" w:cs="Times New Roman"/>
                      <w:color w:val="auto"/>
                      <w:szCs w:val="21"/>
                      <w:highlight w:val="none"/>
                      <w:lang w:val="en-US" w:eastAsia="zh-CN"/>
                    </w:rPr>
                  </w:pPr>
                  <w:r>
                    <w:rPr>
                      <w:rFonts w:hint="eastAsia" w:cs="Times New Roman"/>
                      <w:color w:val="auto"/>
                      <w:szCs w:val="21"/>
                      <w:highlight w:val="none"/>
                      <w:lang w:val="en-US" w:eastAsia="zh-CN"/>
                    </w:rPr>
                    <w:t>160～185m,+7</w:t>
                  </w:r>
                  <w:r>
                    <w:rPr>
                      <w:rFonts w:cs="Times New Roman"/>
                      <w:color w:val="auto"/>
                      <w:szCs w:val="21"/>
                      <w:highlight w:val="none"/>
                    </w:rPr>
                    <w:t>m</w:t>
                  </w:r>
                </w:p>
              </w:tc>
              <w:tc>
                <w:tcPr>
                  <w:tcW w:w="816" w:type="pct"/>
                  <w:tcBorders>
                    <w:tl2br w:val="nil"/>
                    <w:tr2bl w:val="nil"/>
                  </w:tcBorders>
                  <w:shd w:val="clear" w:color="auto" w:fill="auto"/>
                  <w:vAlign w:val="center"/>
                </w:tcPr>
                <w:p w14:paraId="30173563">
                  <w:pPr>
                    <w:jc w:val="center"/>
                    <w:rPr>
                      <w:rFonts w:hint="eastAsia" w:cs="Times New Roman"/>
                      <w:color w:val="auto"/>
                      <w:szCs w:val="21"/>
                      <w:highlight w:val="none"/>
                      <w:lang w:val="en-US" w:eastAsia="zh-CN"/>
                    </w:rPr>
                  </w:pPr>
                  <w:r>
                    <w:rPr>
                      <w:rFonts w:hint="eastAsia" w:cs="Times New Roman"/>
                      <w:color w:val="auto"/>
                      <w:szCs w:val="21"/>
                      <w:highlight w:val="none"/>
                      <w:lang w:val="en-US" w:eastAsia="zh-CN"/>
                    </w:rPr>
                    <w:t>3</w:t>
                  </w:r>
                  <w:r>
                    <w:rPr>
                      <w:rFonts w:cs="Times New Roman"/>
                      <w:color w:val="auto"/>
                      <w:szCs w:val="21"/>
                      <w:highlight w:val="none"/>
                    </w:rPr>
                    <w:t>户、</w:t>
                  </w:r>
                  <w:r>
                    <w:rPr>
                      <w:rFonts w:hint="eastAsia" w:cs="Times New Roman"/>
                      <w:color w:val="auto"/>
                      <w:szCs w:val="21"/>
                      <w:highlight w:val="none"/>
                      <w:lang w:val="en-US" w:eastAsia="zh-CN"/>
                    </w:rPr>
                    <w:t>10</w:t>
                  </w:r>
                  <w:r>
                    <w:rPr>
                      <w:rFonts w:cs="Times New Roman"/>
                      <w:color w:val="auto"/>
                      <w:szCs w:val="21"/>
                      <w:highlight w:val="none"/>
                    </w:rPr>
                    <w:t>人</w:t>
                  </w:r>
                </w:p>
              </w:tc>
              <w:tc>
                <w:tcPr>
                  <w:tcW w:w="466" w:type="pct"/>
                  <w:tcBorders>
                    <w:tl2br w:val="nil"/>
                    <w:tr2bl w:val="nil"/>
                  </w:tcBorders>
                  <w:shd w:val="clear" w:color="auto" w:fill="auto"/>
                  <w:vAlign w:val="center"/>
                </w:tcPr>
                <w:p w14:paraId="1C63CBDE">
                  <w:pPr>
                    <w:jc w:val="center"/>
                    <w:rPr>
                      <w:rFonts w:hint="eastAsia" w:cs="Times New Roman"/>
                      <w:color w:val="auto"/>
                      <w:kern w:val="2"/>
                      <w:sz w:val="21"/>
                      <w:szCs w:val="21"/>
                      <w:lang w:val="en-US" w:eastAsia="zh-CN" w:bidi="ar-SA"/>
                    </w:rPr>
                  </w:pPr>
                  <w:r>
                    <w:rPr>
                      <w:rFonts w:cs="Times New Roman"/>
                      <w:color w:val="auto"/>
                      <w:szCs w:val="21"/>
                    </w:rPr>
                    <w:t>居民</w:t>
                  </w:r>
                </w:p>
              </w:tc>
              <w:tc>
                <w:tcPr>
                  <w:tcW w:w="1058" w:type="pct"/>
                  <w:vMerge w:val="continue"/>
                  <w:tcBorders>
                    <w:tl2br w:val="nil"/>
                    <w:tr2bl w:val="nil"/>
                  </w:tcBorders>
                  <w:vAlign w:val="center"/>
                </w:tcPr>
                <w:p w14:paraId="17E613B9">
                  <w:pPr>
                    <w:jc w:val="center"/>
                    <w:rPr>
                      <w:rFonts w:cs="Times New Roman"/>
                      <w:color w:val="auto"/>
                      <w:szCs w:val="21"/>
                    </w:rPr>
                  </w:pPr>
                </w:p>
              </w:tc>
            </w:tr>
            <w:tr w14:paraId="0A4F587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337" w:type="pct"/>
                  <w:tcBorders>
                    <w:tl2br w:val="nil"/>
                    <w:tr2bl w:val="nil"/>
                  </w:tcBorders>
                  <w:vAlign w:val="center"/>
                </w:tcPr>
                <w:p w14:paraId="21F1B219">
                  <w:pPr>
                    <w:jc w:val="center"/>
                    <w:rPr>
                      <w:rFonts w:hint="default" w:eastAsia="宋体" w:cs="Times New Roman"/>
                      <w:color w:val="auto"/>
                      <w:szCs w:val="21"/>
                      <w:lang w:val="en-US" w:eastAsia="zh-CN"/>
                    </w:rPr>
                  </w:pPr>
                  <w:r>
                    <w:rPr>
                      <w:rFonts w:hint="eastAsia" w:cs="Times New Roman"/>
                      <w:color w:val="auto"/>
                      <w:szCs w:val="21"/>
                      <w:lang w:val="en-US" w:eastAsia="zh-CN"/>
                    </w:rPr>
                    <w:t>7</w:t>
                  </w:r>
                </w:p>
              </w:tc>
              <w:tc>
                <w:tcPr>
                  <w:tcW w:w="837" w:type="pct"/>
                  <w:tcBorders>
                    <w:tl2br w:val="nil"/>
                    <w:tr2bl w:val="nil"/>
                  </w:tcBorders>
                  <w:shd w:val="clear" w:color="auto" w:fill="auto"/>
                  <w:vAlign w:val="top"/>
                </w:tcPr>
                <w:p w14:paraId="00FCFB5F">
                  <w:pPr>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东岳场镇居民</w:t>
                  </w:r>
                </w:p>
              </w:tc>
              <w:tc>
                <w:tcPr>
                  <w:tcW w:w="476" w:type="pct"/>
                  <w:tcBorders>
                    <w:tl2br w:val="nil"/>
                    <w:tr2bl w:val="nil"/>
                  </w:tcBorders>
                  <w:shd w:val="clear" w:color="auto" w:fill="auto"/>
                  <w:vAlign w:val="top"/>
                </w:tcPr>
                <w:p w14:paraId="36702464">
                  <w:pPr>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szCs w:val="21"/>
                      <w:lang w:eastAsia="zh-CN"/>
                    </w:rPr>
                    <w:t>北侧</w:t>
                  </w:r>
                </w:p>
              </w:tc>
              <w:tc>
                <w:tcPr>
                  <w:tcW w:w="1006" w:type="pct"/>
                  <w:tcBorders>
                    <w:tl2br w:val="nil"/>
                    <w:tr2bl w:val="nil"/>
                  </w:tcBorders>
                  <w:shd w:val="clear" w:color="auto" w:fill="auto"/>
                  <w:vAlign w:val="center"/>
                </w:tcPr>
                <w:p w14:paraId="238E3DFB">
                  <w:pPr>
                    <w:jc w:val="center"/>
                    <w:rPr>
                      <w:rFonts w:ascii="Times New Roman" w:hAnsi="Times New Roman" w:eastAsia="宋体" w:cs="Times New Roman"/>
                      <w:color w:val="auto"/>
                      <w:kern w:val="2"/>
                      <w:sz w:val="21"/>
                      <w:szCs w:val="21"/>
                      <w:highlight w:val="none"/>
                      <w:lang w:val="en-US" w:eastAsia="zh-CN" w:bidi="ar-SA"/>
                    </w:rPr>
                  </w:pPr>
                  <w:r>
                    <w:rPr>
                      <w:rFonts w:hint="eastAsia" w:cs="Times New Roman"/>
                      <w:color w:val="auto"/>
                      <w:szCs w:val="21"/>
                      <w:highlight w:val="none"/>
                      <w:lang w:val="en-US" w:eastAsia="zh-CN"/>
                    </w:rPr>
                    <w:t>460～500</w:t>
                  </w:r>
                  <w:r>
                    <w:rPr>
                      <w:rFonts w:cs="Times New Roman"/>
                      <w:color w:val="auto"/>
                      <w:szCs w:val="21"/>
                      <w:highlight w:val="none"/>
                    </w:rPr>
                    <w:t>m</w:t>
                  </w:r>
                  <w:r>
                    <w:rPr>
                      <w:rFonts w:hint="eastAsia" w:cs="Times New Roman"/>
                      <w:color w:val="auto"/>
                      <w:szCs w:val="21"/>
                      <w:highlight w:val="none"/>
                      <w:lang w:eastAsia="zh-CN"/>
                    </w:rPr>
                    <w:t>,</w:t>
                  </w:r>
                  <w:r>
                    <w:rPr>
                      <w:rFonts w:hint="eastAsia" w:cs="Times New Roman"/>
                      <w:color w:val="auto"/>
                      <w:szCs w:val="21"/>
                      <w:highlight w:val="none"/>
                      <w:lang w:val="en-US" w:eastAsia="zh-CN"/>
                    </w:rPr>
                    <w:t>+11</w:t>
                  </w:r>
                  <w:r>
                    <w:rPr>
                      <w:rFonts w:cs="Times New Roman"/>
                      <w:color w:val="auto"/>
                      <w:szCs w:val="21"/>
                      <w:highlight w:val="none"/>
                    </w:rPr>
                    <w:t>m</w:t>
                  </w:r>
                </w:p>
              </w:tc>
              <w:tc>
                <w:tcPr>
                  <w:tcW w:w="816" w:type="pct"/>
                  <w:tcBorders>
                    <w:tl2br w:val="nil"/>
                    <w:tr2bl w:val="nil"/>
                  </w:tcBorders>
                  <w:shd w:val="clear" w:color="auto" w:fill="auto"/>
                  <w:vAlign w:val="center"/>
                </w:tcPr>
                <w:p w14:paraId="129FB74C">
                  <w:pPr>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Cs w:val="21"/>
                      <w:highlight w:val="none"/>
                      <w:lang w:val="en-US" w:eastAsia="zh-CN"/>
                    </w:rPr>
                    <w:t>32</w:t>
                  </w:r>
                  <w:r>
                    <w:rPr>
                      <w:rFonts w:cs="Times New Roman"/>
                      <w:color w:val="auto"/>
                      <w:szCs w:val="21"/>
                      <w:highlight w:val="none"/>
                    </w:rPr>
                    <w:t>户、</w:t>
                  </w:r>
                  <w:r>
                    <w:rPr>
                      <w:rFonts w:hint="eastAsia" w:cs="Times New Roman"/>
                      <w:color w:val="auto"/>
                      <w:szCs w:val="21"/>
                      <w:highlight w:val="none"/>
                      <w:lang w:val="en-US" w:eastAsia="zh-CN"/>
                    </w:rPr>
                    <w:t>100</w:t>
                  </w:r>
                  <w:r>
                    <w:rPr>
                      <w:rFonts w:cs="Times New Roman"/>
                      <w:color w:val="auto"/>
                      <w:szCs w:val="21"/>
                      <w:highlight w:val="none"/>
                    </w:rPr>
                    <w:t>人</w:t>
                  </w:r>
                </w:p>
              </w:tc>
              <w:tc>
                <w:tcPr>
                  <w:tcW w:w="466" w:type="pct"/>
                  <w:tcBorders>
                    <w:tl2br w:val="nil"/>
                    <w:tr2bl w:val="nil"/>
                  </w:tcBorders>
                  <w:shd w:val="clear" w:color="auto" w:fill="auto"/>
                  <w:vAlign w:val="center"/>
                </w:tcPr>
                <w:p w14:paraId="19F2F525">
                  <w:pPr>
                    <w:jc w:val="center"/>
                    <w:rPr>
                      <w:rFonts w:ascii="Times New Roman" w:hAnsi="Times New Roman" w:eastAsia="宋体" w:cs="Times New Roman"/>
                      <w:color w:val="auto"/>
                      <w:kern w:val="2"/>
                      <w:sz w:val="21"/>
                      <w:szCs w:val="21"/>
                      <w:lang w:val="en-US" w:eastAsia="zh-CN" w:bidi="ar-SA"/>
                    </w:rPr>
                  </w:pPr>
                  <w:r>
                    <w:rPr>
                      <w:rFonts w:cs="Times New Roman"/>
                      <w:color w:val="auto"/>
                      <w:szCs w:val="21"/>
                    </w:rPr>
                    <w:t>居民</w:t>
                  </w:r>
                </w:p>
              </w:tc>
              <w:tc>
                <w:tcPr>
                  <w:tcW w:w="1058" w:type="pct"/>
                  <w:vMerge w:val="continue"/>
                  <w:tcBorders>
                    <w:tl2br w:val="nil"/>
                    <w:tr2bl w:val="nil"/>
                  </w:tcBorders>
                  <w:vAlign w:val="center"/>
                </w:tcPr>
                <w:p w14:paraId="785481BE">
                  <w:pPr>
                    <w:jc w:val="center"/>
                    <w:rPr>
                      <w:rFonts w:cs="Times New Roman"/>
                      <w:color w:val="auto"/>
                      <w:szCs w:val="21"/>
                    </w:rPr>
                  </w:pPr>
                </w:p>
              </w:tc>
            </w:tr>
          </w:tbl>
          <w:p w14:paraId="0AC4A665">
            <w:pPr>
              <w:spacing w:line="360" w:lineRule="auto"/>
              <w:ind w:firstLine="482" w:firstLineChars="200"/>
              <w:rPr>
                <w:rFonts w:cs="Times New Roman"/>
                <w:b/>
                <w:color w:val="auto"/>
                <w:sz w:val="24"/>
                <w:szCs w:val="24"/>
              </w:rPr>
            </w:pPr>
            <w:r>
              <w:rPr>
                <w:rFonts w:cs="Times New Roman"/>
                <w:b/>
                <w:color w:val="auto"/>
                <w:sz w:val="24"/>
                <w:szCs w:val="24"/>
              </w:rPr>
              <w:t>2、声环境</w:t>
            </w:r>
          </w:p>
          <w:p w14:paraId="0BFBA3A1">
            <w:pPr>
              <w:spacing w:line="360" w:lineRule="auto"/>
              <w:ind w:firstLine="480" w:firstLineChars="200"/>
              <w:rPr>
                <w:rFonts w:cs="Times New Roman"/>
                <w:color w:val="auto"/>
                <w:sz w:val="24"/>
                <w:szCs w:val="24"/>
              </w:rPr>
            </w:pPr>
            <w:r>
              <w:rPr>
                <w:rFonts w:cs="Times New Roman"/>
                <w:color w:val="auto"/>
                <w:sz w:val="24"/>
                <w:szCs w:val="24"/>
              </w:rPr>
              <w:t>根据现场踏勘，项目</w:t>
            </w:r>
            <w:r>
              <w:rPr>
                <w:rFonts w:hint="eastAsia" w:cs="Times New Roman"/>
                <w:color w:val="auto"/>
                <w:sz w:val="24"/>
                <w:szCs w:val="24"/>
                <w:lang w:eastAsia="zh-CN"/>
              </w:rPr>
              <w:t>厂界外</w:t>
            </w:r>
            <w:r>
              <w:rPr>
                <w:rFonts w:cs="Times New Roman"/>
                <w:color w:val="auto"/>
                <w:sz w:val="24"/>
                <w:szCs w:val="24"/>
              </w:rPr>
              <w:t>50m范围内无声环境保护目标。</w:t>
            </w:r>
          </w:p>
          <w:p w14:paraId="1538C52E">
            <w:pPr>
              <w:spacing w:line="360" w:lineRule="auto"/>
              <w:ind w:firstLine="482" w:firstLineChars="200"/>
              <w:rPr>
                <w:rFonts w:cs="Times New Roman"/>
                <w:b/>
                <w:bCs/>
                <w:color w:val="auto"/>
                <w:sz w:val="24"/>
                <w:szCs w:val="24"/>
              </w:rPr>
            </w:pPr>
            <w:r>
              <w:rPr>
                <w:rFonts w:cs="Times New Roman"/>
                <w:b/>
                <w:bCs/>
                <w:color w:val="auto"/>
                <w:sz w:val="24"/>
                <w:szCs w:val="24"/>
              </w:rPr>
              <w:t>3、地表水环境</w:t>
            </w:r>
          </w:p>
          <w:p w14:paraId="0A26DEA0">
            <w:pPr>
              <w:spacing w:line="360" w:lineRule="auto"/>
              <w:jc w:val="center"/>
              <w:rPr>
                <w:rFonts w:cs="Times New Roman"/>
                <w:b/>
                <w:bCs/>
                <w:color w:val="auto"/>
                <w:sz w:val="21"/>
                <w:szCs w:val="21"/>
              </w:rPr>
            </w:pPr>
            <w:r>
              <w:rPr>
                <w:rFonts w:cs="Times New Roman"/>
                <w:b/>
                <w:bCs/>
                <w:color w:val="auto"/>
                <w:sz w:val="21"/>
                <w:szCs w:val="21"/>
              </w:rPr>
              <w:t>表3-</w:t>
            </w:r>
            <w:r>
              <w:rPr>
                <w:rFonts w:hint="eastAsia" w:cs="Times New Roman"/>
                <w:b/>
                <w:bCs/>
                <w:color w:val="auto"/>
                <w:sz w:val="21"/>
                <w:szCs w:val="21"/>
                <w:lang w:val="en-US" w:eastAsia="zh-CN"/>
              </w:rPr>
              <w:t>4</w:t>
            </w:r>
            <w:r>
              <w:rPr>
                <w:rFonts w:cs="Times New Roman"/>
                <w:b/>
                <w:bCs/>
                <w:color w:val="auto"/>
                <w:sz w:val="21"/>
                <w:szCs w:val="21"/>
              </w:rPr>
              <w:t xml:space="preserve">  运营期水环境保护目标</w:t>
            </w:r>
          </w:p>
          <w:tbl>
            <w:tblPr>
              <w:tblStyle w:val="24"/>
              <w:tblW w:w="8758"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139"/>
              <w:gridCol w:w="1467"/>
              <w:gridCol w:w="1447"/>
              <w:gridCol w:w="1118"/>
              <w:gridCol w:w="3587"/>
            </w:tblGrid>
            <w:tr w14:paraId="47BBD94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650" w:type="pct"/>
                  <w:tcBorders>
                    <w:tl2br w:val="nil"/>
                    <w:tr2bl w:val="nil"/>
                  </w:tcBorders>
                  <w:shd w:val="clear" w:color="auto" w:fill="auto"/>
                  <w:vAlign w:val="center"/>
                </w:tcPr>
                <w:p w14:paraId="4EB7919D">
                  <w:pPr>
                    <w:jc w:val="center"/>
                    <w:rPr>
                      <w:rFonts w:cs="Times New Roman"/>
                      <w:b/>
                      <w:bCs/>
                      <w:color w:val="auto"/>
                      <w:szCs w:val="21"/>
                    </w:rPr>
                  </w:pPr>
                  <w:r>
                    <w:rPr>
                      <w:rFonts w:cs="Times New Roman"/>
                      <w:b/>
                      <w:bCs/>
                      <w:color w:val="auto"/>
                      <w:szCs w:val="21"/>
                    </w:rPr>
                    <w:t>环境要素</w:t>
                  </w:r>
                </w:p>
              </w:tc>
              <w:tc>
                <w:tcPr>
                  <w:tcW w:w="837" w:type="pct"/>
                  <w:tcBorders>
                    <w:tl2br w:val="nil"/>
                    <w:tr2bl w:val="nil"/>
                  </w:tcBorders>
                  <w:shd w:val="clear" w:color="auto" w:fill="auto"/>
                  <w:vAlign w:val="center"/>
                </w:tcPr>
                <w:p w14:paraId="5CCFCE32">
                  <w:pPr>
                    <w:jc w:val="center"/>
                    <w:rPr>
                      <w:rFonts w:cs="Times New Roman"/>
                      <w:b/>
                      <w:bCs/>
                      <w:color w:val="auto"/>
                      <w:szCs w:val="21"/>
                    </w:rPr>
                  </w:pPr>
                  <w:r>
                    <w:rPr>
                      <w:rFonts w:cs="Times New Roman"/>
                      <w:b/>
                      <w:bCs/>
                      <w:color w:val="auto"/>
                      <w:szCs w:val="21"/>
                    </w:rPr>
                    <w:t>名称</w:t>
                  </w:r>
                </w:p>
              </w:tc>
              <w:tc>
                <w:tcPr>
                  <w:tcW w:w="826" w:type="pct"/>
                  <w:tcBorders>
                    <w:tl2br w:val="nil"/>
                    <w:tr2bl w:val="nil"/>
                  </w:tcBorders>
                  <w:shd w:val="clear" w:color="auto" w:fill="auto"/>
                  <w:vAlign w:val="center"/>
                </w:tcPr>
                <w:p w14:paraId="03FF0107">
                  <w:pPr>
                    <w:jc w:val="center"/>
                    <w:rPr>
                      <w:rFonts w:cs="Times New Roman"/>
                      <w:b/>
                      <w:bCs/>
                      <w:color w:val="auto"/>
                      <w:szCs w:val="21"/>
                    </w:rPr>
                  </w:pPr>
                  <w:r>
                    <w:rPr>
                      <w:rFonts w:cs="Times New Roman"/>
                      <w:b/>
                      <w:bCs/>
                      <w:color w:val="auto"/>
                      <w:szCs w:val="21"/>
                    </w:rPr>
                    <w:t>方位</w:t>
                  </w:r>
                </w:p>
              </w:tc>
              <w:tc>
                <w:tcPr>
                  <w:tcW w:w="638" w:type="pct"/>
                  <w:tcBorders>
                    <w:tl2br w:val="nil"/>
                    <w:tr2bl w:val="nil"/>
                  </w:tcBorders>
                  <w:shd w:val="clear" w:color="auto" w:fill="auto"/>
                  <w:vAlign w:val="center"/>
                </w:tcPr>
                <w:p w14:paraId="01F8816A">
                  <w:pPr>
                    <w:jc w:val="center"/>
                    <w:rPr>
                      <w:rFonts w:cs="Times New Roman"/>
                      <w:b/>
                      <w:bCs/>
                      <w:color w:val="auto"/>
                      <w:szCs w:val="21"/>
                    </w:rPr>
                  </w:pPr>
                  <w:r>
                    <w:rPr>
                      <w:rFonts w:cs="Times New Roman"/>
                      <w:b/>
                      <w:bCs/>
                      <w:color w:val="auto"/>
                      <w:szCs w:val="21"/>
                    </w:rPr>
                    <w:t>距离</w:t>
                  </w:r>
                </w:p>
              </w:tc>
              <w:tc>
                <w:tcPr>
                  <w:tcW w:w="2047" w:type="pct"/>
                  <w:tcBorders>
                    <w:tl2br w:val="nil"/>
                    <w:tr2bl w:val="nil"/>
                  </w:tcBorders>
                  <w:shd w:val="clear" w:color="auto" w:fill="auto"/>
                  <w:vAlign w:val="center"/>
                </w:tcPr>
                <w:p w14:paraId="78EFC0E4">
                  <w:pPr>
                    <w:jc w:val="center"/>
                    <w:rPr>
                      <w:rFonts w:cs="Times New Roman"/>
                      <w:b/>
                      <w:bCs/>
                      <w:color w:val="auto"/>
                      <w:szCs w:val="21"/>
                    </w:rPr>
                  </w:pPr>
                  <w:r>
                    <w:rPr>
                      <w:rFonts w:cs="Times New Roman"/>
                      <w:b/>
                      <w:bCs/>
                      <w:color w:val="auto"/>
                      <w:szCs w:val="21"/>
                    </w:rPr>
                    <w:t>保护要求</w:t>
                  </w:r>
                </w:p>
              </w:tc>
            </w:tr>
            <w:tr w14:paraId="09A7685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5" w:hRule="atLeast"/>
                <w:jc w:val="center"/>
              </w:trPr>
              <w:tc>
                <w:tcPr>
                  <w:tcW w:w="650" w:type="pct"/>
                  <w:tcBorders>
                    <w:tl2br w:val="nil"/>
                    <w:tr2bl w:val="nil"/>
                  </w:tcBorders>
                  <w:shd w:val="clear" w:color="auto" w:fill="auto"/>
                  <w:vAlign w:val="center"/>
                </w:tcPr>
                <w:p w14:paraId="105973D5">
                  <w:pPr>
                    <w:jc w:val="center"/>
                    <w:rPr>
                      <w:rFonts w:cs="Times New Roman"/>
                      <w:color w:val="auto"/>
                      <w:szCs w:val="21"/>
                    </w:rPr>
                  </w:pPr>
                  <w:r>
                    <w:rPr>
                      <w:rFonts w:cs="Times New Roman"/>
                      <w:color w:val="auto"/>
                      <w:szCs w:val="21"/>
                    </w:rPr>
                    <w:t>地表水</w:t>
                  </w:r>
                </w:p>
              </w:tc>
              <w:tc>
                <w:tcPr>
                  <w:tcW w:w="837" w:type="pct"/>
                  <w:tcBorders>
                    <w:tl2br w:val="nil"/>
                    <w:tr2bl w:val="nil"/>
                  </w:tcBorders>
                  <w:shd w:val="clear" w:color="auto" w:fill="auto"/>
                  <w:vAlign w:val="center"/>
                </w:tcPr>
                <w:p w14:paraId="2893D08B">
                  <w:pPr>
                    <w:jc w:val="center"/>
                    <w:rPr>
                      <w:rFonts w:hint="eastAsia" w:eastAsia="宋体" w:cs="Times New Roman"/>
                      <w:color w:val="auto"/>
                      <w:szCs w:val="21"/>
                      <w:lang w:eastAsia="zh-CN"/>
                    </w:rPr>
                  </w:pPr>
                  <w:r>
                    <w:rPr>
                      <w:rFonts w:hint="eastAsia" w:cs="Times New Roman"/>
                      <w:color w:val="auto"/>
                      <w:szCs w:val="21"/>
                      <w:lang w:eastAsia="zh-CN"/>
                    </w:rPr>
                    <w:t>双龙河</w:t>
                  </w:r>
                </w:p>
              </w:tc>
              <w:tc>
                <w:tcPr>
                  <w:tcW w:w="826" w:type="pct"/>
                  <w:tcBorders>
                    <w:tl2br w:val="nil"/>
                    <w:tr2bl w:val="nil"/>
                  </w:tcBorders>
                  <w:shd w:val="clear" w:color="auto" w:fill="auto"/>
                  <w:vAlign w:val="center"/>
                </w:tcPr>
                <w:p w14:paraId="70B6B364">
                  <w:pPr>
                    <w:jc w:val="center"/>
                    <w:rPr>
                      <w:rFonts w:cs="Times New Roman"/>
                      <w:color w:val="auto"/>
                      <w:szCs w:val="21"/>
                    </w:rPr>
                  </w:pPr>
                  <w:r>
                    <w:rPr>
                      <w:rFonts w:hint="eastAsia" w:cs="Times New Roman"/>
                      <w:color w:val="auto"/>
                      <w:szCs w:val="21"/>
                      <w:lang w:eastAsia="zh-CN"/>
                    </w:rPr>
                    <w:t>西</w:t>
                  </w:r>
                  <w:r>
                    <w:rPr>
                      <w:rFonts w:cs="Times New Roman"/>
                      <w:color w:val="auto"/>
                      <w:szCs w:val="21"/>
                    </w:rPr>
                    <w:t>侧</w:t>
                  </w:r>
                </w:p>
              </w:tc>
              <w:tc>
                <w:tcPr>
                  <w:tcW w:w="638" w:type="pct"/>
                  <w:tcBorders>
                    <w:tl2br w:val="nil"/>
                    <w:tr2bl w:val="nil"/>
                  </w:tcBorders>
                  <w:shd w:val="clear" w:color="auto" w:fill="auto"/>
                  <w:vAlign w:val="center"/>
                </w:tcPr>
                <w:p w14:paraId="10327B27">
                  <w:pPr>
                    <w:jc w:val="center"/>
                    <w:rPr>
                      <w:rFonts w:cs="Times New Roman"/>
                      <w:color w:val="auto"/>
                      <w:szCs w:val="21"/>
                    </w:rPr>
                  </w:pPr>
                  <w:r>
                    <w:rPr>
                      <w:rFonts w:hint="eastAsia" w:cs="Times New Roman"/>
                      <w:color w:val="auto"/>
                      <w:szCs w:val="21"/>
                      <w:lang w:val="en-US" w:eastAsia="zh-CN"/>
                    </w:rPr>
                    <w:t>17</w:t>
                  </w:r>
                  <w:r>
                    <w:rPr>
                      <w:rFonts w:cs="Times New Roman"/>
                      <w:color w:val="auto"/>
                      <w:szCs w:val="21"/>
                    </w:rPr>
                    <w:t>0m</w:t>
                  </w:r>
                </w:p>
              </w:tc>
              <w:tc>
                <w:tcPr>
                  <w:tcW w:w="2047" w:type="pct"/>
                  <w:tcBorders>
                    <w:tl2br w:val="nil"/>
                    <w:tr2bl w:val="nil"/>
                  </w:tcBorders>
                  <w:shd w:val="clear" w:color="auto" w:fill="auto"/>
                  <w:vAlign w:val="center"/>
                </w:tcPr>
                <w:p w14:paraId="5D6453E0">
                  <w:pPr>
                    <w:jc w:val="center"/>
                    <w:rPr>
                      <w:rFonts w:cs="Times New Roman"/>
                      <w:color w:val="auto"/>
                      <w:szCs w:val="21"/>
                    </w:rPr>
                  </w:pPr>
                  <w:r>
                    <w:rPr>
                      <w:rFonts w:cs="Times New Roman"/>
                      <w:color w:val="auto"/>
                      <w:szCs w:val="21"/>
                    </w:rPr>
                    <w:t>《地表水环境质量标准》（GB3838-2002）Ⅲ类标准</w:t>
                  </w:r>
                </w:p>
              </w:tc>
            </w:tr>
          </w:tbl>
          <w:p w14:paraId="46712345">
            <w:pPr>
              <w:spacing w:line="360" w:lineRule="auto"/>
              <w:ind w:firstLine="482" w:firstLineChars="200"/>
              <w:rPr>
                <w:rFonts w:cs="Times New Roman"/>
                <w:b/>
                <w:color w:val="auto"/>
                <w:sz w:val="24"/>
                <w:szCs w:val="24"/>
              </w:rPr>
            </w:pPr>
            <w:r>
              <w:rPr>
                <w:rFonts w:cs="Times New Roman"/>
                <w:b/>
                <w:color w:val="auto"/>
                <w:sz w:val="24"/>
                <w:szCs w:val="24"/>
              </w:rPr>
              <w:t>4、地下水环境</w:t>
            </w:r>
          </w:p>
          <w:p w14:paraId="77F0CE47">
            <w:pPr>
              <w:spacing w:line="360" w:lineRule="auto"/>
              <w:ind w:firstLine="480" w:firstLineChars="200"/>
              <w:rPr>
                <w:rFonts w:cs="Times New Roman"/>
                <w:color w:val="auto"/>
                <w:sz w:val="24"/>
                <w:szCs w:val="24"/>
              </w:rPr>
            </w:pPr>
            <w:r>
              <w:rPr>
                <w:rFonts w:cs="Times New Roman"/>
                <w:color w:val="auto"/>
                <w:sz w:val="24"/>
                <w:szCs w:val="24"/>
              </w:rPr>
              <w:t>本项目厂界外500m范围内无地下水集中式饮用水水源和热水、矿泉水、温泉等特殊地下水资源。</w:t>
            </w:r>
          </w:p>
          <w:p w14:paraId="687975B5">
            <w:pPr>
              <w:spacing w:line="360" w:lineRule="auto"/>
              <w:ind w:firstLine="482" w:firstLineChars="200"/>
              <w:rPr>
                <w:rFonts w:cs="Times New Roman"/>
                <w:b/>
                <w:color w:val="auto"/>
                <w:sz w:val="24"/>
                <w:szCs w:val="24"/>
              </w:rPr>
            </w:pPr>
            <w:r>
              <w:rPr>
                <w:rFonts w:cs="Times New Roman"/>
                <w:b/>
                <w:color w:val="auto"/>
                <w:sz w:val="24"/>
                <w:szCs w:val="24"/>
              </w:rPr>
              <w:t>5、生态环境</w:t>
            </w:r>
          </w:p>
          <w:p w14:paraId="6D759686">
            <w:pPr>
              <w:spacing w:line="360" w:lineRule="auto"/>
              <w:ind w:firstLine="480" w:firstLineChars="200"/>
              <w:rPr>
                <w:rFonts w:cs="Times New Roman"/>
                <w:b/>
                <w:color w:val="auto"/>
                <w:sz w:val="24"/>
                <w:szCs w:val="24"/>
              </w:rPr>
            </w:pPr>
            <w:r>
              <w:rPr>
                <w:rFonts w:cs="Times New Roman"/>
                <w:color w:val="auto"/>
                <w:sz w:val="24"/>
                <w:szCs w:val="24"/>
              </w:rPr>
              <w:t>根据现场调查，项目区域内不涉及自然保护区、森林公园及风景名胜区、生活饮用水水源保护区及其他需要特别保护区域，区域内无国家保护的重点野生动植物，无名木古树及珍稀动植物等，无特殊文物保护单位。</w:t>
            </w:r>
          </w:p>
        </w:tc>
      </w:tr>
      <w:tr w14:paraId="3BBEDF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844" w:type="dxa"/>
            <w:vAlign w:val="center"/>
          </w:tcPr>
          <w:p w14:paraId="66DBA0F6">
            <w:pPr>
              <w:jc w:val="center"/>
              <w:rPr>
                <w:rFonts w:cs="Times New Roman"/>
                <w:color w:val="auto"/>
                <w:sz w:val="24"/>
                <w:szCs w:val="24"/>
              </w:rPr>
            </w:pPr>
            <w:r>
              <w:rPr>
                <w:rFonts w:cs="Times New Roman"/>
                <w:color w:val="auto"/>
                <w:sz w:val="24"/>
                <w:szCs w:val="24"/>
              </w:rPr>
              <w:t>污染</w:t>
            </w:r>
          </w:p>
          <w:p w14:paraId="094F73A5">
            <w:pPr>
              <w:jc w:val="center"/>
              <w:rPr>
                <w:rFonts w:cs="Times New Roman"/>
                <w:color w:val="auto"/>
                <w:sz w:val="24"/>
                <w:szCs w:val="24"/>
              </w:rPr>
            </w:pPr>
            <w:r>
              <w:rPr>
                <w:rFonts w:cs="Times New Roman"/>
                <w:color w:val="auto"/>
                <w:sz w:val="24"/>
                <w:szCs w:val="24"/>
              </w:rPr>
              <w:t>物排</w:t>
            </w:r>
          </w:p>
          <w:p w14:paraId="7893525C">
            <w:pPr>
              <w:jc w:val="center"/>
              <w:rPr>
                <w:rFonts w:cs="Times New Roman"/>
                <w:color w:val="auto"/>
                <w:sz w:val="24"/>
                <w:szCs w:val="24"/>
              </w:rPr>
            </w:pPr>
            <w:r>
              <w:rPr>
                <w:rFonts w:cs="Times New Roman"/>
                <w:color w:val="auto"/>
                <w:sz w:val="24"/>
                <w:szCs w:val="24"/>
              </w:rPr>
              <w:t>放控</w:t>
            </w:r>
          </w:p>
          <w:p w14:paraId="34B47B55">
            <w:pPr>
              <w:jc w:val="center"/>
              <w:rPr>
                <w:rFonts w:cs="Times New Roman"/>
                <w:color w:val="auto"/>
                <w:sz w:val="24"/>
                <w:szCs w:val="24"/>
              </w:rPr>
            </w:pPr>
            <w:r>
              <w:rPr>
                <w:rFonts w:cs="Times New Roman"/>
                <w:color w:val="auto"/>
                <w:sz w:val="24"/>
                <w:szCs w:val="24"/>
              </w:rPr>
              <w:t>制标</w:t>
            </w:r>
          </w:p>
          <w:p w14:paraId="0A84FC79">
            <w:pPr>
              <w:jc w:val="center"/>
              <w:rPr>
                <w:rFonts w:cs="Times New Roman"/>
                <w:color w:val="auto"/>
                <w:sz w:val="24"/>
                <w:szCs w:val="24"/>
              </w:rPr>
            </w:pPr>
            <w:r>
              <w:rPr>
                <w:rFonts w:cs="Times New Roman"/>
                <w:color w:val="auto"/>
                <w:sz w:val="24"/>
                <w:szCs w:val="24"/>
              </w:rPr>
              <w:t>准</w:t>
            </w:r>
          </w:p>
        </w:tc>
        <w:tc>
          <w:tcPr>
            <w:tcW w:w="8811" w:type="dxa"/>
            <w:vAlign w:val="center"/>
          </w:tcPr>
          <w:p w14:paraId="7F325765">
            <w:pPr>
              <w:spacing w:line="360" w:lineRule="auto"/>
              <w:ind w:firstLine="482" w:firstLineChars="200"/>
              <w:rPr>
                <w:rFonts w:cs="Times New Roman"/>
                <w:b/>
                <w:color w:val="auto"/>
                <w:sz w:val="24"/>
                <w:szCs w:val="24"/>
              </w:rPr>
            </w:pPr>
            <w:r>
              <w:rPr>
                <w:rFonts w:cs="Times New Roman"/>
                <w:b/>
                <w:color w:val="auto"/>
                <w:sz w:val="24"/>
                <w:szCs w:val="24"/>
              </w:rPr>
              <w:t>1、废气</w:t>
            </w:r>
          </w:p>
          <w:p w14:paraId="6AF18EF6">
            <w:pPr>
              <w:spacing w:line="360" w:lineRule="auto"/>
              <w:ind w:firstLine="480" w:firstLineChars="200"/>
              <w:rPr>
                <w:rFonts w:cs="Times New Roman"/>
                <w:color w:val="auto"/>
                <w:sz w:val="24"/>
                <w:szCs w:val="24"/>
              </w:rPr>
            </w:pPr>
            <w:r>
              <w:rPr>
                <w:rFonts w:cs="Times New Roman"/>
                <w:color w:val="auto"/>
                <w:sz w:val="24"/>
                <w:szCs w:val="24"/>
              </w:rPr>
              <w:t>施工期扬尘执行《四川省施工场地扬尘排放标准》（DB51/2682-2020）；运营期执行《大气污染物综合排放标准》（GB16297-1996）表2无组织排放限值；运营期食堂油烟执行《饮食业油烟排放标准》（GB18483-2001）小型规模标准。</w:t>
            </w:r>
          </w:p>
          <w:p w14:paraId="16AEDAD0">
            <w:pPr>
              <w:spacing w:line="360" w:lineRule="auto"/>
              <w:jc w:val="center"/>
              <w:rPr>
                <w:rFonts w:cs="Times New Roman"/>
                <w:b/>
                <w:bCs/>
                <w:color w:val="auto"/>
                <w:sz w:val="21"/>
                <w:szCs w:val="21"/>
              </w:rPr>
            </w:pPr>
            <w:r>
              <w:rPr>
                <w:rFonts w:cs="Times New Roman"/>
                <w:b/>
                <w:bCs/>
                <w:color w:val="auto"/>
                <w:sz w:val="21"/>
                <w:szCs w:val="21"/>
              </w:rPr>
              <w:t>表3-</w:t>
            </w:r>
            <w:r>
              <w:rPr>
                <w:rFonts w:hint="eastAsia" w:cs="Times New Roman"/>
                <w:b/>
                <w:bCs/>
                <w:color w:val="auto"/>
                <w:sz w:val="21"/>
                <w:szCs w:val="21"/>
                <w:lang w:val="en-US" w:eastAsia="zh-CN"/>
              </w:rPr>
              <w:t>5</w:t>
            </w:r>
            <w:r>
              <w:rPr>
                <w:rFonts w:cs="Times New Roman"/>
                <w:b/>
                <w:bCs/>
                <w:color w:val="auto"/>
                <w:sz w:val="21"/>
                <w:szCs w:val="21"/>
              </w:rPr>
              <w:t xml:space="preserve">  施工场地扬尘排放限值</w:t>
            </w:r>
          </w:p>
          <w:tbl>
            <w:tblPr>
              <w:tblStyle w:val="24"/>
              <w:tblW w:w="8637"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83"/>
              <w:gridCol w:w="1574"/>
              <w:gridCol w:w="2180"/>
              <w:gridCol w:w="2763"/>
              <w:gridCol w:w="1337"/>
            </w:tblGrid>
            <w:tr w14:paraId="2D5029E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0" w:hRule="atLeast"/>
                <w:tblHeader/>
                <w:jc w:val="center"/>
              </w:trPr>
              <w:tc>
                <w:tcPr>
                  <w:tcW w:w="783" w:type="dxa"/>
                  <w:tcBorders>
                    <w:tl2br w:val="nil"/>
                    <w:tr2bl w:val="nil"/>
                  </w:tcBorders>
                  <w:vAlign w:val="center"/>
                </w:tcPr>
                <w:p w14:paraId="20DC3AAE">
                  <w:pPr>
                    <w:jc w:val="center"/>
                    <w:rPr>
                      <w:rFonts w:cs="Times New Roman"/>
                      <w:b/>
                      <w:bCs/>
                      <w:color w:val="auto"/>
                      <w:szCs w:val="21"/>
                    </w:rPr>
                  </w:pPr>
                  <w:r>
                    <w:rPr>
                      <w:rFonts w:cs="Times New Roman"/>
                      <w:b/>
                      <w:bCs/>
                      <w:color w:val="auto"/>
                      <w:szCs w:val="21"/>
                    </w:rPr>
                    <w:t>序号</w:t>
                  </w:r>
                </w:p>
              </w:tc>
              <w:tc>
                <w:tcPr>
                  <w:tcW w:w="1574" w:type="dxa"/>
                  <w:tcBorders>
                    <w:tl2br w:val="nil"/>
                    <w:tr2bl w:val="nil"/>
                  </w:tcBorders>
                  <w:vAlign w:val="center"/>
                </w:tcPr>
                <w:p w14:paraId="6A75A9C5">
                  <w:pPr>
                    <w:jc w:val="center"/>
                    <w:rPr>
                      <w:rFonts w:cs="Times New Roman"/>
                      <w:b/>
                      <w:bCs/>
                      <w:color w:val="auto"/>
                      <w:szCs w:val="21"/>
                    </w:rPr>
                  </w:pPr>
                  <w:r>
                    <w:rPr>
                      <w:rFonts w:cs="Times New Roman"/>
                      <w:b/>
                      <w:bCs/>
                      <w:color w:val="auto"/>
                      <w:szCs w:val="21"/>
                    </w:rPr>
                    <w:t>污染物</w:t>
                  </w:r>
                </w:p>
              </w:tc>
              <w:tc>
                <w:tcPr>
                  <w:tcW w:w="2180" w:type="dxa"/>
                  <w:tcBorders>
                    <w:tl2br w:val="nil"/>
                    <w:tr2bl w:val="nil"/>
                  </w:tcBorders>
                  <w:vAlign w:val="center"/>
                </w:tcPr>
                <w:p w14:paraId="26A80BBC">
                  <w:pPr>
                    <w:jc w:val="center"/>
                    <w:rPr>
                      <w:rFonts w:cs="Times New Roman"/>
                      <w:b/>
                      <w:bCs/>
                      <w:color w:val="auto"/>
                      <w:szCs w:val="21"/>
                    </w:rPr>
                  </w:pPr>
                  <w:r>
                    <w:rPr>
                      <w:rFonts w:cs="Times New Roman"/>
                      <w:b/>
                      <w:bCs/>
                      <w:color w:val="auto"/>
                      <w:szCs w:val="21"/>
                    </w:rPr>
                    <w:t>施工阶段</w:t>
                  </w:r>
                </w:p>
              </w:tc>
              <w:tc>
                <w:tcPr>
                  <w:tcW w:w="2763" w:type="dxa"/>
                  <w:tcBorders>
                    <w:tl2br w:val="nil"/>
                    <w:tr2bl w:val="nil"/>
                  </w:tcBorders>
                  <w:vAlign w:val="center"/>
                </w:tcPr>
                <w:p w14:paraId="5EB50B75">
                  <w:pPr>
                    <w:jc w:val="center"/>
                    <w:rPr>
                      <w:rFonts w:cs="Times New Roman"/>
                      <w:b/>
                      <w:bCs/>
                      <w:color w:val="auto"/>
                      <w:szCs w:val="21"/>
                    </w:rPr>
                  </w:pPr>
                  <w:r>
                    <w:rPr>
                      <w:rFonts w:cs="Times New Roman"/>
                      <w:b/>
                      <w:bCs/>
                      <w:color w:val="auto"/>
                      <w:szCs w:val="21"/>
                    </w:rPr>
                    <w:t>监测点排放限值（mg/m</w:t>
                  </w:r>
                  <w:r>
                    <w:rPr>
                      <w:rFonts w:cs="Times New Roman"/>
                      <w:b/>
                      <w:bCs/>
                      <w:color w:val="auto"/>
                      <w:szCs w:val="21"/>
                      <w:vertAlign w:val="superscript"/>
                    </w:rPr>
                    <w:t>3</w:t>
                  </w:r>
                  <w:r>
                    <w:rPr>
                      <w:rFonts w:cs="Times New Roman"/>
                      <w:b/>
                      <w:bCs/>
                      <w:color w:val="auto"/>
                      <w:szCs w:val="21"/>
                    </w:rPr>
                    <w:t>）</w:t>
                  </w:r>
                </w:p>
              </w:tc>
              <w:tc>
                <w:tcPr>
                  <w:tcW w:w="1337" w:type="dxa"/>
                  <w:tcBorders>
                    <w:tl2br w:val="nil"/>
                    <w:tr2bl w:val="nil"/>
                  </w:tcBorders>
                  <w:vAlign w:val="center"/>
                </w:tcPr>
                <w:p w14:paraId="210AE9EA">
                  <w:pPr>
                    <w:jc w:val="center"/>
                    <w:rPr>
                      <w:rFonts w:cs="Times New Roman"/>
                      <w:b/>
                      <w:bCs/>
                      <w:color w:val="auto"/>
                      <w:szCs w:val="21"/>
                    </w:rPr>
                  </w:pPr>
                  <w:r>
                    <w:rPr>
                      <w:rFonts w:cs="Times New Roman"/>
                      <w:b/>
                      <w:bCs/>
                      <w:color w:val="auto"/>
                      <w:szCs w:val="21"/>
                    </w:rPr>
                    <w:t>监测时间</w:t>
                  </w:r>
                </w:p>
              </w:tc>
            </w:tr>
            <w:tr w14:paraId="4072DF3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1" w:hRule="atLeast"/>
                <w:jc w:val="center"/>
              </w:trPr>
              <w:tc>
                <w:tcPr>
                  <w:tcW w:w="783" w:type="dxa"/>
                  <w:vMerge w:val="restart"/>
                  <w:tcBorders>
                    <w:tl2br w:val="nil"/>
                    <w:tr2bl w:val="nil"/>
                  </w:tcBorders>
                  <w:vAlign w:val="center"/>
                </w:tcPr>
                <w:p w14:paraId="165EE4B7">
                  <w:pPr>
                    <w:jc w:val="center"/>
                    <w:rPr>
                      <w:rFonts w:cs="Times New Roman"/>
                      <w:color w:val="auto"/>
                      <w:szCs w:val="21"/>
                    </w:rPr>
                  </w:pPr>
                  <w:r>
                    <w:rPr>
                      <w:rFonts w:cs="Times New Roman"/>
                      <w:color w:val="auto"/>
                      <w:szCs w:val="21"/>
                    </w:rPr>
                    <w:t>1</w:t>
                  </w:r>
                </w:p>
              </w:tc>
              <w:tc>
                <w:tcPr>
                  <w:tcW w:w="1574" w:type="dxa"/>
                  <w:vMerge w:val="restart"/>
                  <w:tcBorders>
                    <w:tl2br w:val="nil"/>
                    <w:tr2bl w:val="nil"/>
                  </w:tcBorders>
                  <w:vAlign w:val="center"/>
                </w:tcPr>
                <w:p w14:paraId="1740F956">
                  <w:pPr>
                    <w:jc w:val="center"/>
                    <w:rPr>
                      <w:rFonts w:cs="Times New Roman"/>
                      <w:color w:val="auto"/>
                      <w:szCs w:val="21"/>
                    </w:rPr>
                  </w:pPr>
                  <w:r>
                    <w:rPr>
                      <w:rFonts w:cs="Times New Roman"/>
                      <w:color w:val="auto"/>
                      <w:szCs w:val="21"/>
                    </w:rPr>
                    <w:t>总悬浮颗粒物（TSP）</w:t>
                  </w:r>
                </w:p>
              </w:tc>
              <w:tc>
                <w:tcPr>
                  <w:tcW w:w="2180" w:type="dxa"/>
                  <w:tcBorders>
                    <w:tl2br w:val="nil"/>
                    <w:tr2bl w:val="nil"/>
                  </w:tcBorders>
                  <w:vAlign w:val="center"/>
                </w:tcPr>
                <w:p w14:paraId="39FCAAE0">
                  <w:pPr>
                    <w:jc w:val="center"/>
                    <w:rPr>
                      <w:rFonts w:cs="Times New Roman"/>
                      <w:color w:val="auto"/>
                      <w:szCs w:val="21"/>
                    </w:rPr>
                  </w:pPr>
                  <w:r>
                    <w:rPr>
                      <w:rFonts w:cs="Times New Roman"/>
                      <w:color w:val="auto"/>
                      <w:szCs w:val="21"/>
                    </w:rPr>
                    <w:t>拆除过程/土方开挖/土方回填</w:t>
                  </w:r>
                </w:p>
              </w:tc>
              <w:tc>
                <w:tcPr>
                  <w:tcW w:w="2763" w:type="dxa"/>
                  <w:tcBorders>
                    <w:tl2br w:val="nil"/>
                    <w:tr2bl w:val="nil"/>
                  </w:tcBorders>
                  <w:vAlign w:val="center"/>
                </w:tcPr>
                <w:p w14:paraId="4A0BC4E2">
                  <w:pPr>
                    <w:jc w:val="center"/>
                    <w:rPr>
                      <w:rFonts w:cs="Times New Roman"/>
                      <w:color w:val="auto"/>
                      <w:szCs w:val="21"/>
                    </w:rPr>
                  </w:pPr>
                  <w:r>
                    <w:rPr>
                      <w:rFonts w:cs="Times New Roman"/>
                      <w:color w:val="auto"/>
                      <w:szCs w:val="21"/>
                    </w:rPr>
                    <w:t>0.600</w:t>
                  </w:r>
                </w:p>
              </w:tc>
              <w:tc>
                <w:tcPr>
                  <w:tcW w:w="1337" w:type="dxa"/>
                  <w:vMerge w:val="restart"/>
                  <w:tcBorders>
                    <w:tl2br w:val="nil"/>
                    <w:tr2bl w:val="nil"/>
                  </w:tcBorders>
                  <w:vAlign w:val="center"/>
                </w:tcPr>
                <w:p w14:paraId="5885E5A1">
                  <w:pPr>
                    <w:jc w:val="center"/>
                    <w:rPr>
                      <w:rFonts w:cs="Times New Roman"/>
                      <w:color w:val="auto"/>
                      <w:szCs w:val="21"/>
                    </w:rPr>
                  </w:pPr>
                  <w:r>
                    <w:rPr>
                      <w:rFonts w:cs="Times New Roman"/>
                      <w:color w:val="auto"/>
                      <w:szCs w:val="21"/>
                    </w:rPr>
                    <w:t>自监测起持续15min</w:t>
                  </w:r>
                </w:p>
              </w:tc>
            </w:tr>
            <w:tr w14:paraId="059A35D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783" w:type="dxa"/>
                  <w:vMerge w:val="continue"/>
                  <w:tcBorders>
                    <w:tl2br w:val="nil"/>
                    <w:tr2bl w:val="nil"/>
                  </w:tcBorders>
                  <w:vAlign w:val="center"/>
                </w:tcPr>
                <w:p w14:paraId="1F9CDC2F">
                  <w:pPr>
                    <w:jc w:val="center"/>
                    <w:rPr>
                      <w:rFonts w:cs="Times New Roman"/>
                      <w:color w:val="auto"/>
                      <w:szCs w:val="21"/>
                    </w:rPr>
                  </w:pPr>
                </w:p>
              </w:tc>
              <w:tc>
                <w:tcPr>
                  <w:tcW w:w="1574" w:type="dxa"/>
                  <w:vMerge w:val="continue"/>
                  <w:tcBorders>
                    <w:tl2br w:val="nil"/>
                    <w:tr2bl w:val="nil"/>
                  </w:tcBorders>
                  <w:vAlign w:val="center"/>
                </w:tcPr>
                <w:p w14:paraId="0EC8A30C">
                  <w:pPr>
                    <w:jc w:val="center"/>
                    <w:rPr>
                      <w:rFonts w:cs="Times New Roman"/>
                      <w:color w:val="auto"/>
                      <w:szCs w:val="21"/>
                    </w:rPr>
                  </w:pPr>
                </w:p>
              </w:tc>
              <w:tc>
                <w:tcPr>
                  <w:tcW w:w="2180" w:type="dxa"/>
                  <w:tcBorders>
                    <w:tl2br w:val="nil"/>
                    <w:tr2bl w:val="nil"/>
                  </w:tcBorders>
                  <w:vAlign w:val="center"/>
                </w:tcPr>
                <w:p w14:paraId="237C3ECF">
                  <w:pPr>
                    <w:jc w:val="center"/>
                    <w:rPr>
                      <w:rFonts w:cs="Times New Roman"/>
                      <w:color w:val="auto"/>
                      <w:szCs w:val="21"/>
                    </w:rPr>
                  </w:pPr>
                  <w:r>
                    <w:rPr>
                      <w:rFonts w:cs="Times New Roman"/>
                      <w:color w:val="auto"/>
                      <w:szCs w:val="21"/>
                    </w:rPr>
                    <w:t>其他过程阶段</w:t>
                  </w:r>
                </w:p>
              </w:tc>
              <w:tc>
                <w:tcPr>
                  <w:tcW w:w="2763" w:type="dxa"/>
                  <w:tcBorders>
                    <w:tl2br w:val="nil"/>
                    <w:tr2bl w:val="nil"/>
                  </w:tcBorders>
                  <w:vAlign w:val="center"/>
                </w:tcPr>
                <w:p w14:paraId="4A6E702E">
                  <w:pPr>
                    <w:jc w:val="center"/>
                    <w:rPr>
                      <w:rFonts w:cs="Times New Roman"/>
                      <w:color w:val="auto"/>
                      <w:szCs w:val="21"/>
                    </w:rPr>
                  </w:pPr>
                  <w:r>
                    <w:rPr>
                      <w:rFonts w:cs="Times New Roman"/>
                      <w:color w:val="auto"/>
                      <w:szCs w:val="21"/>
                    </w:rPr>
                    <w:t>0.250</w:t>
                  </w:r>
                </w:p>
              </w:tc>
              <w:tc>
                <w:tcPr>
                  <w:tcW w:w="1337" w:type="dxa"/>
                  <w:vMerge w:val="continue"/>
                  <w:tcBorders>
                    <w:tl2br w:val="nil"/>
                    <w:tr2bl w:val="nil"/>
                  </w:tcBorders>
                  <w:vAlign w:val="center"/>
                </w:tcPr>
                <w:p w14:paraId="1E689253">
                  <w:pPr>
                    <w:jc w:val="center"/>
                    <w:rPr>
                      <w:rFonts w:cs="Times New Roman"/>
                      <w:color w:val="auto"/>
                      <w:szCs w:val="21"/>
                    </w:rPr>
                  </w:pPr>
                </w:p>
              </w:tc>
            </w:tr>
          </w:tbl>
          <w:p w14:paraId="32624D18">
            <w:pPr>
              <w:spacing w:line="360" w:lineRule="auto"/>
              <w:jc w:val="center"/>
              <w:rPr>
                <w:rFonts w:cs="Times New Roman"/>
                <w:b/>
                <w:bCs/>
                <w:color w:val="auto"/>
                <w:sz w:val="21"/>
                <w:szCs w:val="21"/>
              </w:rPr>
            </w:pPr>
            <w:r>
              <w:rPr>
                <w:rFonts w:cs="Times New Roman"/>
                <w:b/>
                <w:bCs/>
                <w:color w:val="auto"/>
                <w:sz w:val="21"/>
                <w:szCs w:val="21"/>
              </w:rPr>
              <w:t>表3-</w:t>
            </w:r>
            <w:r>
              <w:rPr>
                <w:rFonts w:hint="eastAsia" w:cs="Times New Roman"/>
                <w:b/>
                <w:bCs/>
                <w:color w:val="auto"/>
                <w:sz w:val="21"/>
                <w:szCs w:val="21"/>
                <w:lang w:val="en-US" w:eastAsia="zh-CN"/>
              </w:rPr>
              <w:t>6</w:t>
            </w:r>
            <w:r>
              <w:rPr>
                <w:rFonts w:cs="Times New Roman"/>
                <w:b/>
                <w:bCs/>
                <w:color w:val="auto"/>
                <w:sz w:val="21"/>
                <w:szCs w:val="21"/>
              </w:rPr>
              <w:t xml:space="preserve"> 大气污染物综合排放标准</w:t>
            </w:r>
          </w:p>
          <w:tbl>
            <w:tblPr>
              <w:tblStyle w:val="24"/>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620"/>
              <w:gridCol w:w="3490"/>
              <w:gridCol w:w="3644"/>
            </w:tblGrid>
            <w:tr w14:paraId="5B9D11A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25" w:type="pct"/>
                  <w:tcBorders>
                    <w:tl2br w:val="nil"/>
                    <w:tr2bl w:val="nil"/>
                  </w:tcBorders>
                  <w:vAlign w:val="center"/>
                </w:tcPr>
                <w:p w14:paraId="247356EE">
                  <w:pPr>
                    <w:jc w:val="center"/>
                    <w:rPr>
                      <w:rFonts w:cs="Times New Roman"/>
                      <w:b/>
                      <w:bCs/>
                      <w:color w:val="auto"/>
                      <w:kern w:val="0"/>
                      <w:szCs w:val="21"/>
                    </w:rPr>
                  </w:pPr>
                  <w:r>
                    <w:rPr>
                      <w:rFonts w:cs="Times New Roman"/>
                      <w:b/>
                      <w:bCs/>
                      <w:color w:val="auto"/>
                      <w:kern w:val="0"/>
                      <w:szCs w:val="21"/>
                    </w:rPr>
                    <w:t>污染物名称</w:t>
                  </w:r>
                </w:p>
              </w:tc>
              <w:tc>
                <w:tcPr>
                  <w:tcW w:w="1993" w:type="pct"/>
                  <w:tcBorders>
                    <w:tl2br w:val="nil"/>
                    <w:tr2bl w:val="nil"/>
                  </w:tcBorders>
                  <w:vAlign w:val="center"/>
                </w:tcPr>
                <w:p w14:paraId="78B97B81">
                  <w:pPr>
                    <w:jc w:val="center"/>
                    <w:rPr>
                      <w:rFonts w:cs="Times New Roman"/>
                      <w:b/>
                      <w:bCs/>
                      <w:color w:val="auto"/>
                      <w:kern w:val="0"/>
                      <w:szCs w:val="21"/>
                    </w:rPr>
                  </w:pPr>
                  <w:r>
                    <w:rPr>
                      <w:rFonts w:cs="Times New Roman"/>
                      <w:b/>
                      <w:bCs/>
                      <w:color w:val="auto"/>
                      <w:kern w:val="0"/>
                      <w:szCs w:val="21"/>
                    </w:rPr>
                    <w:t>无组织排放监控浓度限值（mg/m</w:t>
                  </w:r>
                  <w:r>
                    <w:rPr>
                      <w:rFonts w:cs="Times New Roman"/>
                      <w:b/>
                      <w:bCs/>
                      <w:color w:val="auto"/>
                      <w:kern w:val="0"/>
                      <w:szCs w:val="21"/>
                      <w:vertAlign w:val="superscript"/>
                    </w:rPr>
                    <w:t>3</w:t>
                  </w:r>
                  <w:r>
                    <w:rPr>
                      <w:rFonts w:cs="Times New Roman"/>
                      <w:b/>
                      <w:bCs/>
                      <w:color w:val="auto"/>
                      <w:kern w:val="0"/>
                      <w:szCs w:val="21"/>
                    </w:rPr>
                    <w:t>）</w:t>
                  </w:r>
                </w:p>
              </w:tc>
              <w:tc>
                <w:tcPr>
                  <w:tcW w:w="2081" w:type="pct"/>
                  <w:tcBorders>
                    <w:tl2br w:val="nil"/>
                    <w:tr2bl w:val="nil"/>
                  </w:tcBorders>
                  <w:vAlign w:val="center"/>
                </w:tcPr>
                <w:p w14:paraId="12C5C4CD">
                  <w:pPr>
                    <w:jc w:val="center"/>
                    <w:rPr>
                      <w:rFonts w:cs="Times New Roman"/>
                      <w:b/>
                      <w:bCs/>
                      <w:color w:val="auto"/>
                      <w:kern w:val="0"/>
                      <w:szCs w:val="21"/>
                    </w:rPr>
                  </w:pPr>
                  <w:r>
                    <w:rPr>
                      <w:rFonts w:cs="Times New Roman"/>
                      <w:b/>
                      <w:bCs/>
                      <w:color w:val="auto"/>
                      <w:kern w:val="0"/>
                      <w:szCs w:val="21"/>
                    </w:rPr>
                    <w:t>依据</w:t>
                  </w:r>
                </w:p>
              </w:tc>
            </w:tr>
            <w:tr w14:paraId="1AF7A14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25" w:type="pct"/>
                  <w:tcBorders>
                    <w:tl2br w:val="nil"/>
                    <w:tr2bl w:val="nil"/>
                  </w:tcBorders>
                  <w:vAlign w:val="center"/>
                </w:tcPr>
                <w:p w14:paraId="3CBD049E">
                  <w:pPr>
                    <w:jc w:val="center"/>
                    <w:rPr>
                      <w:rFonts w:cs="Times New Roman"/>
                      <w:color w:val="auto"/>
                      <w:kern w:val="0"/>
                      <w:szCs w:val="21"/>
                    </w:rPr>
                  </w:pPr>
                  <w:r>
                    <w:rPr>
                      <w:rFonts w:cs="Times New Roman"/>
                      <w:color w:val="auto"/>
                      <w:kern w:val="0"/>
                      <w:szCs w:val="21"/>
                    </w:rPr>
                    <w:t>颗粒物</w:t>
                  </w:r>
                </w:p>
              </w:tc>
              <w:tc>
                <w:tcPr>
                  <w:tcW w:w="1993" w:type="pct"/>
                  <w:tcBorders>
                    <w:tl2br w:val="nil"/>
                    <w:tr2bl w:val="nil"/>
                  </w:tcBorders>
                  <w:vAlign w:val="center"/>
                </w:tcPr>
                <w:p w14:paraId="5CA8ED30">
                  <w:pPr>
                    <w:jc w:val="center"/>
                    <w:rPr>
                      <w:rFonts w:cs="Times New Roman"/>
                      <w:color w:val="auto"/>
                      <w:kern w:val="0"/>
                      <w:szCs w:val="21"/>
                    </w:rPr>
                  </w:pPr>
                  <w:r>
                    <w:rPr>
                      <w:rFonts w:cs="Times New Roman"/>
                      <w:color w:val="auto"/>
                      <w:kern w:val="0"/>
                      <w:szCs w:val="21"/>
                    </w:rPr>
                    <w:t>1.0</w:t>
                  </w:r>
                </w:p>
              </w:tc>
              <w:tc>
                <w:tcPr>
                  <w:tcW w:w="2081" w:type="pct"/>
                  <w:tcBorders>
                    <w:tl2br w:val="nil"/>
                    <w:tr2bl w:val="nil"/>
                  </w:tcBorders>
                  <w:vAlign w:val="center"/>
                </w:tcPr>
                <w:p w14:paraId="187F88DB">
                  <w:pPr>
                    <w:jc w:val="center"/>
                    <w:rPr>
                      <w:rFonts w:cs="Times New Roman"/>
                      <w:color w:val="auto"/>
                      <w:kern w:val="0"/>
                      <w:szCs w:val="21"/>
                    </w:rPr>
                  </w:pPr>
                  <w:r>
                    <w:rPr>
                      <w:rFonts w:cs="Times New Roman"/>
                      <w:color w:val="auto"/>
                      <w:kern w:val="0"/>
                      <w:szCs w:val="21"/>
                    </w:rPr>
                    <w:t>《大气污染物综合排放标准》（</w:t>
                  </w:r>
                  <w:r>
                    <w:rPr>
                      <w:rFonts w:hint="eastAsia" w:cs="Times New Roman"/>
                      <w:color w:val="auto"/>
                      <w:kern w:val="0"/>
                      <w:szCs w:val="21"/>
                      <w:lang w:eastAsia="zh-CN"/>
                    </w:rPr>
                    <w:t>GB16297-1996</w:t>
                  </w:r>
                  <w:r>
                    <w:rPr>
                      <w:rFonts w:cs="Times New Roman"/>
                      <w:color w:val="auto"/>
                      <w:kern w:val="0"/>
                      <w:szCs w:val="21"/>
                    </w:rPr>
                    <w:t>）表2 中标准</w:t>
                  </w:r>
                </w:p>
              </w:tc>
            </w:tr>
          </w:tbl>
          <w:p w14:paraId="55931DBB">
            <w:pPr>
              <w:spacing w:line="360" w:lineRule="auto"/>
              <w:jc w:val="center"/>
              <w:rPr>
                <w:rFonts w:cs="Times New Roman"/>
                <w:b/>
                <w:bCs/>
                <w:color w:val="auto"/>
                <w:sz w:val="21"/>
                <w:szCs w:val="21"/>
              </w:rPr>
            </w:pPr>
            <w:r>
              <w:rPr>
                <w:rFonts w:cs="Times New Roman"/>
                <w:b/>
                <w:bCs/>
                <w:color w:val="auto"/>
                <w:sz w:val="21"/>
                <w:szCs w:val="21"/>
              </w:rPr>
              <w:t>表3-</w:t>
            </w:r>
            <w:r>
              <w:rPr>
                <w:rFonts w:hint="eastAsia" w:cs="Times New Roman"/>
                <w:b/>
                <w:bCs/>
                <w:color w:val="auto"/>
                <w:sz w:val="21"/>
                <w:szCs w:val="21"/>
                <w:lang w:val="en-US" w:eastAsia="zh-CN"/>
              </w:rPr>
              <w:t>7</w:t>
            </w:r>
            <w:r>
              <w:rPr>
                <w:rFonts w:cs="Times New Roman"/>
                <w:b/>
                <w:bCs/>
                <w:color w:val="auto"/>
                <w:sz w:val="21"/>
                <w:szCs w:val="21"/>
              </w:rPr>
              <w:t xml:space="preserve">  饮食业油烟排放标准</w:t>
            </w:r>
          </w:p>
          <w:tbl>
            <w:tblPr>
              <w:tblStyle w:val="24"/>
              <w:tblW w:w="8429"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3027"/>
              <w:gridCol w:w="1799"/>
              <w:gridCol w:w="1799"/>
              <w:gridCol w:w="1804"/>
            </w:tblGrid>
            <w:tr w14:paraId="2DE7C26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blHeader/>
                <w:jc w:val="center"/>
              </w:trPr>
              <w:tc>
                <w:tcPr>
                  <w:tcW w:w="3027" w:type="dxa"/>
                  <w:tcBorders>
                    <w:tl2br w:val="nil"/>
                    <w:tr2bl w:val="nil"/>
                  </w:tcBorders>
                  <w:vAlign w:val="center"/>
                </w:tcPr>
                <w:p w14:paraId="65DA284D">
                  <w:pPr>
                    <w:jc w:val="center"/>
                    <w:rPr>
                      <w:rFonts w:cs="Times New Roman"/>
                      <w:b/>
                      <w:bCs/>
                      <w:color w:val="auto"/>
                      <w:szCs w:val="21"/>
                    </w:rPr>
                  </w:pPr>
                  <w:r>
                    <w:rPr>
                      <w:rFonts w:cs="Times New Roman"/>
                      <w:b/>
                      <w:bCs/>
                      <w:color w:val="auto"/>
                      <w:szCs w:val="21"/>
                    </w:rPr>
                    <w:t>规模</w:t>
                  </w:r>
                </w:p>
              </w:tc>
              <w:tc>
                <w:tcPr>
                  <w:tcW w:w="1799" w:type="dxa"/>
                  <w:tcBorders>
                    <w:tl2br w:val="nil"/>
                    <w:tr2bl w:val="nil"/>
                  </w:tcBorders>
                  <w:vAlign w:val="center"/>
                </w:tcPr>
                <w:p w14:paraId="382DF656">
                  <w:pPr>
                    <w:jc w:val="center"/>
                    <w:rPr>
                      <w:rFonts w:cs="Times New Roman"/>
                      <w:b/>
                      <w:bCs/>
                      <w:color w:val="auto"/>
                      <w:szCs w:val="21"/>
                    </w:rPr>
                  </w:pPr>
                  <w:r>
                    <w:rPr>
                      <w:rFonts w:cs="Times New Roman"/>
                      <w:b/>
                      <w:bCs/>
                      <w:color w:val="auto"/>
                      <w:szCs w:val="21"/>
                    </w:rPr>
                    <w:t>小型</w:t>
                  </w:r>
                </w:p>
              </w:tc>
              <w:tc>
                <w:tcPr>
                  <w:tcW w:w="1799" w:type="dxa"/>
                  <w:tcBorders>
                    <w:tl2br w:val="nil"/>
                    <w:tr2bl w:val="nil"/>
                  </w:tcBorders>
                  <w:vAlign w:val="center"/>
                </w:tcPr>
                <w:p w14:paraId="61A0E307">
                  <w:pPr>
                    <w:jc w:val="center"/>
                    <w:rPr>
                      <w:rFonts w:cs="Times New Roman"/>
                      <w:b/>
                      <w:bCs/>
                      <w:color w:val="auto"/>
                      <w:szCs w:val="21"/>
                    </w:rPr>
                  </w:pPr>
                  <w:r>
                    <w:rPr>
                      <w:rFonts w:cs="Times New Roman"/>
                      <w:b/>
                      <w:bCs/>
                      <w:color w:val="auto"/>
                      <w:szCs w:val="21"/>
                    </w:rPr>
                    <w:t>中型</w:t>
                  </w:r>
                </w:p>
              </w:tc>
              <w:tc>
                <w:tcPr>
                  <w:tcW w:w="1804" w:type="dxa"/>
                  <w:tcBorders>
                    <w:tl2br w:val="nil"/>
                    <w:tr2bl w:val="nil"/>
                  </w:tcBorders>
                  <w:vAlign w:val="center"/>
                </w:tcPr>
                <w:p w14:paraId="09795582">
                  <w:pPr>
                    <w:jc w:val="center"/>
                    <w:rPr>
                      <w:rFonts w:cs="Times New Roman"/>
                      <w:b/>
                      <w:bCs/>
                      <w:color w:val="auto"/>
                      <w:szCs w:val="21"/>
                    </w:rPr>
                  </w:pPr>
                  <w:r>
                    <w:rPr>
                      <w:rFonts w:cs="Times New Roman"/>
                      <w:b/>
                      <w:bCs/>
                      <w:color w:val="auto"/>
                      <w:szCs w:val="21"/>
                    </w:rPr>
                    <w:t>大型</w:t>
                  </w:r>
                </w:p>
              </w:tc>
            </w:tr>
            <w:tr w14:paraId="564B6D4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jc w:val="center"/>
              </w:trPr>
              <w:tc>
                <w:tcPr>
                  <w:tcW w:w="3027" w:type="dxa"/>
                  <w:tcBorders>
                    <w:tl2br w:val="nil"/>
                    <w:tr2bl w:val="nil"/>
                  </w:tcBorders>
                  <w:vAlign w:val="center"/>
                </w:tcPr>
                <w:p w14:paraId="48BEE71B">
                  <w:pPr>
                    <w:jc w:val="center"/>
                    <w:rPr>
                      <w:rFonts w:cs="Times New Roman"/>
                      <w:color w:val="auto"/>
                      <w:szCs w:val="21"/>
                    </w:rPr>
                  </w:pPr>
                  <w:r>
                    <w:rPr>
                      <w:rFonts w:cs="Times New Roman"/>
                      <w:color w:val="auto"/>
                      <w:szCs w:val="21"/>
                    </w:rPr>
                    <w:t>最高运行排放浓度（mg/m</w:t>
                  </w:r>
                  <w:r>
                    <w:rPr>
                      <w:rFonts w:cs="Times New Roman"/>
                      <w:color w:val="auto"/>
                      <w:szCs w:val="21"/>
                      <w:vertAlign w:val="superscript"/>
                    </w:rPr>
                    <w:t>3</w:t>
                  </w:r>
                  <w:r>
                    <w:rPr>
                      <w:rFonts w:cs="Times New Roman"/>
                      <w:color w:val="auto"/>
                      <w:szCs w:val="21"/>
                    </w:rPr>
                    <w:t>）</w:t>
                  </w:r>
                </w:p>
              </w:tc>
              <w:tc>
                <w:tcPr>
                  <w:tcW w:w="5402" w:type="dxa"/>
                  <w:gridSpan w:val="3"/>
                  <w:tcBorders>
                    <w:tl2br w:val="nil"/>
                    <w:tr2bl w:val="nil"/>
                  </w:tcBorders>
                  <w:vAlign w:val="center"/>
                </w:tcPr>
                <w:p w14:paraId="567FB8A0">
                  <w:pPr>
                    <w:jc w:val="center"/>
                    <w:rPr>
                      <w:rFonts w:cs="Times New Roman"/>
                      <w:color w:val="auto"/>
                      <w:szCs w:val="21"/>
                    </w:rPr>
                  </w:pPr>
                  <w:r>
                    <w:rPr>
                      <w:rFonts w:cs="Times New Roman"/>
                      <w:color w:val="auto"/>
                      <w:szCs w:val="21"/>
                    </w:rPr>
                    <w:t>2.0</w:t>
                  </w:r>
                </w:p>
              </w:tc>
            </w:tr>
            <w:tr w14:paraId="04E46A9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jc w:val="center"/>
              </w:trPr>
              <w:tc>
                <w:tcPr>
                  <w:tcW w:w="3027" w:type="dxa"/>
                  <w:tcBorders>
                    <w:tl2br w:val="nil"/>
                    <w:tr2bl w:val="nil"/>
                  </w:tcBorders>
                  <w:vAlign w:val="center"/>
                </w:tcPr>
                <w:p w14:paraId="62B0EB24">
                  <w:pPr>
                    <w:jc w:val="center"/>
                    <w:rPr>
                      <w:rFonts w:cs="Times New Roman"/>
                      <w:color w:val="auto"/>
                      <w:szCs w:val="21"/>
                    </w:rPr>
                  </w:pPr>
                  <w:r>
                    <w:rPr>
                      <w:rFonts w:cs="Times New Roman"/>
                      <w:color w:val="auto"/>
                      <w:szCs w:val="21"/>
                    </w:rPr>
                    <w:t>净化设施最低去除效率（%）</w:t>
                  </w:r>
                </w:p>
              </w:tc>
              <w:tc>
                <w:tcPr>
                  <w:tcW w:w="1799" w:type="dxa"/>
                  <w:tcBorders>
                    <w:tl2br w:val="nil"/>
                    <w:tr2bl w:val="nil"/>
                  </w:tcBorders>
                  <w:vAlign w:val="center"/>
                </w:tcPr>
                <w:p w14:paraId="51530FDF">
                  <w:pPr>
                    <w:jc w:val="center"/>
                    <w:rPr>
                      <w:rFonts w:cs="Times New Roman"/>
                      <w:color w:val="auto"/>
                      <w:szCs w:val="21"/>
                    </w:rPr>
                  </w:pPr>
                  <w:r>
                    <w:rPr>
                      <w:rFonts w:cs="Times New Roman"/>
                      <w:b/>
                      <w:bCs/>
                      <w:color w:val="auto"/>
                      <w:szCs w:val="21"/>
                    </w:rPr>
                    <w:t>60</w:t>
                  </w:r>
                </w:p>
              </w:tc>
              <w:tc>
                <w:tcPr>
                  <w:tcW w:w="1799" w:type="dxa"/>
                  <w:tcBorders>
                    <w:tl2br w:val="nil"/>
                    <w:tr2bl w:val="nil"/>
                  </w:tcBorders>
                  <w:vAlign w:val="center"/>
                </w:tcPr>
                <w:p w14:paraId="06CF302F">
                  <w:pPr>
                    <w:jc w:val="center"/>
                    <w:rPr>
                      <w:rFonts w:cs="Times New Roman"/>
                      <w:color w:val="auto"/>
                      <w:szCs w:val="21"/>
                    </w:rPr>
                  </w:pPr>
                  <w:r>
                    <w:rPr>
                      <w:rFonts w:cs="Times New Roman"/>
                      <w:color w:val="auto"/>
                      <w:szCs w:val="21"/>
                    </w:rPr>
                    <w:t>75</w:t>
                  </w:r>
                </w:p>
              </w:tc>
              <w:tc>
                <w:tcPr>
                  <w:tcW w:w="1804" w:type="dxa"/>
                  <w:tcBorders>
                    <w:tl2br w:val="nil"/>
                    <w:tr2bl w:val="nil"/>
                  </w:tcBorders>
                  <w:vAlign w:val="center"/>
                </w:tcPr>
                <w:p w14:paraId="2DCD042B">
                  <w:pPr>
                    <w:jc w:val="center"/>
                    <w:rPr>
                      <w:rFonts w:cs="Times New Roman"/>
                      <w:color w:val="auto"/>
                      <w:szCs w:val="21"/>
                    </w:rPr>
                  </w:pPr>
                  <w:r>
                    <w:rPr>
                      <w:rFonts w:cs="Times New Roman"/>
                      <w:color w:val="auto"/>
                      <w:szCs w:val="21"/>
                    </w:rPr>
                    <w:t>85</w:t>
                  </w:r>
                </w:p>
              </w:tc>
            </w:tr>
          </w:tbl>
          <w:p w14:paraId="6F2264DD">
            <w:pPr>
              <w:keepNext w:val="0"/>
              <w:keepLines w:val="0"/>
              <w:pageBreakBefore w:val="0"/>
              <w:widowControl w:val="0"/>
              <w:kinsoku/>
              <w:wordWrap/>
              <w:overflowPunct/>
              <w:topLinePunct w:val="0"/>
              <w:autoSpaceDE/>
              <w:autoSpaceDN/>
              <w:bidi w:val="0"/>
              <w:adjustRightInd/>
              <w:snapToGrid/>
              <w:spacing w:line="312" w:lineRule="auto"/>
              <w:ind w:firstLine="482" w:firstLineChars="200"/>
              <w:textAlignment w:val="auto"/>
              <w:rPr>
                <w:rFonts w:cs="Times New Roman"/>
                <w:b/>
                <w:color w:val="auto"/>
                <w:sz w:val="24"/>
                <w:szCs w:val="24"/>
              </w:rPr>
            </w:pPr>
            <w:r>
              <w:rPr>
                <w:rFonts w:cs="Times New Roman"/>
                <w:b/>
                <w:color w:val="auto"/>
                <w:sz w:val="24"/>
                <w:szCs w:val="24"/>
              </w:rPr>
              <w:t>2、废水</w:t>
            </w:r>
          </w:p>
          <w:p w14:paraId="01B28531">
            <w:pPr>
              <w:keepNext w:val="0"/>
              <w:keepLines w:val="0"/>
              <w:pageBreakBefore w:val="0"/>
              <w:widowControl w:val="0"/>
              <w:kinsoku/>
              <w:wordWrap/>
              <w:overflowPunct/>
              <w:topLinePunct w:val="0"/>
              <w:autoSpaceDE/>
              <w:autoSpaceDN/>
              <w:bidi w:val="0"/>
              <w:adjustRightInd/>
              <w:snapToGrid/>
              <w:spacing w:line="312" w:lineRule="auto"/>
              <w:ind w:firstLine="480" w:firstLineChars="200"/>
              <w:textAlignment w:val="auto"/>
              <w:rPr>
                <w:rFonts w:cs="Times New Roman"/>
                <w:color w:val="auto"/>
                <w:sz w:val="24"/>
                <w:szCs w:val="24"/>
                <w:lang w:val="zh-CN"/>
              </w:rPr>
            </w:pPr>
            <w:r>
              <w:rPr>
                <w:rFonts w:cs="Times New Roman"/>
                <w:color w:val="auto"/>
                <w:sz w:val="24"/>
                <w:szCs w:val="24"/>
                <w:lang w:val="zh-CN"/>
              </w:rPr>
              <w:t>项目生产废水全部循环使用，不外排；</w:t>
            </w:r>
            <w:r>
              <w:rPr>
                <w:rFonts w:cs="Times New Roman"/>
                <w:color w:val="auto"/>
                <w:sz w:val="24"/>
                <w:szCs w:val="24"/>
              </w:rPr>
              <w:t>生活污水（食堂废水先经隔油处理）依托半挂车项目</w:t>
            </w:r>
            <w:r>
              <w:rPr>
                <w:rFonts w:hint="eastAsia" w:cs="Times New Roman"/>
                <w:color w:val="auto"/>
                <w:sz w:val="24"/>
                <w:szCs w:val="24"/>
                <w:lang w:eastAsia="zh-CN"/>
              </w:rPr>
              <w:t>车间内</w:t>
            </w:r>
            <w:r>
              <w:rPr>
                <w:rFonts w:cs="Times New Roman"/>
                <w:color w:val="auto"/>
                <w:sz w:val="24"/>
                <w:szCs w:val="24"/>
              </w:rPr>
              <w:t>已建化粪池处理后，</w:t>
            </w:r>
            <w:r>
              <w:rPr>
                <w:rFonts w:hint="default" w:cs="Times New Roman"/>
                <w:color w:val="auto"/>
                <w:sz w:val="24"/>
                <w:szCs w:val="24"/>
                <w:lang w:val="en-US" w:eastAsia="zh-CN"/>
              </w:rPr>
              <w:t>定期经罐车拉运至东岳镇生活污水处理厂处理达《城镇污水处理厂污染物排放标准》（GB18918-2002）一级 A 标准后通过污水管网排入双龙河，待东岳镇污水处理厂及配套管网建成后，通过市政污水管网排入东岳镇工业园区污水处理厂处理</w:t>
            </w:r>
            <w:r>
              <w:rPr>
                <w:rFonts w:hint="eastAsia" w:cs="Times New Roman"/>
                <w:color w:val="auto"/>
                <w:sz w:val="24"/>
                <w:szCs w:val="24"/>
                <w:lang w:eastAsia="zh-CN"/>
              </w:rPr>
              <w:t>。</w:t>
            </w:r>
          </w:p>
          <w:p w14:paraId="2D00C8A7">
            <w:pPr>
              <w:keepNext w:val="0"/>
              <w:keepLines w:val="0"/>
              <w:pageBreakBefore w:val="0"/>
              <w:widowControl w:val="0"/>
              <w:kinsoku/>
              <w:wordWrap/>
              <w:overflowPunct/>
              <w:topLinePunct w:val="0"/>
              <w:autoSpaceDE/>
              <w:autoSpaceDN/>
              <w:bidi w:val="0"/>
              <w:adjustRightInd/>
              <w:snapToGrid/>
              <w:spacing w:line="312" w:lineRule="auto"/>
              <w:ind w:firstLine="482" w:firstLineChars="200"/>
              <w:textAlignment w:val="auto"/>
              <w:rPr>
                <w:rFonts w:cs="Times New Roman"/>
                <w:b/>
                <w:color w:val="auto"/>
                <w:sz w:val="24"/>
                <w:szCs w:val="24"/>
              </w:rPr>
            </w:pPr>
            <w:r>
              <w:rPr>
                <w:rFonts w:cs="Times New Roman"/>
                <w:b/>
                <w:color w:val="auto"/>
                <w:sz w:val="24"/>
                <w:szCs w:val="24"/>
              </w:rPr>
              <w:t>3、噪声</w:t>
            </w:r>
          </w:p>
          <w:p w14:paraId="0AE82908">
            <w:pPr>
              <w:keepNext w:val="0"/>
              <w:keepLines w:val="0"/>
              <w:pageBreakBefore w:val="0"/>
              <w:widowControl w:val="0"/>
              <w:kinsoku/>
              <w:wordWrap/>
              <w:overflowPunct/>
              <w:topLinePunct w:val="0"/>
              <w:autoSpaceDE/>
              <w:autoSpaceDN/>
              <w:bidi w:val="0"/>
              <w:adjustRightInd/>
              <w:snapToGrid/>
              <w:spacing w:line="312" w:lineRule="auto"/>
              <w:ind w:firstLine="480" w:firstLineChars="200"/>
              <w:textAlignment w:val="auto"/>
              <w:rPr>
                <w:rFonts w:cs="Times New Roman"/>
                <w:color w:val="auto"/>
                <w:sz w:val="24"/>
                <w:szCs w:val="24"/>
              </w:rPr>
            </w:pPr>
            <w:r>
              <w:rPr>
                <w:rFonts w:cs="Times New Roman"/>
                <w:color w:val="auto"/>
                <w:sz w:val="24"/>
                <w:szCs w:val="24"/>
              </w:rPr>
              <w:t>施工期执行《建筑施工场界环境噪声排放标准》（GB12523-2011）；运营期执行《工业企业厂界环境噪声排放标准》（GB12348-2008）</w:t>
            </w:r>
            <w:r>
              <w:rPr>
                <w:rFonts w:hint="eastAsia" w:cs="Times New Roman"/>
                <w:color w:val="auto"/>
                <w:sz w:val="24"/>
                <w:szCs w:val="24"/>
                <w:lang w:val="en-US" w:eastAsia="zh-CN"/>
              </w:rPr>
              <w:t>3</w:t>
            </w:r>
            <w:r>
              <w:rPr>
                <w:rFonts w:cs="Times New Roman"/>
                <w:color w:val="auto"/>
                <w:sz w:val="24"/>
                <w:szCs w:val="24"/>
              </w:rPr>
              <w:t>类标准。</w:t>
            </w:r>
          </w:p>
          <w:p w14:paraId="50F0C4F2">
            <w:pPr>
              <w:spacing w:line="360" w:lineRule="auto"/>
              <w:jc w:val="center"/>
              <w:rPr>
                <w:rFonts w:cs="Times New Roman"/>
                <w:b/>
                <w:bCs/>
                <w:color w:val="auto"/>
                <w:sz w:val="21"/>
                <w:szCs w:val="21"/>
              </w:rPr>
            </w:pPr>
            <w:r>
              <w:rPr>
                <w:rFonts w:cs="Times New Roman"/>
                <w:b/>
                <w:bCs/>
                <w:color w:val="auto"/>
                <w:sz w:val="21"/>
                <w:szCs w:val="21"/>
              </w:rPr>
              <w:t>表3-</w:t>
            </w:r>
            <w:r>
              <w:rPr>
                <w:rFonts w:hint="eastAsia" w:cs="Times New Roman"/>
                <w:b/>
                <w:bCs/>
                <w:color w:val="auto"/>
                <w:sz w:val="21"/>
                <w:szCs w:val="21"/>
                <w:lang w:val="en-US" w:eastAsia="zh-CN"/>
              </w:rPr>
              <w:t>8</w:t>
            </w:r>
            <w:r>
              <w:rPr>
                <w:rFonts w:cs="Times New Roman"/>
                <w:b/>
                <w:bCs/>
                <w:color w:val="auto"/>
                <w:sz w:val="21"/>
                <w:szCs w:val="21"/>
              </w:rPr>
              <w:t xml:space="preserve">  噪声排放标准限值</w:t>
            </w:r>
          </w:p>
          <w:tbl>
            <w:tblPr>
              <w:tblStyle w:val="24"/>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3130"/>
              <w:gridCol w:w="2814"/>
              <w:gridCol w:w="2814"/>
            </w:tblGrid>
            <w:tr w14:paraId="685D05A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787" w:type="pct"/>
                  <w:tcBorders>
                    <w:tl2br w:val="nil"/>
                    <w:tr2bl w:val="nil"/>
                  </w:tcBorders>
                  <w:shd w:val="clear" w:color="auto" w:fill="auto"/>
                  <w:vAlign w:val="center"/>
                </w:tcPr>
                <w:p w14:paraId="0948BF14">
                  <w:pPr>
                    <w:jc w:val="center"/>
                    <w:rPr>
                      <w:rFonts w:cs="Times New Roman"/>
                      <w:b/>
                      <w:bCs/>
                      <w:color w:val="auto"/>
                      <w:szCs w:val="21"/>
                    </w:rPr>
                  </w:pPr>
                  <w:r>
                    <w:rPr>
                      <w:rFonts w:cs="Times New Roman"/>
                      <w:b/>
                      <w:bCs/>
                      <w:color w:val="auto"/>
                      <w:szCs w:val="21"/>
                    </w:rPr>
                    <w:t>项目</w:t>
                  </w:r>
                </w:p>
              </w:tc>
              <w:tc>
                <w:tcPr>
                  <w:tcW w:w="1606" w:type="pct"/>
                  <w:tcBorders>
                    <w:tl2br w:val="nil"/>
                    <w:tr2bl w:val="nil"/>
                  </w:tcBorders>
                  <w:shd w:val="clear" w:color="auto" w:fill="auto"/>
                  <w:vAlign w:val="center"/>
                </w:tcPr>
                <w:p w14:paraId="3AF324FE">
                  <w:pPr>
                    <w:jc w:val="center"/>
                    <w:rPr>
                      <w:rFonts w:cs="Times New Roman"/>
                      <w:b/>
                      <w:bCs/>
                      <w:color w:val="auto"/>
                      <w:szCs w:val="21"/>
                    </w:rPr>
                  </w:pPr>
                  <w:r>
                    <w:rPr>
                      <w:rFonts w:cs="Times New Roman"/>
                      <w:b/>
                      <w:bCs/>
                      <w:color w:val="auto"/>
                      <w:szCs w:val="21"/>
                    </w:rPr>
                    <w:t>昼间</w:t>
                  </w:r>
                </w:p>
              </w:tc>
              <w:tc>
                <w:tcPr>
                  <w:tcW w:w="1606" w:type="pct"/>
                  <w:tcBorders>
                    <w:tl2br w:val="nil"/>
                    <w:tr2bl w:val="nil"/>
                  </w:tcBorders>
                  <w:shd w:val="clear" w:color="auto" w:fill="auto"/>
                  <w:vAlign w:val="center"/>
                </w:tcPr>
                <w:p w14:paraId="0AEEEB8A">
                  <w:pPr>
                    <w:jc w:val="center"/>
                    <w:rPr>
                      <w:rFonts w:cs="Times New Roman"/>
                      <w:b/>
                      <w:bCs/>
                      <w:color w:val="auto"/>
                      <w:szCs w:val="21"/>
                    </w:rPr>
                  </w:pPr>
                  <w:r>
                    <w:rPr>
                      <w:rFonts w:cs="Times New Roman"/>
                      <w:b/>
                      <w:bCs/>
                      <w:color w:val="auto"/>
                      <w:szCs w:val="21"/>
                    </w:rPr>
                    <w:t>夜间</w:t>
                  </w:r>
                </w:p>
              </w:tc>
            </w:tr>
            <w:tr w14:paraId="5D42EC1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787" w:type="pct"/>
                  <w:tcBorders>
                    <w:tl2br w:val="nil"/>
                    <w:tr2bl w:val="nil"/>
                  </w:tcBorders>
                  <w:shd w:val="clear" w:color="auto" w:fill="auto"/>
                  <w:vAlign w:val="center"/>
                </w:tcPr>
                <w:p w14:paraId="7863BDEE">
                  <w:pPr>
                    <w:jc w:val="center"/>
                    <w:rPr>
                      <w:rFonts w:cs="Times New Roman"/>
                      <w:color w:val="auto"/>
                      <w:szCs w:val="21"/>
                    </w:rPr>
                  </w:pPr>
                  <w:r>
                    <w:rPr>
                      <w:rFonts w:cs="Times New Roman"/>
                      <w:color w:val="auto"/>
                      <w:szCs w:val="21"/>
                    </w:rPr>
                    <w:t>施工期排放限值[dB（A）]</w:t>
                  </w:r>
                </w:p>
              </w:tc>
              <w:tc>
                <w:tcPr>
                  <w:tcW w:w="1606" w:type="pct"/>
                  <w:tcBorders>
                    <w:tl2br w:val="nil"/>
                    <w:tr2bl w:val="nil"/>
                  </w:tcBorders>
                  <w:shd w:val="clear" w:color="auto" w:fill="auto"/>
                  <w:vAlign w:val="center"/>
                </w:tcPr>
                <w:p w14:paraId="11B2CBB6">
                  <w:pPr>
                    <w:jc w:val="center"/>
                    <w:rPr>
                      <w:rFonts w:cs="Times New Roman"/>
                      <w:color w:val="auto"/>
                      <w:szCs w:val="21"/>
                    </w:rPr>
                  </w:pPr>
                  <w:r>
                    <w:rPr>
                      <w:rFonts w:cs="Times New Roman"/>
                      <w:color w:val="auto"/>
                      <w:szCs w:val="21"/>
                    </w:rPr>
                    <w:t>70</w:t>
                  </w:r>
                </w:p>
              </w:tc>
              <w:tc>
                <w:tcPr>
                  <w:tcW w:w="1606" w:type="pct"/>
                  <w:tcBorders>
                    <w:tl2br w:val="nil"/>
                    <w:tr2bl w:val="nil"/>
                  </w:tcBorders>
                  <w:shd w:val="clear" w:color="auto" w:fill="auto"/>
                  <w:vAlign w:val="center"/>
                </w:tcPr>
                <w:p w14:paraId="1F84BDB9">
                  <w:pPr>
                    <w:jc w:val="center"/>
                    <w:rPr>
                      <w:rFonts w:cs="Times New Roman"/>
                      <w:color w:val="auto"/>
                      <w:szCs w:val="21"/>
                    </w:rPr>
                  </w:pPr>
                  <w:r>
                    <w:rPr>
                      <w:rFonts w:cs="Times New Roman"/>
                      <w:color w:val="auto"/>
                      <w:szCs w:val="21"/>
                    </w:rPr>
                    <w:t>55</w:t>
                  </w:r>
                </w:p>
              </w:tc>
            </w:tr>
            <w:tr w14:paraId="28FDB54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787" w:type="pct"/>
                  <w:tcBorders>
                    <w:tl2br w:val="nil"/>
                    <w:tr2bl w:val="nil"/>
                  </w:tcBorders>
                  <w:shd w:val="clear" w:color="auto" w:fill="auto"/>
                  <w:vAlign w:val="center"/>
                </w:tcPr>
                <w:p w14:paraId="5C77F761">
                  <w:pPr>
                    <w:jc w:val="center"/>
                    <w:rPr>
                      <w:rFonts w:cs="Times New Roman"/>
                      <w:color w:val="auto"/>
                      <w:szCs w:val="21"/>
                    </w:rPr>
                  </w:pPr>
                  <w:r>
                    <w:rPr>
                      <w:rFonts w:cs="Times New Roman"/>
                      <w:color w:val="auto"/>
                      <w:szCs w:val="21"/>
                    </w:rPr>
                    <w:t>运营期排放限值[dB（A）]</w:t>
                  </w:r>
                </w:p>
              </w:tc>
              <w:tc>
                <w:tcPr>
                  <w:tcW w:w="1606" w:type="pct"/>
                  <w:tcBorders>
                    <w:tl2br w:val="nil"/>
                    <w:tr2bl w:val="nil"/>
                  </w:tcBorders>
                  <w:shd w:val="clear" w:color="auto" w:fill="auto"/>
                  <w:vAlign w:val="center"/>
                </w:tcPr>
                <w:p w14:paraId="09034F16">
                  <w:pPr>
                    <w:jc w:val="center"/>
                    <w:rPr>
                      <w:rFonts w:hint="default" w:eastAsia="宋体" w:cs="Times New Roman"/>
                      <w:color w:val="auto"/>
                      <w:szCs w:val="21"/>
                      <w:lang w:val="en-US" w:eastAsia="zh-CN"/>
                    </w:rPr>
                  </w:pPr>
                  <w:r>
                    <w:rPr>
                      <w:rFonts w:hint="eastAsia" w:cs="Times New Roman"/>
                      <w:color w:val="auto"/>
                      <w:szCs w:val="21"/>
                      <w:lang w:val="en-US" w:eastAsia="zh-CN"/>
                    </w:rPr>
                    <w:t>65</w:t>
                  </w:r>
                </w:p>
              </w:tc>
              <w:tc>
                <w:tcPr>
                  <w:tcW w:w="1606" w:type="pct"/>
                  <w:tcBorders>
                    <w:tl2br w:val="nil"/>
                    <w:tr2bl w:val="nil"/>
                  </w:tcBorders>
                  <w:shd w:val="clear" w:color="auto" w:fill="auto"/>
                  <w:vAlign w:val="center"/>
                </w:tcPr>
                <w:p w14:paraId="4E3C2A37">
                  <w:pPr>
                    <w:jc w:val="center"/>
                    <w:rPr>
                      <w:rFonts w:hint="default" w:eastAsia="宋体" w:cs="Times New Roman"/>
                      <w:color w:val="auto"/>
                      <w:szCs w:val="21"/>
                      <w:lang w:val="en-US" w:eastAsia="zh-CN"/>
                    </w:rPr>
                  </w:pPr>
                  <w:r>
                    <w:rPr>
                      <w:rFonts w:hint="eastAsia" w:cs="Times New Roman"/>
                      <w:color w:val="auto"/>
                      <w:szCs w:val="21"/>
                      <w:lang w:val="en-US" w:eastAsia="zh-CN"/>
                    </w:rPr>
                    <w:t>55</w:t>
                  </w:r>
                </w:p>
              </w:tc>
            </w:tr>
          </w:tbl>
          <w:p w14:paraId="59287E5D">
            <w:pPr>
              <w:spacing w:line="360" w:lineRule="auto"/>
              <w:ind w:firstLine="482" w:firstLineChars="200"/>
              <w:rPr>
                <w:rFonts w:cs="Times New Roman"/>
                <w:b/>
                <w:color w:val="auto"/>
                <w:sz w:val="24"/>
                <w:szCs w:val="24"/>
              </w:rPr>
            </w:pPr>
            <w:r>
              <w:rPr>
                <w:rFonts w:cs="Times New Roman"/>
                <w:b/>
                <w:color w:val="auto"/>
                <w:sz w:val="24"/>
                <w:szCs w:val="24"/>
              </w:rPr>
              <w:t>4、固体废物</w:t>
            </w:r>
          </w:p>
          <w:p w14:paraId="681654B2">
            <w:pPr>
              <w:spacing w:line="360" w:lineRule="auto"/>
              <w:ind w:firstLine="480" w:firstLineChars="200"/>
              <w:rPr>
                <w:rFonts w:cs="Times New Roman"/>
                <w:color w:val="auto"/>
                <w:sz w:val="24"/>
                <w:szCs w:val="24"/>
              </w:rPr>
            </w:pPr>
            <w:r>
              <w:rPr>
                <w:rFonts w:cs="Times New Roman"/>
                <w:color w:val="auto"/>
                <w:sz w:val="24"/>
                <w:szCs w:val="24"/>
              </w:rPr>
              <w:t>按照</w:t>
            </w:r>
            <w:r>
              <w:rPr>
                <w:rFonts w:hint="eastAsia" w:cs="Times New Roman"/>
                <w:color w:val="auto"/>
                <w:sz w:val="24"/>
                <w:szCs w:val="24"/>
              </w:rPr>
              <w:t>《中华人民共和国固体废物污染环境防治法》</w:t>
            </w:r>
            <w:r>
              <w:rPr>
                <w:rFonts w:cs="Times New Roman"/>
                <w:color w:val="auto"/>
                <w:sz w:val="24"/>
                <w:szCs w:val="24"/>
              </w:rPr>
              <w:t>的要求，固体废物要妥善处置，不得形成二次污染。营运期</w:t>
            </w:r>
            <w:r>
              <w:rPr>
                <w:rFonts w:hint="eastAsia" w:cs="Times New Roman"/>
                <w:color w:val="auto"/>
                <w:sz w:val="24"/>
                <w:szCs w:val="24"/>
                <w:lang w:eastAsia="zh-CN"/>
              </w:rPr>
              <w:t>一般</w:t>
            </w:r>
            <w:r>
              <w:rPr>
                <w:rFonts w:cs="Times New Roman"/>
                <w:color w:val="auto"/>
                <w:sz w:val="24"/>
                <w:szCs w:val="24"/>
              </w:rPr>
              <w:t>固废贮存执行《一般工业固体废物贮存和填埋污染控制标准》（GB 18599-2020）、《危险废物贮存污染控制标准》（GB18597-2023）。</w:t>
            </w:r>
          </w:p>
        </w:tc>
      </w:tr>
      <w:tr w14:paraId="1E55FD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jc w:val="center"/>
        </w:trPr>
        <w:tc>
          <w:tcPr>
            <w:tcW w:w="844" w:type="dxa"/>
            <w:vAlign w:val="center"/>
          </w:tcPr>
          <w:p w14:paraId="07401ADE">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cs="Times New Roman"/>
                <w:color w:val="auto"/>
                <w:sz w:val="24"/>
                <w:szCs w:val="24"/>
              </w:rPr>
            </w:pPr>
            <w:r>
              <w:rPr>
                <w:rFonts w:cs="Times New Roman"/>
                <w:color w:val="auto"/>
                <w:sz w:val="24"/>
                <w:szCs w:val="24"/>
              </w:rPr>
              <w:t>总量</w:t>
            </w:r>
          </w:p>
          <w:p w14:paraId="66FAFB9A">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cs="Times New Roman"/>
                <w:color w:val="auto"/>
                <w:sz w:val="24"/>
                <w:szCs w:val="24"/>
              </w:rPr>
            </w:pPr>
            <w:r>
              <w:rPr>
                <w:rFonts w:cs="Times New Roman"/>
                <w:color w:val="auto"/>
                <w:sz w:val="24"/>
                <w:szCs w:val="24"/>
              </w:rPr>
              <w:t>控制</w:t>
            </w:r>
          </w:p>
          <w:p w14:paraId="72D2A821">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cs="Times New Roman"/>
                <w:color w:val="auto"/>
                <w:sz w:val="24"/>
                <w:szCs w:val="24"/>
              </w:rPr>
            </w:pPr>
            <w:r>
              <w:rPr>
                <w:rFonts w:cs="Times New Roman"/>
                <w:color w:val="auto"/>
                <w:sz w:val="24"/>
                <w:szCs w:val="24"/>
              </w:rPr>
              <w:t>指标</w:t>
            </w:r>
          </w:p>
        </w:tc>
        <w:tc>
          <w:tcPr>
            <w:tcW w:w="8811" w:type="dxa"/>
            <w:vAlign w:val="center"/>
          </w:tcPr>
          <w:p w14:paraId="0A3A9E96">
            <w:pPr>
              <w:pStyle w:val="79"/>
              <w:tabs>
                <w:tab w:val="left" w:pos="8789"/>
              </w:tabs>
              <w:ind w:firstLine="480"/>
              <w:jc w:val="left"/>
              <w:rPr>
                <w:rFonts w:cs="Times New Roman"/>
                <w:color w:val="auto"/>
                <w:szCs w:val="24"/>
              </w:rPr>
            </w:pPr>
            <w:r>
              <w:rPr>
                <w:rFonts w:cs="Times New Roman"/>
                <w:color w:val="auto"/>
                <w:szCs w:val="24"/>
              </w:rPr>
              <w:t>本项目不涉及总量控制指标。</w:t>
            </w:r>
          </w:p>
        </w:tc>
      </w:tr>
    </w:tbl>
    <w:p w14:paraId="73C9C53F">
      <w:pPr>
        <w:spacing w:line="360" w:lineRule="auto"/>
        <w:rPr>
          <w:rFonts w:cs="Times New Roman"/>
          <w:b/>
          <w:color w:val="auto"/>
          <w:sz w:val="28"/>
          <w:szCs w:val="24"/>
        </w:rPr>
        <w:sectPr>
          <w:pgSz w:w="11906" w:h="16838"/>
          <w:pgMar w:top="1134" w:right="1134" w:bottom="1134" w:left="1418" w:header="851" w:footer="992" w:gutter="0"/>
          <w:pgBorders>
            <w:top w:val="none" w:sz="0" w:space="0"/>
            <w:left w:val="none" w:sz="0" w:space="0"/>
            <w:bottom w:val="none" w:sz="0" w:space="0"/>
            <w:right w:val="none" w:sz="0" w:space="0"/>
          </w:pgBorders>
          <w:pgNumType w:fmt="numberInDash"/>
          <w:cols w:space="720" w:num="1"/>
          <w:docGrid w:type="lines" w:linePitch="312" w:charSpace="0"/>
        </w:sectPr>
      </w:pPr>
    </w:p>
    <w:p w14:paraId="2E242CBA">
      <w:pPr>
        <w:pStyle w:val="58"/>
        <w:jc w:val="center"/>
        <w:rPr>
          <w:rFonts w:ascii="黑体" w:hAnsi="黑体" w:eastAsia="黑体"/>
          <w:b w:val="0"/>
          <w:color w:val="auto"/>
          <w:sz w:val="30"/>
          <w:szCs w:val="30"/>
        </w:rPr>
      </w:pPr>
      <w:bookmarkStart w:id="7" w:name="_Toc12263"/>
      <w:r>
        <w:rPr>
          <w:rFonts w:hint="eastAsia" w:ascii="黑体" w:hAnsi="黑体" w:eastAsia="黑体"/>
          <w:b w:val="0"/>
          <w:color w:val="auto"/>
          <w:sz w:val="30"/>
          <w:szCs w:val="30"/>
        </w:rPr>
        <w:t>四、主要环境影响和保护措施</w:t>
      </w:r>
      <w:bookmarkEnd w:id="7"/>
      <w:r>
        <w:rPr>
          <w:rFonts w:hint="eastAsia" w:ascii="黑体" w:hAnsi="黑体" w:eastAsia="黑体"/>
          <w:b w:val="0"/>
          <w:color w:val="auto"/>
          <w:sz w:val="30"/>
          <w:szCs w:val="30"/>
        </w:rPr>
        <w:t xml:space="preserve">  </w:t>
      </w:r>
    </w:p>
    <w:tbl>
      <w:tblPr>
        <w:tblStyle w:val="24"/>
        <w:tblW w:w="934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4"/>
        <w:gridCol w:w="8645"/>
      </w:tblGrid>
      <w:tr w14:paraId="5B4984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704" w:type="dxa"/>
            <w:vAlign w:val="center"/>
          </w:tcPr>
          <w:p w14:paraId="4A03B404">
            <w:pPr>
              <w:jc w:val="center"/>
              <w:rPr>
                <w:rFonts w:cs="Times New Roman"/>
                <w:color w:val="auto"/>
                <w:sz w:val="24"/>
                <w:szCs w:val="24"/>
              </w:rPr>
            </w:pPr>
            <w:r>
              <w:rPr>
                <w:rFonts w:cs="Times New Roman"/>
                <w:color w:val="auto"/>
                <w:sz w:val="24"/>
                <w:szCs w:val="24"/>
              </w:rPr>
              <w:t>施工</w:t>
            </w:r>
          </w:p>
          <w:p w14:paraId="6EDC61B6">
            <w:pPr>
              <w:jc w:val="center"/>
              <w:rPr>
                <w:rFonts w:cs="Times New Roman"/>
                <w:color w:val="auto"/>
                <w:sz w:val="24"/>
                <w:szCs w:val="24"/>
              </w:rPr>
            </w:pPr>
            <w:r>
              <w:rPr>
                <w:rFonts w:cs="Times New Roman"/>
                <w:color w:val="auto"/>
                <w:sz w:val="24"/>
                <w:szCs w:val="24"/>
              </w:rPr>
              <w:t>期环</w:t>
            </w:r>
          </w:p>
          <w:p w14:paraId="67644AB4">
            <w:pPr>
              <w:jc w:val="center"/>
              <w:rPr>
                <w:rFonts w:cs="Times New Roman"/>
                <w:color w:val="auto"/>
                <w:sz w:val="24"/>
                <w:szCs w:val="24"/>
              </w:rPr>
            </w:pPr>
            <w:r>
              <w:rPr>
                <w:rFonts w:cs="Times New Roman"/>
                <w:color w:val="auto"/>
                <w:sz w:val="24"/>
                <w:szCs w:val="24"/>
              </w:rPr>
              <w:t>境保</w:t>
            </w:r>
          </w:p>
          <w:p w14:paraId="06250C8C">
            <w:pPr>
              <w:jc w:val="center"/>
              <w:rPr>
                <w:rFonts w:cs="Times New Roman"/>
                <w:color w:val="auto"/>
                <w:sz w:val="24"/>
                <w:szCs w:val="24"/>
              </w:rPr>
            </w:pPr>
            <w:r>
              <w:rPr>
                <w:rFonts w:cs="Times New Roman"/>
                <w:color w:val="auto"/>
                <w:sz w:val="24"/>
                <w:szCs w:val="24"/>
              </w:rPr>
              <w:t>护措</w:t>
            </w:r>
          </w:p>
          <w:p w14:paraId="30371416">
            <w:pPr>
              <w:jc w:val="center"/>
              <w:rPr>
                <w:rFonts w:cs="Times New Roman"/>
                <w:color w:val="auto"/>
                <w:sz w:val="24"/>
                <w:szCs w:val="24"/>
              </w:rPr>
            </w:pPr>
            <w:r>
              <w:rPr>
                <w:rFonts w:cs="Times New Roman"/>
                <w:color w:val="auto"/>
                <w:sz w:val="24"/>
                <w:szCs w:val="24"/>
              </w:rPr>
              <w:t>施</w:t>
            </w:r>
          </w:p>
        </w:tc>
        <w:tc>
          <w:tcPr>
            <w:tcW w:w="8645" w:type="dxa"/>
            <w:vAlign w:val="center"/>
          </w:tcPr>
          <w:p w14:paraId="3A6BEC70">
            <w:pPr>
              <w:spacing w:line="360" w:lineRule="auto"/>
              <w:ind w:firstLine="360" w:firstLineChars="150"/>
              <w:rPr>
                <w:rFonts w:cs="Times New Roman"/>
                <w:bCs/>
                <w:color w:val="auto"/>
                <w:sz w:val="24"/>
                <w:szCs w:val="24"/>
              </w:rPr>
            </w:pPr>
            <w:r>
              <w:rPr>
                <w:rFonts w:cs="Times New Roman"/>
                <w:bCs/>
                <w:color w:val="auto"/>
                <w:sz w:val="24"/>
                <w:szCs w:val="24"/>
              </w:rPr>
              <w:t>本项目施工期</w:t>
            </w:r>
            <w:r>
              <w:rPr>
                <w:rFonts w:cs="Times New Roman"/>
                <w:color w:val="auto"/>
                <w:sz w:val="24"/>
                <w:szCs w:val="24"/>
              </w:rPr>
              <w:t>主要为部分设备安装、</w:t>
            </w:r>
            <w:r>
              <w:rPr>
                <w:rFonts w:hint="eastAsia" w:cs="Times New Roman"/>
                <w:color w:val="auto"/>
                <w:sz w:val="24"/>
                <w:szCs w:val="24"/>
                <w:lang w:eastAsia="zh-CN"/>
              </w:rPr>
              <w:t>建设</w:t>
            </w:r>
            <w:r>
              <w:rPr>
                <w:rFonts w:cs="Times New Roman"/>
                <w:color w:val="auto"/>
                <w:sz w:val="24"/>
                <w:szCs w:val="24"/>
              </w:rPr>
              <w:t>废水处理系统等</w:t>
            </w:r>
            <w:r>
              <w:rPr>
                <w:rFonts w:cs="Times New Roman"/>
                <w:bCs/>
                <w:color w:val="auto"/>
                <w:sz w:val="24"/>
                <w:szCs w:val="24"/>
              </w:rPr>
              <w:t>。</w:t>
            </w:r>
          </w:p>
          <w:p w14:paraId="7843FB32">
            <w:pPr>
              <w:spacing w:line="360" w:lineRule="auto"/>
              <w:ind w:firstLine="482" w:firstLineChars="200"/>
              <w:rPr>
                <w:rFonts w:cs="Times New Roman"/>
                <w:b/>
                <w:color w:val="auto"/>
                <w:sz w:val="24"/>
                <w:szCs w:val="24"/>
              </w:rPr>
            </w:pPr>
            <w:r>
              <w:rPr>
                <w:rFonts w:cs="Times New Roman"/>
                <w:b/>
                <w:color w:val="auto"/>
                <w:sz w:val="24"/>
                <w:szCs w:val="24"/>
              </w:rPr>
              <w:t>1、废气</w:t>
            </w:r>
          </w:p>
          <w:p w14:paraId="59CC7165">
            <w:pPr>
              <w:spacing w:line="360" w:lineRule="auto"/>
              <w:ind w:firstLine="482" w:firstLineChars="200"/>
              <w:rPr>
                <w:rFonts w:cs="Times New Roman"/>
                <w:b/>
                <w:color w:val="auto"/>
                <w:sz w:val="24"/>
                <w:szCs w:val="24"/>
              </w:rPr>
            </w:pPr>
            <w:r>
              <w:rPr>
                <w:rFonts w:cs="Times New Roman"/>
                <w:b/>
                <w:color w:val="auto"/>
                <w:sz w:val="24"/>
                <w:szCs w:val="24"/>
              </w:rPr>
              <w:t>（1）施工扬尘</w:t>
            </w:r>
          </w:p>
          <w:p w14:paraId="2E5A24EA">
            <w:pPr>
              <w:spacing w:line="360" w:lineRule="auto"/>
              <w:ind w:firstLine="480" w:firstLineChars="200"/>
              <w:rPr>
                <w:rFonts w:cs="Times New Roman"/>
                <w:bCs/>
                <w:color w:val="auto"/>
                <w:sz w:val="24"/>
                <w:szCs w:val="24"/>
              </w:rPr>
            </w:pPr>
            <w:r>
              <w:rPr>
                <w:rFonts w:cs="Times New Roman"/>
                <w:bCs/>
                <w:color w:val="auto"/>
                <w:sz w:val="24"/>
                <w:szCs w:val="24"/>
              </w:rPr>
              <w:t>在施工阶段，产生扬尘的作业主要有开挖、建材运输、装卸等过程，经类比分析，施工场地扬尘浓度一般约为3.5mg/m</w:t>
            </w:r>
            <w:r>
              <w:rPr>
                <w:rFonts w:cs="Times New Roman"/>
                <w:bCs/>
                <w:color w:val="auto"/>
                <w:sz w:val="24"/>
                <w:szCs w:val="24"/>
                <w:vertAlign w:val="superscript"/>
              </w:rPr>
              <w:t>3</w:t>
            </w:r>
            <w:r>
              <w:rPr>
                <w:rFonts w:cs="Times New Roman"/>
                <w:bCs/>
                <w:color w:val="auto"/>
                <w:sz w:val="24"/>
                <w:szCs w:val="24"/>
              </w:rPr>
              <w:t>，会对周围环境产生一定影响。为减轻施工期扬尘对大气环境的影响施工单位必须严格按照《四川省建筑工程扬尘污染防治技术导则（试行）》（川建发〔2019〕16号）等有关要求进行施工，采取以下扬尘防治措施：</w:t>
            </w:r>
          </w:p>
          <w:p w14:paraId="272FBEBB">
            <w:pPr>
              <w:spacing w:line="360" w:lineRule="auto"/>
              <w:ind w:firstLine="480" w:firstLineChars="200"/>
              <w:rPr>
                <w:rFonts w:cs="Times New Roman"/>
                <w:color w:val="auto"/>
                <w:sz w:val="24"/>
                <w:szCs w:val="24"/>
              </w:rPr>
            </w:pPr>
            <w:r>
              <w:rPr>
                <w:rFonts w:cs="Times New Roman"/>
                <w:color w:val="auto"/>
                <w:sz w:val="24"/>
                <w:szCs w:val="24"/>
              </w:rPr>
              <w:t>①施工现场架设围挡，围挡顶部设置水喷雾装置且封闭施工现场，施工现场主要道路及施工区域与社会通行道路交叉通道必须硬化。</w:t>
            </w:r>
          </w:p>
          <w:p w14:paraId="6E99A496">
            <w:pPr>
              <w:spacing w:line="360" w:lineRule="auto"/>
              <w:ind w:firstLine="480" w:firstLineChars="200"/>
              <w:rPr>
                <w:rFonts w:cs="Times New Roman"/>
                <w:color w:val="auto"/>
                <w:sz w:val="24"/>
                <w:szCs w:val="24"/>
              </w:rPr>
            </w:pPr>
            <w:r>
              <w:rPr>
                <w:rFonts w:cs="Times New Roman"/>
                <w:color w:val="auto"/>
                <w:sz w:val="24"/>
                <w:szCs w:val="24"/>
              </w:rPr>
              <w:t>②施工车辆实施限速管理，施工现场主要运输道路定期洒水抑尘；施工场地设置喷淋、冲洗等防尘降尘设施，对驶离车辆实施冲洗，配套设置地面排水沟、沉淀池。</w:t>
            </w:r>
          </w:p>
          <w:p w14:paraId="4D78F13A">
            <w:pPr>
              <w:spacing w:line="360" w:lineRule="auto"/>
              <w:ind w:firstLine="480" w:firstLineChars="200"/>
              <w:rPr>
                <w:rFonts w:cs="Times New Roman"/>
                <w:color w:val="auto"/>
                <w:sz w:val="24"/>
                <w:szCs w:val="24"/>
              </w:rPr>
            </w:pPr>
            <w:r>
              <w:rPr>
                <w:rFonts w:cs="Times New Roman"/>
                <w:color w:val="auto"/>
                <w:sz w:val="24"/>
                <w:szCs w:val="24"/>
              </w:rPr>
              <w:t>③运输车辆严禁超载行驶，必须采取密闭运输，装卸作业时必须采取有效防护措施，不得遗撒、泄漏、违规倾倒。</w:t>
            </w:r>
          </w:p>
          <w:p w14:paraId="253C25F4">
            <w:pPr>
              <w:spacing w:line="360" w:lineRule="auto"/>
              <w:ind w:firstLine="480" w:firstLineChars="200"/>
              <w:rPr>
                <w:rFonts w:cs="Times New Roman"/>
                <w:color w:val="auto"/>
                <w:sz w:val="24"/>
                <w:szCs w:val="24"/>
              </w:rPr>
            </w:pPr>
            <w:r>
              <w:rPr>
                <w:rFonts w:cs="Times New Roman"/>
                <w:color w:val="auto"/>
                <w:sz w:val="24"/>
                <w:szCs w:val="24"/>
              </w:rPr>
              <w:t>④禁止在风天进行渣土堆放作业，建材堆放地点要相对集中，建筑垃圾应及时清运，并对堆场以防尘布覆盖，禁止露天堆放。</w:t>
            </w:r>
          </w:p>
          <w:p w14:paraId="6C712982">
            <w:pPr>
              <w:spacing w:line="360" w:lineRule="auto"/>
              <w:ind w:firstLine="480" w:firstLineChars="200"/>
              <w:rPr>
                <w:rFonts w:cs="Times New Roman"/>
                <w:bCs/>
                <w:color w:val="auto"/>
                <w:sz w:val="24"/>
                <w:szCs w:val="24"/>
              </w:rPr>
            </w:pPr>
            <w:r>
              <w:rPr>
                <w:rFonts w:cs="Times New Roman"/>
                <w:bCs/>
                <w:color w:val="auto"/>
                <w:sz w:val="24"/>
                <w:szCs w:val="24"/>
              </w:rPr>
              <w:t>同时，施工单位必须全面督查建筑工地现场管理</w:t>
            </w:r>
            <w:r>
              <w:rPr>
                <w:rFonts w:hint="eastAsia" w:cs="Times New Roman"/>
                <w:bCs/>
                <w:color w:val="auto"/>
                <w:sz w:val="24"/>
                <w:szCs w:val="24"/>
                <w:lang w:eastAsia="zh-CN"/>
              </w:rPr>
              <w:t>“</w:t>
            </w:r>
            <w:r>
              <w:rPr>
                <w:rFonts w:cs="Times New Roman"/>
                <w:bCs/>
                <w:color w:val="auto"/>
                <w:sz w:val="24"/>
                <w:szCs w:val="24"/>
              </w:rPr>
              <w:t>六必须</w:t>
            </w:r>
            <w:r>
              <w:rPr>
                <w:rFonts w:hint="eastAsia" w:cs="Times New Roman"/>
                <w:bCs/>
                <w:color w:val="auto"/>
                <w:sz w:val="24"/>
                <w:szCs w:val="24"/>
                <w:lang w:eastAsia="zh-CN"/>
              </w:rPr>
              <w:t>”</w:t>
            </w:r>
            <w:r>
              <w:rPr>
                <w:rFonts w:cs="Times New Roman"/>
                <w:bCs/>
                <w:color w:val="auto"/>
                <w:sz w:val="24"/>
                <w:szCs w:val="24"/>
              </w:rPr>
              <w:t>、</w:t>
            </w:r>
            <w:r>
              <w:rPr>
                <w:rFonts w:hint="eastAsia" w:cs="Times New Roman"/>
                <w:bCs/>
                <w:color w:val="auto"/>
                <w:sz w:val="24"/>
                <w:szCs w:val="24"/>
                <w:lang w:eastAsia="zh-CN"/>
              </w:rPr>
              <w:t>“</w:t>
            </w:r>
            <w:r>
              <w:rPr>
                <w:rFonts w:cs="Times New Roman"/>
                <w:bCs/>
                <w:color w:val="auto"/>
                <w:sz w:val="24"/>
                <w:szCs w:val="24"/>
              </w:rPr>
              <w:t>六不准</w:t>
            </w:r>
            <w:r>
              <w:rPr>
                <w:rFonts w:hint="eastAsia" w:cs="Times New Roman"/>
                <w:bCs/>
                <w:color w:val="auto"/>
                <w:sz w:val="24"/>
                <w:szCs w:val="24"/>
                <w:lang w:eastAsia="zh-CN"/>
              </w:rPr>
              <w:t>”</w:t>
            </w:r>
            <w:r>
              <w:rPr>
                <w:rFonts w:cs="Times New Roman"/>
                <w:bCs/>
                <w:color w:val="auto"/>
                <w:sz w:val="24"/>
                <w:szCs w:val="24"/>
              </w:rPr>
              <w:t>的执行情况，即：必须打围作业、必须硬化道路、必须设置冲洗设施、必须湿法作业、必须配齐保洁人员、必须定时清扫施工现场；不准车辆带泥出门，不准运渣车辆冒顶装载、不准高空抛洒建渣、不准现场搅拌混凝土、不准场地积水、不准现场焚烧废弃物。同时，施工单位必须严格按照《四川省建筑工程扬尘污染防治技术导则（试行）》（川建发〔2019〕16号）中要求，严格落实</w:t>
            </w:r>
            <w:r>
              <w:rPr>
                <w:rFonts w:hint="eastAsia" w:cs="Times New Roman"/>
                <w:bCs/>
                <w:color w:val="auto"/>
                <w:sz w:val="24"/>
                <w:szCs w:val="24"/>
                <w:lang w:eastAsia="zh-CN"/>
              </w:rPr>
              <w:t>“</w:t>
            </w:r>
            <w:r>
              <w:rPr>
                <w:rFonts w:cs="Times New Roman"/>
                <w:bCs/>
                <w:color w:val="auto"/>
                <w:sz w:val="24"/>
                <w:szCs w:val="24"/>
              </w:rPr>
              <w:t>六个百分百</w:t>
            </w:r>
            <w:r>
              <w:rPr>
                <w:rFonts w:hint="eastAsia" w:cs="Times New Roman"/>
                <w:bCs/>
                <w:color w:val="auto"/>
                <w:sz w:val="24"/>
                <w:szCs w:val="24"/>
                <w:lang w:eastAsia="zh-CN"/>
              </w:rPr>
              <w:t>”</w:t>
            </w:r>
            <w:r>
              <w:rPr>
                <w:rFonts w:cs="Times New Roman"/>
                <w:bCs/>
                <w:color w:val="auto"/>
                <w:sz w:val="24"/>
                <w:szCs w:val="24"/>
              </w:rPr>
              <w:t>要求，包括：工地周边围挡、物料堆放覆盖、出入车辆冲洗、施工现场道路及材料堆场硬化、工地湿法作业及渣土车辆密闭运输，确保施工场地扬尘达到《四川省施工场地扬尘排放标准》（DB51/2682-2020）中相关限值要求。</w:t>
            </w:r>
          </w:p>
          <w:p w14:paraId="535382EC">
            <w:pPr>
              <w:spacing w:line="360" w:lineRule="auto"/>
              <w:ind w:firstLine="482" w:firstLineChars="200"/>
              <w:rPr>
                <w:rFonts w:cs="Times New Roman"/>
                <w:b/>
                <w:color w:val="auto"/>
                <w:sz w:val="24"/>
                <w:szCs w:val="24"/>
              </w:rPr>
            </w:pPr>
            <w:r>
              <w:rPr>
                <w:rFonts w:cs="Times New Roman"/>
                <w:b/>
                <w:color w:val="auto"/>
                <w:sz w:val="24"/>
                <w:szCs w:val="24"/>
              </w:rPr>
              <w:t>（2）施工机械废气</w:t>
            </w:r>
          </w:p>
          <w:p w14:paraId="0D3D504C">
            <w:pPr>
              <w:spacing w:line="360" w:lineRule="auto"/>
              <w:ind w:firstLine="480" w:firstLineChars="200"/>
              <w:rPr>
                <w:rFonts w:cs="Times New Roman"/>
                <w:bCs/>
                <w:color w:val="auto"/>
                <w:sz w:val="24"/>
                <w:szCs w:val="24"/>
              </w:rPr>
            </w:pPr>
            <w:r>
              <w:rPr>
                <w:rFonts w:cs="Times New Roman"/>
                <w:bCs/>
                <w:color w:val="auto"/>
                <w:sz w:val="24"/>
                <w:szCs w:val="24"/>
              </w:rPr>
              <w:t>项目施工设备和建筑机械设备的运转，会排放一定量的CO、NOx以及未完全燃烧的THC等，由于其属间断性无组织排放，特点是排放量小，加之施工场地开阔，扩散条件良好，对其不加处理也可达到相应的排放标准。环评要求建设单位禁止使用高排放非道路移动机械，制定施工现场非道路移动机械管理制度，并加强施工设备的维护和用油管理。</w:t>
            </w:r>
          </w:p>
          <w:p w14:paraId="2F464CEA">
            <w:pPr>
              <w:spacing w:line="360" w:lineRule="auto"/>
              <w:ind w:firstLine="482" w:firstLineChars="200"/>
              <w:rPr>
                <w:rFonts w:cs="Times New Roman"/>
                <w:b/>
                <w:color w:val="auto"/>
                <w:sz w:val="24"/>
                <w:szCs w:val="24"/>
              </w:rPr>
            </w:pPr>
            <w:r>
              <w:rPr>
                <w:rFonts w:cs="Times New Roman"/>
                <w:b/>
                <w:color w:val="auto"/>
                <w:sz w:val="24"/>
                <w:szCs w:val="24"/>
              </w:rPr>
              <w:t>2、废水</w:t>
            </w:r>
          </w:p>
          <w:p w14:paraId="08DF9CF9">
            <w:pPr>
              <w:spacing w:line="360" w:lineRule="auto"/>
              <w:ind w:firstLine="361" w:firstLineChars="150"/>
              <w:rPr>
                <w:rFonts w:cs="Times New Roman"/>
                <w:b/>
                <w:color w:val="auto"/>
                <w:sz w:val="24"/>
                <w:szCs w:val="24"/>
              </w:rPr>
            </w:pPr>
            <w:r>
              <w:rPr>
                <w:rFonts w:cs="Times New Roman"/>
                <w:b/>
                <w:color w:val="auto"/>
                <w:sz w:val="24"/>
                <w:szCs w:val="24"/>
              </w:rPr>
              <w:t>（1）生活污水</w:t>
            </w:r>
          </w:p>
          <w:p w14:paraId="5501D79F">
            <w:pPr>
              <w:spacing w:line="360" w:lineRule="auto"/>
              <w:ind w:firstLine="480" w:firstLineChars="200"/>
              <w:rPr>
                <w:rFonts w:cs="Times New Roman"/>
                <w:color w:val="auto"/>
                <w:sz w:val="24"/>
                <w:szCs w:val="24"/>
              </w:rPr>
            </w:pPr>
            <w:r>
              <w:rPr>
                <w:rFonts w:cs="Times New Roman"/>
                <w:color w:val="auto"/>
                <w:sz w:val="24"/>
                <w:szCs w:val="24"/>
              </w:rPr>
              <w:t>施工高峰期施工人员预计约10人，施工人员生活用水量按0.1m</w:t>
            </w:r>
            <w:r>
              <w:rPr>
                <w:rFonts w:cs="Times New Roman"/>
                <w:color w:val="auto"/>
                <w:sz w:val="24"/>
                <w:szCs w:val="24"/>
                <w:vertAlign w:val="superscript"/>
              </w:rPr>
              <w:t>3</w:t>
            </w:r>
            <w:r>
              <w:rPr>
                <w:rFonts w:cs="Times New Roman"/>
                <w:color w:val="auto"/>
                <w:sz w:val="24"/>
                <w:szCs w:val="24"/>
              </w:rPr>
              <w:t>/d，生活污水产生系数取0.85，则生活污水产生量为0.85m</w:t>
            </w:r>
            <w:r>
              <w:rPr>
                <w:rFonts w:cs="Times New Roman"/>
                <w:color w:val="auto"/>
                <w:sz w:val="24"/>
                <w:szCs w:val="24"/>
                <w:vertAlign w:val="superscript"/>
              </w:rPr>
              <w:t>3</w:t>
            </w:r>
            <w:r>
              <w:rPr>
                <w:rFonts w:cs="Times New Roman"/>
                <w:color w:val="auto"/>
                <w:sz w:val="24"/>
                <w:szCs w:val="24"/>
              </w:rPr>
              <w:t>/d，生活污水</w:t>
            </w:r>
            <w:r>
              <w:rPr>
                <w:rFonts w:hint="eastAsia" w:cs="Times New Roman"/>
                <w:color w:val="auto"/>
                <w:sz w:val="24"/>
                <w:szCs w:val="24"/>
                <w:lang w:eastAsia="zh-CN"/>
              </w:rPr>
              <w:t>依托</w:t>
            </w:r>
            <w:r>
              <w:rPr>
                <w:rFonts w:cs="Times New Roman"/>
                <w:color w:val="auto"/>
                <w:sz w:val="24"/>
                <w:szCs w:val="24"/>
              </w:rPr>
              <w:t>现有</w:t>
            </w:r>
            <w:r>
              <w:rPr>
                <w:rFonts w:cs="Times New Roman"/>
                <w:color w:val="auto"/>
                <w:kern w:val="24"/>
                <w:sz w:val="24"/>
                <w:szCs w:val="24"/>
              </w:rPr>
              <w:t>化粪池</w:t>
            </w:r>
            <w:r>
              <w:rPr>
                <w:rFonts w:hint="eastAsia" w:cs="Times New Roman"/>
                <w:color w:val="auto"/>
                <w:kern w:val="24"/>
                <w:sz w:val="24"/>
                <w:szCs w:val="24"/>
                <w:lang w:eastAsia="zh-CN"/>
              </w:rPr>
              <w:t>收集后，拉运至</w:t>
            </w:r>
            <w:r>
              <w:rPr>
                <w:rFonts w:cs="Times New Roman"/>
                <w:color w:val="auto"/>
                <w:sz w:val="24"/>
                <w:szCs w:val="24"/>
              </w:rPr>
              <w:t>东岳镇场镇污水处理厂，处理后达标排入双龙河</w:t>
            </w:r>
            <w:r>
              <w:rPr>
                <w:rFonts w:cs="Times New Roman"/>
                <w:color w:val="auto"/>
                <w:sz w:val="24"/>
                <w:szCs w:val="24"/>
                <w:lang w:val="zh-CN"/>
              </w:rPr>
              <w:t>。</w:t>
            </w:r>
          </w:p>
          <w:p w14:paraId="5AD4736B">
            <w:pPr>
              <w:spacing w:line="360" w:lineRule="auto"/>
              <w:ind w:firstLine="361" w:firstLineChars="150"/>
              <w:rPr>
                <w:rFonts w:cs="Times New Roman"/>
                <w:b/>
                <w:color w:val="auto"/>
                <w:sz w:val="24"/>
                <w:szCs w:val="24"/>
              </w:rPr>
            </w:pPr>
            <w:r>
              <w:rPr>
                <w:rFonts w:cs="Times New Roman"/>
                <w:b/>
                <w:color w:val="auto"/>
                <w:sz w:val="24"/>
                <w:szCs w:val="24"/>
              </w:rPr>
              <w:t>（2）施工废水</w:t>
            </w:r>
          </w:p>
          <w:p w14:paraId="587923AC">
            <w:pPr>
              <w:spacing w:line="360" w:lineRule="auto"/>
              <w:ind w:firstLine="480" w:firstLineChars="200"/>
              <w:rPr>
                <w:rFonts w:cs="Times New Roman"/>
                <w:color w:val="auto"/>
                <w:sz w:val="24"/>
                <w:szCs w:val="24"/>
              </w:rPr>
            </w:pPr>
            <w:r>
              <w:rPr>
                <w:rFonts w:cs="Times New Roman"/>
                <w:color w:val="auto"/>
                <w:sz w:val="24"/>
                <w:szCs w:val="24"/>
                <w:highlight w:val="none"/>
              </w:rPr>
              <w:t>施工废水中的主要污染物为pH（一般大于7）、SS、COD、石油类，污水中COD浓度值最高约500m/L、BOD</w:t>
            </w:r>
            <w:r>
              <w:rPr>
                <w:rFonts w:cs="Times New Roman"/>
                <w:color w:val="auto"/>
                <w:sz w:val="24"/>
                <w:szCs w:val="24"/>
                <w:highlight w:val="none"/>
                <w:vertAlign w:val="subscript"/>
              </w:rPr>
              <w:t>5</w:t>
            </w:r>
            <w:r>
              <w:rPr>
                <w:rFonts w:cs="Times New Roman"/>
                <w:color w:val="auto"/>
                <w:sz w:val="24"/>
                <w:szCs w:val="24"/>
                <w:highlight w:val="none"/>
              </w:rPr>
              <w:t>约400mg/L、SS 约1000mg/L。经类比分析，项目施工期施工废水预计排放量为2m</w:t>
            </w:r>
            <w:r>
              <w:rPr>
                <w:rFonts w:cs="Times New Roman"/>
                <w:color w:val="auto"/>
                <w:sz w:val="24"/>
                <w:szCs w:val="24"/>
                <w:highlight w:val="none"/>
                <w:vertAlign w:val="superscript"/>
              </w:rPr>
              <w:t>3</w:t>
            </w:r>
            <w:r>
              <w:rPr>
                <w:rFonts w:cs="Times New Roman"/>
                <w:color w:val="auto"/>
                <w:sz w:val="24"/>
                <w:szCs w:val="24"/>
                <w:highlight w:val="none"/>
              </w:rPr>
              <w:t>/d，施工废水经</w:t>
            </w:r>
            <w:r>
              <w:rPr>
                <w:rFonts w:hint="eastAsia" w:cs="Times New Roman"/>
                <w:color w:val="auto"/>
                <w:sz w:val="24"/>
                <w:szCs w:val="24"/>
                <w:highlight w:val="none"/>
                <w:lang w:eastAsia="zh-CN"/>
              </w:rPr>
              <w:t>收集</w:t>
            </w:r>
            <w:r>
              <w:rPr>
                <w:rFonts w:cs="Times New Roman"/>
                <w:color w:val="auto"/>
                <w:sz w:val="24"/>
                <w:szCs w:val="24"/>
                <w:highlight w:val="none"/>
              </w:rPr>
              <w:t>后用于建筑工地洒水。</w:t>
            </w:r>
          </w:p>
          <w:p w14:paraId="57464A6C">
            <w:pPr>
              <w:spacing w:line="360" w:lineRule="auto"/>
              <w:ind w:firstLine="482" w:firstLineChars="200"/>
              <w:rPr>
                <w:rFonts w:cs="Times New Roman"/>
                <w:b/>
                <w:color w:val="auto"/>
                <w:sz w:val="24"/>
                <w:szCs w:val="24"/>
              </w:rPr>
            </w:pPr>
            <w:r>
              <w:rPr>
                <w:rFonts w:cs="Times New Roman"/>
                <w:b/>
                <w:color w:val="auto"/>
                <w:sz w:val="24"/>
                <w:szCs w:val="24"/>
              </w:rPr>
              <w:t>3、噪声</w:t>
            </w:r>
          </w:p>
          <w:p w14:paraId="52821343">
            <w:pPr>
              <w:spacing w:line="360" w:lineRule="auto"/>
              <w:ind w:firstLine="480"/>
              <w:rPr>
                <w:rFonts w:cs="Times New Roman"/>
                <w:color w:val="auto"/>
                <w:sz w:val="24"/>
                <w:szCs w:val="24"/>
              </w:rPr>
            </w:pPr>
            <w:r>
              <w:rPr>
                <w:rFonts w:cs="Times New Roman"/>
                <w:color w:val="auto"/>
                <w:sz w:val="24"/>
                <w:szCs w:val="24"/>
              </w:rPr>
              <w:t>施工期噪声主要来源于施工现场的各类机械设备噪声，不同施工阶段和不同施工机械发出的噪声水平是不同的，各机械设备的动力噪声源声级一般在85dB（A）以上，其在多台机械设备同时作业时，各台设备产生的噪声会产生叠加。根据工程所在区域环境现状，为实现施工场界噪声达标排放，降低施工噪声对周围环境的影响，施工单位需严格按照相关要求文明施工，采取以下噪声防治措施：</w:t>
            </w:r>
          </w:p>
          <w:p w14:paraId="04ECC4B7">
            <w:pPr>
              <w:spacing w:line="360" w:lineRule="auto"/>
              <w:ind w:firstLine="480" w:firstLineChars="200"/>
              <w:rPr>
                <w:rFonts w:cs="Times New Roman"/>
                <w:color w:val="auto"/>
                <w:sz w:val="24"/>
                <w:szCs w:val="24"/>
              </w:rPr>
            </w:pPr>
            <w:r>
              <w:rPr>
                <w:rFonts w:cs="Times New Roman"/>
                <w:color w:val="auto"/>
                <w:sz w:val="24"/>
                <w:szCs w:val="24"/>
              </w:rPr>
              <w:t>①选用符合国家标准的低噪声设备，定期加强对设备的维修保养，避免由于设备非正常工作而产生噪声污染。</w:t>
            </w:r>
          </w:p>
          <w:p w14:paraId="1EF8BF80">
            <w:pPr>
              <w:spacing w:line="360" w:lineRule="auto"/>
              <w:ind w:firstLine="480" w:firstLineChars="200"/>
              <w:rPr>
                <w:rFonts w:cs="Times New Roman"/>
                <w:color w:val="auto"/>
                <w:sz w:val="24"/>
                <w:szCs w:val="24"/>
              </w:rPr>
            </w:pPr>
            <w:r>
              <w:rPr>
                <w:rFonts w:cs="Times New Roman"/>
                <w:color w:val="auto"/>
                <w:sz w:val="24"/>
                <w:szCs w:val="24"/>
              </w:rPr>
              <w:t>②合理安排施工时间，禁止夜间（22:00~6:00）施工，如夜间需进行施工工艺要求必须连续作业的强噪声施工，须事先征得周围居民同意，向当地管理部门申报。</w:t>
            </w:r>
          </w:p>
          <w:p w14:paraId="1E391FF6">
            <w:pPr>
              <w:spacing w:line="360" w:lineRule="auto"/>
              <w:ind w:firstLine="480" w:firstLineChars="200"/>
              <w:rPr>
                <w:rFonts w:cs="Times New Roman"/>
                <w:b/>
                <w:color w:val="auto"/>
                <w:sz w:val="24"/>
                <w:szCs w:val="24"/>
              </w:rPr>
            </w:pPr>
            <w:r>
              <w:rPr>
                <w:rFonts w:cs="Times New Roman"/>
                <w:color w:val="auto"/>
                <w:sz w:val="24"/>
                <w:szCs w:val="24"/>
              </w:rPr>
              <w:t>③加强管理，文明施工。装卸、搬运木材、模具、钢材等严禁抛掷，材料运输车辆进场要专人指挥，厂内运输车辆实施限速、禁止鸣笛。施工监理单位应做好噪声控制措施，确保施工厂界噪声达标排放。</w:t>
            </w:r>
          </w:p>
          <w:p w14:paraId="60853442">
            <w:pPr>
              <w:spacing w:line="360" w:lineRule="auto"/>
              <w:ind w:firstLine="480"/>
              <w:rPr>
                <w:rFonts w:cs="Times New Roman"/>
                <w:color w:val="auto"/>
                <w:sz w:val="24"/>
                <w:szCs w:val="24"/>
              </w:rPr>
            </w:pPr>
            <w:r>
              <w:rPr>
                <w:rFonts w:cs="Times New Roman"/>
                <w:color w:val="auto"/>
                <w:sz w:val="24"/>
                <w:szCs w:val="24"/>
              </w:rPr>
              <w:t>④合理布置施工总平面。施工期高噪声尽量设备布置在场地中央，有效利用距离的衰减，确保场界达标排放。</w:t>
            </w:r>
          </w:p>
          <w:p w14:paraId="5F6E9AE0">
            <w:pPr>
              <w:spacing w:line="360" w:lineRule="auto"/>
              <w:ind w:firstLine="480"/>
              <w:rPr>
                <w:rFonts w:cs="Times New Roman"/>
                <w:color w:val="auto"/>
                <w:sz w:val="24"/>
                <w:szCs w:val="24"/>
              </w:rPr>
            </w:pPr>
            <w:r>
              <w:rPr>
                <w:rFonts w:cs="Times New Roman"/>
                <w:color w:val="auto"/>
                <w:sz w:val="24"/>
                <w:szCs w:val="24"/>
              </w:rPr>
              <w:t>⑤施工前应进行公示，施工单位应在现场张贴通告和投诉电话，建设单位在接到投诉电话后及时与当地环保部门联系，及时处理各种环境纠纷。</w:t>
            </w:r>
          </w:p>
          <w:p w14:paraId="4D8AD528">
            <w:pPr>
              <w:spacing w:line="360" w:lineRule="auto"/>
              <w:ind w:firstLine="480" w:firstLineChars="200"/>
              <w:rPr>
                <w:rFonts w:cs="Times New Roman"/>
                <w:color w:val="auto"/>
                <w:sz w:val="24"/>
                <w:szCs w:val="24"/>
              </w:rPr>
            </w:pPr>
            <w:r>
              <w:rPr>
                <w:rFonts w:cs="Times New Roman"/>
                <w:color w:val="auto"/>
                <w:sz w:val="24"/>
                <w:szCs w:val="24"/>
              </w:rPr>
              <w:t>本项目施工期噪声污染源源强核算结果及相关参数见下表：</w:t>
            </w:r>
          </w:p>
          <w:p w14:paraId="70152835">
            <w:pPr>
              <w:spacing w:line="360" w:lineRule="auto"/>
              <w:jc w:val="center"/>
              <w:rPr>
                <w:rFonts w:cs="Times New Roman"/>
                <w:b/>
                <w:bCs/>
                <w:color w:val="auto"/>
                <w:sz w:val="24"/>
                <w:szCs w:val="24"/>
              </w:rPr>
            </w:pPr>
            <w:r>
              <w:rPr>
                <w:rFonts w:cs="Times New Roman"/>
                <w:b/>
                <w:bCs/>
                <w:color w:val="auto"/>
                <w:sz w:val="24"/>
                <w:szCs w:val="24"/>
              </w:rPr>
              <w:t>表4-1 工业企业噪声施工期源强调查清单（室外声源）</w:t>
            </w:r>
          </w:p>
          <w:tbl>
            <w:tblPr>
              <w:tblStyle w:val="24"/>
              <w:tblW w:w="4981"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
            <w:tblGrid>
              <w:gridCol w:w="402"/>
              <w:gridCol w:w="876"/>
              <w:gridCol w:w="538"/>
              <w:gridCol w:w="587"/>
              <w:gridCol w:w="700"/>
              <w:gridCol w:w="617"/>
              <w:gridCol w:w="1278"/>
              <w:gridCol w:w="823"/>
              <w:gridCol w:w="1157"/>
              <w:gridCol w:w="1419"/>
            </w:tblGrid>
            <w:tr w14:paraId="0866A8E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67" w:hRule="atLeast"/>
                <w:tblHeader/>
                <w:jc w:val="center"/>
              </w:trPr>
              <w:tc>
                <w:tcPr>
                  <w:tcW w:w="239" w:type="pct"/>
                  <w:vMerge w:val="restart"/>
                  <w:tcBorders>
                    <w:tl2br w:val="nil"/>
                    <w:tr2bl w:val="nil"/>
                  </w:tcBorders>
                  <w:vAlign w:val="center"/>
                </w:tcPr>
                <w:p w14:paraId="22326B8A">
                  <w:pPr>
                    <w:jc w:val="center"/>
                    <w:rPr>
                      <w:rFonts w:cs="Times New Roman"/>
                      <w:b/>
                      <w:bCs/>
                      <w:color w:val="auto"/>
                      <w:szCs w:val="21"/>
                    </w:rPr>
                  </w:pPr>
                  <w:r>
                    <w:rPr>
                      <w:rFonts w:cs="Times New Roman"/>
                      <w:b/>
                      <w:bCs/>
                      <w:color w:val="auto"/>
                      <w:szCs w:val="21"/>
                    </w:rPr>
                    <w:t>序号</w:t>
                  </w:r>
                </w:p>
              </w:tc>
              <w:tc>
                <w:tcPr>
                  <w:tcW w:w="521" w:type="pct"/>
                  <w:vMerge w:val="restart"/>
                  <w:tcBorders>
                    <w:tl2br w:val="nil"/>
                    <w:tr2bl w:val="nil"/>
                  </w:tcBorders>
                  <w:vAlign w:val="center"/>
                </w:tcPr>
                <w:p w14:paraId="2F4AD806">
                  <w:pPr>
                    <w:jc w:val="center"/>
                    <w:rPr>
                      <w:rFonts w:cs="Times New Roman"/>
                      <w:b/>
                      <w:bCs/>
                      <w:color w:val="auto"/>
                      <w:szCs w:val="21"/>
                    </w:rPr>
                  </w:pPr>
                  <w:r>
                    <w:rPr>
                      <w:rFonts w:cs="Times New Roman"/>
                      <w:b/>
                      <w:bCs/>
                      <w:color w:val="auto"/>
                      <w:szCs w:val="21"/>
                    </w:rPr>
                    <w:t>声源名称</w:t>
                  </w:r>
                </w:p>
              </w:tc>
              <w:tc>
                <w:tcPr>
                  <w:tcW w:w="320" w:type="pct"/>
                  <w:vMerge w:val="restart"/>
                  <w:tcBorders>
                    <w:tl2br w:val="nil"/>
                    <w:tr2bl w:val="nil"/>
                  </w:tcBorders>
                  <w:vAlign w:val="center"/>
                </w:tcPr>
                <w:p w14:paraId="298EB6F2">
                  <w:pPr>
                    <w:jc w:val="center"/>
                    <w:rPr>
                      <w:rFonts w:cs="Times New Roman"/>
                      <w:b/>
                      <w:bCs/>
                      <w:color w:val="auto"/>
                      <w:szCs w:val="21"/>
                    </w:rPr>
                  </w:pPr>
                  <w:r>
                    <w:rPr>
                      <w:rFonts w:cs="Times New Roman"/>
                      <w:b/>
                      <w:bCs/>
                      <w:color w:val="auto"/>
                      <w:szCs w:val="21"/>
                    </w:rPr>
                    <w:t>型号</w:t>
                  </w:r>
                </w:p>
              </w:tc>
              <w:tc>
                <w:tcPr>
                  <w:tcW w:w="1133" w:type="pct"/>
                  <w:gridSpan w:val="3"/>
                  <w:tcBorders>
                    <w:tl2br w:val="nil"/>
                    <w:tr2bl w:val="nil"/>
                  </w:tcBorders>
                  <w:vAlign w:val="center"/>
                </w:tcPr>
                <w:p w14:paraId="6327C21F">
                  <w:pPr>
                    <w:jc w:val="center"/>
                    <w:rPr>
                      <w:rFonts w:cs="Times New Roman"/>
                      <w:b/>
                      <w:bCs/>
                      <w:color w:val="auto"/>
                      <w:szCs w:val="21"/>
                    </w:rPr>
                  </w:pPr>
                  <w:r>
                    <w:rPr>
                      <w:rFonts w:cs="Times New Roman"/>
                      <w:b/>
                      <w:bCs/>
                      <w:color w:val="auto"/>
                      <w:szCs w:val="21"/>
                    </w:rPr>
                    <w:t>空间相对位置</w:t>
                  </w:r>
                </w:p>
              </w:tc>
              <w:tc>
                <w:tcPr>
                  <w:tcW w:w="1251" w:type="pct"/>
                  <w:gridSpan w:val="2"/>
                  <w:tcBorders>
                    <w:tl2br w:val="nil"/>
                    <w:tr2bl w:val="nil"/>
                  </w:tcBorders>
                  <w:vAlign w:val="center"/>
                </w:tcPr>
                <w:p w14:paraId="670A9721">
                  <w:pPr>
                    <w:jc w:val="center"/>
                    <w:rPr>
                      <w:rFonts w:cs="Times New Roman"/>
                      <w:b/>
                      <w:bCs/>
                      <w:color w:val="auto"/>
                      <w:szCs w:val="21"/>
                    </w:rPr>
                  </w:pPr>
                  <w:r>
                    <w:rPr>
                      <w:rFonts w:cs="Times New Roman"/>
                      <w:b/>
                      <w:bCs/>
                      <w:color w:val="auto"/>
                      <w:szCs w:val="21"/>
                    </w:rPr>
                    <w:t>噪声源强（任选一种）</w:t>
                  </w:r>
                </w:p>
              </w:tc>
              <w:tc>
                <w:tcPr>
                  <w:tcW w:w="688" w:type="pct"/>
                  <w:vMerge w:val="restart"/>
                  <w:tcBorders>
                    <w:tl2br w:val="nil"/>
                    <w:tr2bl w:val="nil"/>
                  </w:tcBorders>
                  <w:vAlign w:val="center"/>
                </w:tcPr>
                <w:p w14:paraId="30CC34BA">
                  <w:pPr>
                    <w:jc w:val="center"/>
                    <w:rPr>
                      <w:rFonts w:cs="Times New Roman"/>
                      <w:b/>
                      <w:bCs/>
                      <w:color w:val="auto"/>
                      <w:szCs w:val="21"/>
                    </w:rPr>
                  </w:pPr>
                  <w:r>
                    <w:rPr>
                      <w:rFonts w:cs="Times New Roman"/>
                      <w:b/>
                      <w:bCs/>
                      <w:color w:val="auto"/>
                      <w:szCs w:val="21"/>
                    </w:rPr>
                    <w:t>声源控制措施</w:t>
                  </w:r>
                </w:p>
              </w:tc>
              <w:tc>
                <w:tcPr>
                  <w:tcW w:w="844" w:type="pct"/>
                  <w:vMerge w:val="restart"/>
                  <w:tcBorders>
                    <w:tl2br w:val="nil"/>
                    <w:tr2bl w:val="nil"/>
                  </w:tcBorders>
                  <w:vAlign w:val="center"/>
                </w:tcPr>
                <w:p w14:paraId="522647A8">
                  <w:pPr>
                    <w:jc w:val="center"/>
                    <w:rPr>
                      <w:rFonts w:cs="Times New Roman"/>
                      <w:b/>
                      <w:bCs/>
                      <w:color w:val="auto"/>
                      <w:szCs w:val="21"/>
                    </w:rPr>
                  </w:pPr>
                  <w:r>
                    <w:rPr>
                      <w:rFonts w:cs="Times New Roman"/>
                      <w:b/>
                      <w:bCs/>
                      <w:color w:val="auto"/>
                      <w:szCs w:val="21"/>
                    </w:rPr>
                    <w:t>运行时段</w:t>
                  </w:r>
                </w:p>
              </w:tc>
            </w:tr>
            <w:tr w14:paraId="7D8EEED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1016" w:hRule="atLeast"/>
                <w:tblHeader/>
                <w:jc w:val="center"/>
              </w:trPr>
              <w:tc>
                <w:tcPr>
                  <w:tcW w:w="239" w:type="pct"/>
                  <w:vMerge w:val="continue"/>
                  <w:tcBorders>
                    <w:tl2br w:val="nil"/>
                    <w:tr2bl w:val="nil"/>
                  </w:tcBorders>
                  <w:vAlign w:val="center"/>
                </w:tcPr>
                <w:p w14:paraId="403D95E3">
                  <w:pPr>
                    <w:jc w:val="center"/>
                    <w:rPr>
                      <w:rFonts w:cs="Times New Roman"/>
                      <w:color w:val="auto"/>
                      <w:szCs w:val="21"/>
                    </w:rPr>
                  </w:pPr>
                </w:p>
              </w:tc>
              <w:tc>
                <w:tcPr>
                  <w:tcW w:w="521" w:type="pct"/>
                  <w:vMerge w:val="continue"/>
                  <w:tcBorders>
                    <w:tl2br w:val="nil"/>
                    <w:tr2bl w:val="nil"/>
                  </w:tcBorders>
                  <w:vAlign w:val="center"/>
                </w:tcPr>
                <w:p w14:paraId="4FC77E86">
                  <w:pPr>
                    <w:jc w:val="center"/>
                    <w:rPr>
                      <w:rFonts w:cs="Times New Roman"/>
                      <w:color w:val="auto"/>
                      <w:szCs w:val="21"/>
                    </w:rPr>
                  </w:pPr>
                </w:p>
              </w:tc>
              <w:tc>
                <w:tcPr>
                  <w:tcW w:w="320" w:type="pct"/>
                  <w:vMerge w:val="continue"/>
                  <w:tcBorders>
                    <w:tl2br w:val="nil"/>
                    <w:tr2bl w:val="nil"/>
                  </w:tcBorders>
                  <w:vAlign w:val="center"/>
                </w:tcPr>
                <w:p w14:paraId="64A8A251">
                  <w:pPr>
                    <w:jc w:val="center"/>
                    <w:rPr>
                      <w:rFonts w:cs="Times New Roman"/>
                      <w:color w:val="auto"/>
                      <w:szCs w:val="21"/>
                    </w:rPr>
                  </w:pPr>
                </w:p>
              </w:tc>
              <w:tc>
                <w:tcPr>
                  <w:tcW w:w="349" w:type="pct"/>
                  <w:tcBorders>
                    <w:tl2br w:val="nil"/>
                    <w:tr2bl w:val="nil"/>
                  </w:tcBorders>
                  <w:vAlign w:val="center"/>
                </w:tcPr>
                <w:p w14:paraId="213511B3">
                  <w:pPr>
                    <w:jc w:val="center"/>
                    <w:rPr>
                      <w:rFonts w:cs="Times New Roman"/>
                      <w:b/>
                      <w:bCs/>
                      <w:color w:val="auto"/>
                      <w:szCs w:val="21"/>
                    </w:rPr>
                  </w:pPr>
                  <w:r>
                    <w:rPr>
                      <w:rFonts w:cs="Times New Roman"/>
                      <w:b/>
                      <w:bCs/>
                      <w:color w:val="auto"/>
                      <w:szCs w:val="21"/>
                    </w:rPr>
                    <w:t>X</w:t>
                  </w:r>
                </w:p>
              </w:tc>
              <w:tc>
                <w:tcPr>
                  <w:tcW w:w="416" w:type="pct"/>
                  <w:tcBorders>
                    <w:tl2br w:val="nil"/>
                    <w:tr2bl w:val="nil"/>
                  </w:tcBorders>
                  <w:vAlign w:val="center"/>
                </w:tcPr>
                <w:p w14:paraId="7F93D475">
                  <w:pPr>
                    <w:jc w:val="center"/>
                    <w:rPr>
                      <w:rFonts w:cs="Times New Roman"/>
                      <w:b/>
                      <w:bCs/>
                      <w:color w:val="auto"/>
                      <w:szCs w:val="21"/>
                    </w:rPr>
                  </w:pPr>
                  <w:r>
                    <w:rPr>
                      <w:rFonts w:cs="Times New Roman"/>
                      <w:b/>
                      <w:bCs/>
                      <w:color w:val="auto"/>
                      <w:szCs w:val="21"/>
                    </w:rPr>
                    <w:t>Y</w:t>
                  </w:r>
                </w:p>
              </w:tc>
              <w:tc>
                <w:tcPr>
                  <w:tcW w:w="367" w:type="pct"/>
                  <w:tcBorders>
                    <w:tl2br w:val="nil"/>
                    <w:tr2bl w:val="nil"/>
                  </w:tcBorders>
                  <w:vAlign w:val="center"/>
                </w:tcPr>
                <w:p w14:paraId="6E12F877">
                  <w:pPr>
                    <w:jc w:val="center"/>
                    <w:rPr>
                      <w:rFonts w:cs="Times New Roman"/>
                      <w:b/>
                      <w:bCs/>
                      <w:color w:val="auto"/>
                      <w:szCs w:val="21"/>
                    </w:rPr>
                  </w:pPr>
                  <w:r>
                    <w:rPr>
                      <w:rFonts w:cs="Times New Roman"/>
                      <w:b/>
                      <w:bCs/>
                      <w:color w:val="auto"/>
                      <w:szCs w:val="21"/>
                    </w:rPr>
                    <w:t>Z</w:t>
                  </w:r>
                </w:p>
              </w:tc>
              <w:tc>
                <w:tcPr>
                  <w:tcW w:w="760" w:type="pct"/>
                  <w:tcBorders>
                    <w:tl2br w:val="nil"/>
                    <w:tr2bl w:val="nil"/>
                  </w:tcBorders>
                  <w:vAlign w:val="center"/>
                </w:tcPr>
                <w:p w14:paraId="1B6050C4">
                  <w:pPr>
                    <w:jc w:val="center"/>
                    <w:rPr>
                      <w:rFonts w:cs="Times New Roman"/>
                      <w:b/>
                      <w:bCs/>
                      <w:color w:val="auto"/>
                      <w:szCs w:val="21"/>
                    </w:rPr>
                  </w:pPr>
                  <w:r>
                    <w:rPr>
                      <w:rFonts w:cs="Times New Roman"/>
                      <w:b/>
                      <w:bCs/>
                      <w:color w:val="auto"/>
                      <w:szCs w:val="21"/>
                    </w:rPr>
                    <w:t>（声压级/距声源距离）/dB</w:t>
                  </w:r>
                  <w:r>
                    <w:rPr>
                      <w:rFonts w:hint="eastAsia" w:cs="Times New Roman"/>
                      <w:b/>
                      <w:bCs/>
                      <w:color w:val="auto"/>
                      <w:szCs w:val="21"/>
                      <w:lang w:val="en-US" w:eastAsia="zh-CN"/>
                    </w:rPr>
                    <w:t>(</w:t>
                  </w:r>
                  <w:r>
                    <w:rPr>
                      <w:rFonts w:cs="Times New Roman"/>
                      <w:b/>
                      <w:bCs/>
                      <w:color w:val="auto"/>
                      <w:szCs w:val="21"/>
                    </w:rPr>
                    <w:t>A</w:t>
                  </w:r>
                  <w:r>
                    <w:rPr>
                      <w:rFonts w:hint="eastAsia" w:cs="Times New Roman"/>
                      <w:b/>
                      <w:bCs/>
                      <w:color w:val="auto"/>
                      <w:szCs w:val="21"/>
                      <w:lang w:val="en-US" w:eastAsia="zh-CN"/>
                    </w:rPr>
                    <w:t>)</w:t>
                  </w:r>
                  <w:r>
                    <w:rPr>
                      <w:rFonts w:cs="Times New Roman"/>
                      <w:b/>
                      <w:bCs/>
                      <w:color w:val="auto"/>
                      <w:szCs w:val="21"/>
                    </w:rPr>
                    <w:t>/m</w:t>
                  </w:r>
                </w:p>
              </w:tc>
              <w:tc>
                <w:tcPr>
                  <w:tcW w:w="490" w:type="pct"/>
                  <w:tcBorders>
                    <w:tl2br w:val="nil"/>
                    <w:tr2bl w:val="nil"/>
                  </w:tcBorders>
                  <w:vAlign w:val="center"/>
                </w:tcPr>
                <w:p w14:paraId="0E547589">
                  <w:pPr>
                    <w:jc w:val="center"/>
                    <w:rPr>
                      <w:rFonts w:cs="Times New Roman"/>
                      <w:b/>
                      <w:bCs/>
                      <w:color w:val="auto"/>
                      <w:szCs w:val="21"/>
                    </w:rPr>
                  </w:pPr>
                  <w:r>
                    <w:rPr>
                      <w:rFonts w:cs="Times New Roman"/>
                      <w:b/>
                      <w:bCs/>
                      <w:color w:val="auto"/>
                      <w:szCs w:val="21"/>
                    </w:rPr>
                    <w:t>声功率级/dB（A）</w:t>
                  </w:r>
                </w:p>
              </w:tc>
              <w:tc>
                <w:tcPr>
                  <w:tcW w:w="688" w:type="pct"/>
                  <w:vMerge w:val="continue"/>
                  <w:tcBorders>
                    <w:tl2br w:val="nil"/>
                    <w:tr2bl w:val="nil"/>
                  </w:tcBorders>
                  <w:vAlign w:val="center"/>
                </w:tcPr>
                <w:p w14:paraId="25B9E54B">
                  <w:pPr>
                    <w:jc w:val="center"/>
                    <w:rPr>
                      <w:rFonts w:cs="Times New Roman"/>
                      <w:b/>
                      <w:bCs/>
                      <w:color w:val="auto"/>
                      <w:szCs w:val="21"/>
                    </w:rPr>
                  </w:pPr>
                </w:p>
              </w:tc>
              <w:tc>
                <w:tcPr>
                  <w:tcW w:w="844" w:type="pct"/>
                  <w:vMerge w:val="continue"/>
                  <w:tcBorders>
                    <w:tl2br w:val="nil"/>
                    <w:tr2bl w:val="nil"/>
                  </w:tcBorders>
                  <w:vAlign w:val="center"/>
                </w:tcPr>
                <w:p w14:paraId="57F2BEEF">
                  <w:pPr>
                    <w:jc w:val="center"/>
                    <w:rPr>
                      <w:rFonts w:cs="Times New Roman"/>
                      <w:b/>
                      <w:bCs/>
                      <w:color w:val="auto"/>
                      <w:szCs w:val="21"/>
                    </w:rPr>
                  </w:pPr>
                </w:p>
              </w:tc>
            </w:tr>
            <w:tr w14:paraId="7153BF7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5" w:hRule="atLeast"/>
                <w:jc w:val="center"/>
              </w:trPr>
              <w:tc>
                <w:tcPr>
                  <w:tcW w:w="239" w:type="pct"/>
                  <w:tcBorders>
                    <w:tl2br w:val="nil"/>
                    <w:tr2bl w:val="nil"/>
                  </w:tcBorders>
                  <w:vAlign w:val="center"/>
                </w:tcPr>
                <w:p w14:paraId="1DB0E8E1">
                  <w:pPr>
                    <w:jc w:val="center"/>
                    <w:textAlignment w:val="baseline"/>
                    <w:rPr>
                      <w:rFonts w:cs="Times New Roman"/>
                      <w:color w:val="auto"/>
                      <w:szCs w:val="21"/>
                      <w:lang w:bidi="ar"/>
                    </w:rPr>
                  </w:pPr>
                  <w:r>
                    <w:rPr>
                      <w:rFonts w:cs="Times New Roman"/>
                      <w:color w:val="auto"/>
                      <w:szCs w:val="21"/>
                      <w:lang w:bidi="ar"/>
                    </w:rPr>
                    <w:t>1</w:t>
                  </w:r>
                </w:p>
              </w:tc>
              <w:tc>
                <w:tcPr>
                  <w:tcW w:w="521" w:type="pct"/>
                  <w:tcBorders>
                    <w:tl2br w:val="nil"/>
                    <w:tr2bl w:val="nil"/>
                  </w:tcBorders>
                  <w:vAlign w:val="center"/>
                </w:tcPr>
                <w:p w14:paraId="2E0F1099">
                  <w:pPr>
                    <w:jc w:val="center"/>
                    <w:textAlignment w:val="baseline"/>
                    <w:rPr>
                      <w:rFonts w:cs="Times New Roman"/>
                      <w:color w:val="auto"/>
                      <w:szCs w:val="21"/>
                    </w:rPr>
                  </w:pPr>
                  <w:r>
                    <w:rPr>
                      <w:rFonts w:cs="Times New Roman"/>
                      <w:color w:val="auto"/>
                    </w:rPr>
                    <w:t>挖土机</w:t>
                  </w:r>
                </w:p>
              </w:tc>
              <w:tc>
                <w:tcPr>
                  <w:tcW w:w="320" w:type="pct"/>
                  <w:tcBorders>
                    <w:tl2br w:val="nil"/>
                    <w:tr2bl w:val="nil"/>
                  </w:tcBorders>
                  <w:vAlign w:val="center"/>
                </w:tcPr>
                <w:p w14:paraId="0438362E">
                  <w:pPr>
                    <w:jc w:val="center"/>
                    <w:rPr>
                      <w:rFonts w:cs="Times New Roman"/>
                      <w:color w:val="auto"/>
                      <w:szCs w:val="21"/>
                    </w:rPr>
                  </w:pPr>
                  <w:r>
                    <w:rPr>
                      <w:rFonts w:cs="Times New Roman"/>
                      <w:color w:val="auto"/>
                      <w:szCs w:val="21"/>
                    </w:rPr>
                    <w:t>/</w:t>
                  </w:r>
                </w:p>
              </w:tc>
              <w:tc>
                <w:tcPr>
                  <w:tcW w:w="587" w:type="dxa"/>
                  <w:tcBorders>
                    <w:tl2br w:val="nil"/>
                    <w:tr2bl w:val="nil"/>
                  </w:tcBorders>
                  <w:vAlign w:val="center"/>
                </w:tcPr>
                <w:p w14:paraId="46BD3132">
                  <w:pPr>
                    <w:jc w:val="center"/>
                    <w:rPr>
                      <w:rFonts w:cs="Times New Roman"/>
                      <w:color w:val="auto"/>
                      <w:szCs w:val="21"/>
                      <w:highlight w:val="yellow"/>
                    </w:rPr>
                  </w:pPr>
                  <w:r>
                    <w:rPr>
                      <w:rFonts w:hint="eastAsia"/>
                    </w:rPr>
                    <w:t>69.28</w:t>
                  </w:r>
                </w:p>
              </w:tc>
              <w:tc>
                <w:tcPr>
                  <w:tcW w:w="700" w:type="dxa"/>
                  <w:tcBorders>
                    <w:tl2br w:val="nil"/>
                    <w:tr2bl w:val="nil"/>
                  </w:tcBorders>
                  <w:vAlign w:val="center"/>
                </w:tcPr>
                <w:p w14:paraId="2E03A8ED">
                  <w:pPr>
                    <w:jc w:val="center"/>
                    <w:rPr>
                      <w:rFonts w:cs="Times New Roman"/>
                      <w:color w:val="auto"/>
                      <w:szCs w:val="21"/>
                      <w:highlight w:val="yellow"/>
                    </w:rPr>
                  </w:pPr>
                  <w:r>
                    <w:rPr>
                      <w:rFonts w:hint="eastAsia"/>
                    </w:rPr>
                    <w:t>51.62</w:t>
                  </w:r>
                </w:p>
              </w:tc>
              <w:tc>
                <w:tcPr>
                  <w:tcW w:w="367" w:type="pct"/>
                  <w:tcBorders>
                    <w:tl2br w:val="nil"/>
                    <w:tr2bl w:val="nil"/>
                  </w:tcBorders>
                  <w:vAlign w:val="center"/>
                </w:tcPr>
                <w:p w14:paraId="661431AB">
                  <w:pPr>
                    <w:jc w:val="center"/>
                    <w:rPr>
                      <w:rFonts w:cs="Times New Roman"/>
                      <w:color w:val="auto"/>
                      <w:szCs w:val="21"/>
                      <w:highlight w:val="none"/>
                    </w:rPr>
                  </w:pPr>
                  <w:r>
                    <w:rPr>
                      <w:rFonts w:cs="Times New Roman"/>
                      <w:color w:val="auto"/>
                      <w:highlight w:val="none"/>
                    </w:rPr>
                    <w:t>1</w:t>
                  </w:r>
                </w:p>
              </w:tc>
              <w:tc>
                <w:tcPr>
                  <w:tcW w:w="760" w:type="pct"/>
                  <w:tcBorders>
                    <w:tl2br w:val="nil"/>
                    <w:tr2bl w:val="nil"/>
                  </w:tcBorders>
                  <w:vAlign w:val="center"/>
                </w:tcPr>
                <w:p w14:paraId="690D42F4">
                  <w:pPr>
                    <w:jc w:val="center"/>
                    <w:rPr>
                      <w:rFonts w:cs="Times New Roman"/>
                      <w:color w:val="auto"/>
                      <w:szCs w:val="21"/>
                    </w:rPr>
                  </w:pPr>
                  <w:r>
                    <w:rPr>
                      <w:rFonts w:cs="Times New Roman"/>
                      <w:color w:val="auto"/>
                      <w:szCs w:val="21"/>
                    </w:rPr>
                    <w:t>/</w:t>
                  </w:r>
                </w:p>
              </w:tc>
              <w:tc>
                <w:tcPr>
                  <w:tcW w:w="490" w:type="pct"/>
                  <w:tcBorders>
                    <w:tl2br w:val="nil"/>
                    <w:tr2bl w:val="nil"/>
                  </w:tcBorders>
                  <w:vAlign w:val="center"/>
                </w:tcPr>
                <w:p w14:paraId="51232A35">
                  <w:pPr>
                    <w:jc w:val="center"/>
                    <w:rPr>
                      <w:rFonts w:cs="Times New Roman"/>
                      <w:color w:val="auto"/>
                      <w:szCs w:val="21"/>
                    </w:rPr>
                  </w:pPr>
                  <w:r>
                    <w:rPr>
                      <w:rFonts w:cs="Times New Roman"/>
                      <w:color w:val="auto"/>
                    </w:rPr>
                    <w:t>95</w:t>
                  </w:r>
                </w:p>
              </w:tc>
              <w:tc>
                <w:tcPr>
                  <w:tcW w:w="688" w:type="pct"/>
                  <w:vMerge w:val="restart"/>
                  <w:tcBorders>
                    <w:tl2br w:val="nil"/>
                    <w:tr2bl w:val="nil"/>
                  </w:tcBorders>
                  <w:vAlign w:val="center"/>
                </w:tcPr>
                <w:p w14:paraId="23E89805">
                  <w:pPr>
                    <w:jc w:val="center"/>
                    <w:rPr>
                      <w:rFonts w:cs="Times New Roman"/>
                      <w:color w:val="auto"/>
                      <w:szCs w:val="21"/>
                    </w:rPr>
                  </w:pPr>
                  <w:r>
                    <w:rPr>
                      <w:rFonts w:cs="Times New Roman"/>
                      <w:color w:val="auto"/>
                      <w:szCs w:val="21"/>
                    </w:rPr>
                    <w:t>选用低噪声设备，合理布置设备，加强管理</w:t>
                  </w:r>
                </w:p>
              </w:tc>
              <w:tc>
                <w:tcPr>
                  <w:tcW w:w="844" w:type="pct"/>
                  <w:tcBorders>
                    <w:tl2br w:val="nil"/>
                    <w:tr2bl w:val="nil"/>
                  </w:tcBorders>
                  <w:vAlign w:val="center"/>
                </w:tcPr>
                <w:p w14:paraId="6F61447A">
                  <w:pPr>
                    <w:jc w:val="center"/>
                    <w:rPr>
                      <w:rFonts w:cs="Times New Roman"/>
                      <w:color w:val="auto"/>
                      <w:szCs w:val="21"/>
                    </w:rPr>
                  </w:pPr>
                  <w:r>
                    <w:rPr>
                      <w:rFonts w:cs="Times New Roman"/>
                      <w:color w:val="auto"/>
                    </w:rPr>
                    <w:t>昼间</w:t>
                  </w:r>
                </w:p>
              </w:tc>
            </w:tr>
            <w:tr w14:paraId="7BF74CB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5" w:hRule="atLeast"/>
                <w:jc w:val="center"/>
              </w:trPr>
              <w:tc>
                <w:tcPr>
                  <w:tcW w:w="239" w:type="pct"/>
                  <w:tcBorders>
                    <w:tl2br w:val="nil"/>
                    <w:tr2bl w:val="nil"/>
                  </w:tcBorders>
                  <w:vAlign w:val="center"/>
                </w:tcPr>
                <w:p w14:paraId="7C48A8DF">
                  <w:pPr>
                    <w:jc w:val="center"/>
                    <w:textAlignment w:val="baseline"/>
                    <w:rPr>
                      <w:rFonts w:cs="Times New Roman"/>
                      <w:color w:val="auto"/>
                      <w:szCs w:val="21"/>
                      <w:lang w:bidi="ar"/>
                    </w:rPr>
                  </w:pPr>
                  <w:r>
                    <w:rPr>
                      <w:rFonts w:cs="Times New Roman"/>
                      <w:color w:val="auto"/>
                      <w:szCs w:val="21"/>
                      <w:lang w:bidi="ar"/>
                    </w:rPr>
                    <w:t>2</w:t>
                  </w:r>
                </w:p>
              </w:tc>
              <w:tc>
                <w:tcPr>
                  <w:tcW w:w="521" w:type="pct"/>
                  <w:tcBorders>
                    <w:tl2br w:val="nil"/>
                    <w:tr2bl w:val="nil"/>
                  </w:tcBorders>
                  <w:vAlign w:val="center"/>
                </w:tcPr>
                <w:p w14:paraId="12D42372">
                  <w:pPr>
                    <w:jc w:val="center"/>
                    <w:textAlignment w:val="baseline"/>
                    <w:rPr>
                      <w:rFonts w:cs="Times New Roman"/>
                      <w:color w:val="auto"/>
                      <w:szCs w:val="21"/>
                    </w:rPr>
                  </w:pPr>
                  <w:r>
                    <w:rPr>
                      <w:rFonts w:cs="Times New Roman"/>
                      <w:color w:val="auto"/>
                    </w:rPr>
                    <w:t>打桩机</w:t>
                  </w:r>
                </w:p>
              </w:tc>
              <w:tc>
                <w:tcPr>
                  <w:tcW w:w="320" w:type="pct"/>
                  <w:tcBorders>
                    <w:tl2br w:val="nil"/>
                    <w:tr2bl w:val="nil"/>
                  </w:tcBorders>
                  <w:vAlign w:val="center"/>
                </w:tcPr>
                <w:p w14:paraId="56CBA741">
                  <w:pPr>
                    <w:jc w:val="center"/>
                    <w:rPr>
                      <w:rFonts w:cs="Times New Roman"/>
                      <w:color w:val="auto"/>
                      <w:szCs w:val="21"/>
                    </w:rPr>
                  </w:pPr>
                  <w:r>
                    <w:rPr>
                      <w:rFonts w:cs="Times New Roman"/>
                      <w:color w:val="auto"/>
                      <w:szCs w:val="21"/>
                    </w:rPr>
                    <w:t>/</w:t>
                  </w:r>
                </w:p>
              </w:tc>
              <w:tc>
                <w:tcPr>
                  <w:tcW w:w="587" w:type="dxa"/>
                  <w:tcBorders>
                    <w:tl2br w:val="nil"/>
                    <w:tr2bl w:val="nil"/>
                  </w:tcBorders>
                  <w:vAlign w:val="center"/>
                </w:tcPr>
                <w:p w14:paraId="4E021478">
                  <w:pPr>
                    <w:jc w:val="center"/>
                    <w:rPr>
                      <w:rFonts w:cs="Times New Roman"/>
                      <w:color w:val="auto"/>
                      <w:szCs w:val="21"/>
                      <w:highlight w:val="yellow"/>
                    </w:rPr>
                  </w:pPr>
                  <w:r>
                    <w:rPr>
                      <w:rFonts w:hint="eastAsia"/>
                    </w:rPr>
                    <w:t>51.07</w:t>
                  </w:r>
                </w:p>
              </w:tc>
              <w:tc>
                <w:tcPr>
                  <w:tcW w:w="700" w:type="dxa"/>
                  <w:tcBorders>
                    <w:tl2br w:val="nil"/>
                    <w:tr2bl w:val="nil"/>
                  </w:tcBorders>
                  <w:vAlign w:val="center"/>
                </w:tcPr>
                <w:p w14:paraId="666E688E">
                  <w:pPr>
                    <w:jc w:val="center"/>
                    <w:rPr>
                      <w:rFonts w:cs="Times New Roman"/>
                      <w:color w:val="auto"/>
                      <w:szCs w:val="21"/>
                      <w:highlight w:val="yellow"/>
                    </w:rPr>
                  </w:pPr>
                  <w:r>
                    <w:rPr>
                      <w:rFonts w:hint="eastAsia"/>
                    </w:rPr>
                    <w:t>42.82</w:t>
                  </w:r>
                </w:p>
              </w:tc>
              <w:tc>
                <w:tcPr>
                  <w:tcW w:w="367" w:type="pct"/>
                  <w:tcBorders>
                    <w:tl2br w:val="nil"/>
                    <w:tr2bl w:val="nil"/>
                  </w:tcBorders>
                  <w:vAlign w:val="center"/>
                </w:tcPr>
                <w:p w14:paraId="547CCBCF">
                  <w:pPr>
                    <w:jc w:val="center"/>
                    <w:rPr>
                      <w:rFonts w:cs="Times New Roman"/>
                      <w:color w:val="auto"/>
                      <w:szCs w:val="21"/>
                      <w:highlight w:val="none"/>
                    </w:rPr>
                  </w:pPr>
                  <w:r>
                    <w:rPr>
                      <w:rFonts w:cs="Times New Roman"/>
                      <w:color w:val="auto"/>
                      <w:highlight w:val="none"/>
                    </w:rPr>
                    <w:t>1</w:t>
                  </w:r>
                </w:p>
              </w:tc>
              <w:tc>
                <w:tcPr>
                  <w:tcW w:w="760" w:type="pct"/>
                  <w:tcBorders>
                    <w:tl2br w:val="nil"/>
                    <w:tr2bl w:val="nil"/>
                  </w:tcBorders>
                  <w:vAlign w:val="center"/>
                </w:tcPr>
                <w:p w14:paraId="3CBB0D84">
                  <w:pPr>
                    <w:jc w:val="center"/>
                    <w:rPr>
                      <w:rFonts w:cs="Times New Roman"/>
                      <w:color w:val="auto"/>
                      <w:szCs w:val="21"/>
                    </w:rPr>
                  </w:pPr>
                  <w:r>
                    <w:rPr>
                      <w:rFonts w:cs="Times New Roman"/>
                      <w:color w:val="auto"/>
                      <w:szCs w:val="21"/>
                    </w:rPr>
                    <w:t>/</w:t>
                  </w:r>
                </w:p>
              </w:tc>
              <w:tc>
                <w:tcPr>
                  <w:tcW w:w="490" w:type="pct"/>
                  <w:tcBorders>
                    <w:tl2br w:val="nil"/>
                    <w:tr2bl w:val="nil"/>
                  </w:tcBorders>
                  <w:vAlign w:val="center"/>
                </w:tcPr>
                <w:p w14:paraId="638C5F62">
                  <w:pPr>
                    <w:jc w:val="center"/>
                    <w:rPr>
                      <w:rFonts w:cs="Times New Roman"/>
                      <w:color w:val="auto"/>
                      <w:szCs w:val="21"/>
                    </w:rPr>
                  </w:pPr>
                  <w:r>
                    <w:rPr>
                      <w:rFonts w:cs="Times New Roman"/>
                      <w:color w:val="auto"/>
                    </w:rPr>
                    <w:t>95</w:t>
                  </w:r>
                </w:p>
              </w:tc>
              <w:tc>
                <w:tcPr>
                  <w:tcW w:w="688" w:type="pct"/>
                  <w:vMerge w:val="continue"/>
                  <w:tcBorders>
                    <w:tl2br w:val="nil"/>
                    <w:tr2bl w:val="nil"/>
                  </w:tcBorders>
                  <w:vAlign w:val="center"/>
                </w:tcPr>
                <w:p w14:paraId="70FEE228">
                  <w:pPr>
                    <w:jc w:val="center"/>
                    <w:rPr>
                      <w:rFonts w:cs="Times New Roman"/>
                      <w:color w:val="auto"/>
                      <w:szCs w:val="21"/>
                    </w:rPr>
                  </w:pPr>
                </w:p>
              </w:tc>
              <w:tc>
                <w:tcPr>
                  <w:tcW w:w="844" w:type="pct"/>
                  <w:tcBorders>
                    <w:tl2br w:val="nil"/>
                    <w:tr2bl w:val="nil"/>
                  </w:tcBorders>
                  <w:vAlign w:val="center"/>
                </w:tcPr>
                <w:p w14:paraId="6AC1E6C8">
                  <w:pPr>
                    <w:jc w:val="center"/>
                    <w:rPr>
                      <w:rFonts w:cs="Times New Roman"/>
                      <w:color w:val="auto"/>
                      <w:szCs w:val="21"/>
                    </w:rPr>
                  </w:pPr>
                  <w:r>
                    <w:rPr>
                      <w:rFonts w:cs="Times New Roman"/>
                      <w:color w:val="auto"/>
                      <w:szCs w:val="21"/>
                    </w:rPr>
                    <w:t>昼间</w:t>
                  </w:r>
                </w:p>
              </w:tc>
            </w:tr>
            <w:tr w14:paraId="2B2A385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5" w:hRule="atLeast"/>
                <w:jc w:val="center"/>
              </w:trPr>
              <w:tc>
                <w:tcPr>
                  <w:tcW w:w="239" w:type="pct"/>
                  <w:tcBorders>
                    <w:tl2br w:val="nil"/>
                    <w:tr2bl w:val="nil"/>
                  </w:tcBorders>
                  <w:vAlign w:val="center"/>
                </w:tcPr>
                <w:p w14:paraId="70533AEF">
                  <w:pPr>
                    <w:jc w:val="center"/>
                    <w:textAlignment w:val="baseline"/>
                    <w:rPr>
                      <w:rFonts w:cs="Times New Roman"/>
                      <w:color w:val="auto"/>
                      <w:szCs w:val="21"/>
                    </w:rPr>
                  </w:pPr>
                  <w:r>
                    <w:rPr>
                      <w:rFonts w:cs="Times New Roman"/>
                      <w:color w:val="auto"/>
                      <w:szCs w:val="21"/>
                    </w:rPr>
                    <w:t>3</w:t>
                  </w:r>
                </w:p>
              </w:tc>
              <w:tc>
                <w:tcPr>
                  <w:tcW w:w="521" w:type="pct"/>
                  <w:tcBorders>
                    <w:tl2br w:val="nil"/>
                    <w:tr2bl w:val="nil"/>
                  </w:tcBorders>
                  <w:vAlign w:val="center"/>
                </w:tcPr>
                <w:p w14:paraId="106A6790">
                  <w:pPr>
                    <w:jc w:val="center"/>
                    <w:textAlignment w:val="baseline"/>
                    <w:rPr>
                      <w:rFonts w:cs="Times New Roman"/>
                      <w:color w:val="auto"/>
                      <w:szCs w:val="21"/>
                    </w:rPr>
                  </w:pPr>
                  <w:r>
                    <w:rPr>
                      <w:rFonts w:cs="Times New Roman"/>
                      <w:color w:val="auto"/>
                    </w:rPr>
                    <w:t>振捣器</w:t>
                  </w:r>
                </w:p>
              </w:tc>
              <w:tc>
                <w:tcPr>
                  <w:tcW w:w="320" w:type="pct"/>
                  <w:tcBorders>
                    <w:tl2br w:val="nil"/>
                    <w:tr2bl w:val="nil"/>
                  </w:tcBorders>
                  <w:vAlign w:val="center"/>
                </w:tcPr>
                <w:p w14:paraId="4112CD40">
                  <w:pPr>
                    <w:jc w:val="center"/>
                    <w:rPr>
                      <w:rFonts w:cs="Times New Roman"/>
                      <w:color w:val="auto"/>
                      <w:szCs w:val="21"/>
                    </w:rPr>
                  </w:pPr>
                  <w:r>
                    <w:rPr>
                      <w:rFonts w:cs="Times New Roman"/>
                      <w:color w:val="auto"/>
                      <w:szCs w:val="21"/>
                    </w:rPr>
                    <w:t>/</w:t>
                  </w:r>
                </w:p>
              </w:tc>
              <w:tc>
                <w:tcPr>
                  <w:tcW w:w="587" w:type="dxa"/>
                  <w:tcBorders>
                    <w:tl2br w:val="nil"/>
                    <w:tr2bl w:val="nil"/>
                  </w:tcBorders>
                  <w:vAlign w:val="center"/>
                </w:tcPr>
                <w:p w14:paraId="14D33836">
                  <w:pPr>
                    <w:jc w:val="center"/>
                    <w:rPr>
                      <w:rFonts w:cs="Times New Roman"/>
                      <w:color w:val="auto"/>
                      <w:szCs w:val="21"/>
                      <w:highlight w:val="yellow"/>
                    </w:rPr>
                  </w:pPr>
                  <w:r>
                    <w:rPr>
                      <w:rFonts w:hint="eastAsia"/>
                    </w:rPr>
                    <w:t>85.32</w:t>
                  </w:r>
                </w:p>
              </w:tc>
              <w:tc>
                <w:tcPr>
                  <w:tcW w:w="700" w:type="dxa"/>
                  <w:tcBorders>
                    <w:tl2br w:val="nil"/>
                    <w:tr2bl w:val="nil"/>
                  </w:tcBorders>
                  <w:vAlign w:val="center"/>
                </w:tcPr>
                <w:p w14:paraId="4BDCA44C">
                  <w:pPr>
                    <w:jc w:val="center"/>
                    <w:rPr>
                      <w:rFonts w:cs="Times New Roman"/>
                      <w:color w:val="auto"/>
                      <w:szCs w:val="21"/>
                      <w:highlight w:val="yellow"/>
                    </w:rPr>
                  </w:pPr>
                  <w:r>
                    <w:rPr>
                      <w:rFonts w:hint="eastAsia"/>
                    </w:rPr>
                    <w:t>38.56</w:t>
                  </w:r>
                </w:p>
              </w:tc>
              <w:tc>
                <w:tcPr>
                  <w:tcW w:w="367" w:type="pct"/>
                  <w:tcBorders>
                    <w:tl2br w:val="nil"/>
                    <w:tr2bl w:val="nil"/>
                  </w:tcBorders>
                  <w:vAlign w:val="center"/>
                </w:tcPr>
                <w:p w14:paraId="52140659">
                  <w:pPr>
                    <w:jc w:val="center"/>
                    <w:rPr>
                      <w:rFonts w:cs="Times New Roman"/>
                      <w:color w:val="auto"/>
                      <w:szCs w:val="21"/>
                      <w:highlight w:val="none"/>
                    </w:rPr>
                  </w:pPr>
                  <w:r>
                    <w:rPr>
                      <w:rFonts w:cs="Times New Roman"/>
                      <w:color w:val="auto"/>
                      <w:highlight w:val="none"/>
                    </w:rPr>
                    <w:t>1</w:t>
                  </w:r>
                </w:p>
              </w:tc>
              <w:tc>
                <w:tcPr>
                  <w:tcW w:w="760" w:type="pct"/>
                  <w:tcBorders>
                    <w:tl2br w:val="nil"/>
                    <w:tr2bl w:val="nil"/>
                  </w:tcBorders>
                  <w:vAlign w:val="center"/>
                </w:tcPr>
                <w:p w14:paraId="3EF2B2B9">
                  <w:pPr>
                    <w:jc w:val="center"/>
                    <w:rPr>
                      <w:rFonts w:cs="Times New Roman"/>
                      <w:color w:val="auto"/>
                      <w:szCs w:val="21"/>
                    </w:rPr>
                  </w:pPr>
                  <w:r>
                    <w:rPr>
                      <w:rFonts w:cs="Times New Roman"/>
                      <w:color w:val="auto"/>
                      <w:szCs w:val="21"/>
                    </w:rPr>
                    <w:t>/</w:t>
                  </w:r>
                </w:p>
              </w:tc>
              <w:tc>
                <w:tcPr>
                  <w:tcW w:w="490" w:type="pct"/>
                  <w:tcBorders>
                    <w:tl2br w:val="nil"/>
                    <w:tr2bl w:val="nil"/>
                  </w:tcBorders>
                  <w:vAlign w:val="center"/>
                </w:tcPr>
                <w:p w14:paraId="72326AF0">
                  <w:pPr>
                    <w:jc w:val="center"/>
                    <w:rPr>
                      <w:rFonts w:cs="Times New Roman"/>
                      <w:color w:val="auto"/>
                      <w:szCs w:val="21"/>
                    </w:rPr>
                  </w:pPr>
                  <w:r>
                    <w:rPr>
                      <w:rFonts w:cs="Times New Roman"/>
                      <w:color w:val="auto"/>
                    </w:rPr>
                    <w:t>95</w:t>
                  </w:r>
                </w:p>
              </w:tc>
              <w:tc>
                <w:tcPr>
                  <w:tcW w:w="688" w:type="pct"/>
                  <w:vMerge w:val="continue"/>
                  <w:tcBorders>
                    <w:tl2br w:val="nil"/>
                    <w:tr2bl w:val="nil"/>
                  </w:tcBorders>
                  <w:vAlign w:val="center"/>
                </w:tcPr>
                <w:p w14:paraId="24C0D00B">
                  <w:pPr>
                    <w:jc w:val="center"/>
                    <w:rPr>
                      <w:rFonts w:cs="Times New Roman"/>
                      <w:color w:val="auto"/>
                      <w:szCs w:val="21"/>
                    </w:rPr>
                  </w:pPr>
                </w:p>
              </w:tc>
              <w:tc>
                <w:tcPr>
                  <w:tcW w:w="844" w:type="pct"/>
                  <w:tcBorders>
                    <w:tl2br w:val="nil"/>
                    <w:tr2bl w:val="nil"/>
                  </w:tcBorders>
                  <w:vAlign w:val="center"/>
                </w:tcPr>
                <w:p w14:paraId="653A7DEC">
                  <w:pPr>
                    <w:jc w:val="center"/>
                    <w:rPr>
                      <w:rFonts w:cs="Times New Roman"/>
                      <w:color w:val="auto"/>
                    </w:rPr>
                  </w:pPr>
                  <w:r>
                    <w:rPr>
                      <w:rFonts w:cs="Times New Roman"/>
                      <w:color w:val="auto"/>
                    </w:rPr>
                    <w:t>昼间</w:t>
                  </w:r>
                </w:p>
              </w:tc>
            </w:tr>
            <w:tr w14:paraId="65BC131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713" w:hRule="atLeast"/>
                <w:jc w:val="center"/>
              </w:trPr>
              <w:tc>
                <w:tcPr>
                  <w:tcW w:w="239" w:type="pct"/>
                  <w:tcBorders>
                    <w:tl2br w:val="nil"/>
                    <w:tr2bl w:val="nil"/>
                  </w:tcBorders>
                  <w:vAlign w:val="center"/>
                </w:tcPr>
                <w:p w14:paraId="00889938">
                  <w:pPr>
                    <w:jc w:val="center"/>
                    <w:textAlignment w:val="baseline"/>
                    <w:rPr>
                      <w:rFonts w:cs="Times New Roman"/>
                      <w:color w:val="auto"/>
                      <w:szCs w:val="21"/>
                    </w:rPr>
                  </w:pPr>
                  <w:r>
                    <w:rPr>
                      <w:rFonts w:cs="Times New Roman"/>
                      <w:color w:val="auto"/>
                      <w:szCs w:val="21"/>
                    </w:rPr>
                    <w:t>4</w:t>
                  </w:r>
                </w:p>
              </w:tc>
              <w:tc>
                <w:tcPr>
                  <w:tcW w:w="521" w:type="pct"/>
                  <w:tcBorders>
                    <w:tl2br w:val="nil"/>
                    <w:tr2bl w:val="nil"/>
                  </w:tcBorders>
                  <w:vAlign w:val="center"/>
                </w:tcPr>
                <w:p w14:paraId="309F0612">
                  <w:pPr>
                    <w:jc w:val="center"/>
                    <w:textAlignment w:val="baseline"/>
                    <w:rPr>
                      <w:rFonts w:cs="Times New Roman"/>
                      <w:color w:val="auto"/>
                      <w:szCs w:val="21"/>
                    </w:rPr>
                  </w:pPr>
                  <w:r>
                    <w:rPr>
                      <w:rFonts w:cs="Times New Roman"/>
                      <w:color w:val="auto"/>
                    </w:rPr>
                    <w:t>电钻、手工钻</w:t>
                  </w:r>
                </w:p>
              </w:tc>
              <w:tc>
                <w:tcPr>
                  <w:tcW w:w="320" w:type="pct"/>
                  <w:tcBorders>
                    <w:tl2br w:val="nil"/>
                    <w:tr2bl w:val="nil"/>
                  </w:tcBorders>
                  <w:vAlign w:val="center"/>
                </w:tcPr>
                <w:p w14:paraId="6437EA45">
                  <w:pPr>
                    <w:jc w:val="center"/>
                    <w:rPr>
                      <w:rFonts w:cs="Times New Roman"/>
                      <w:color w:val="auto"/>
                      <w:szCs w:val="21"/>
                    </w:rPr>
                  </w:pPr>
                  <w:r>
                    <w:rPr>
                      <w:rFonts w:cs="Times New Roman"/>
                      <w:color w:val="auto"/>
                      <w:szCs w:val="21"/>
                    </w:rPr>
                    <w:t>/</w:t>
                  </w:r>
                </w:p>
              </w:tc>
              <w:tc>
                <w:tcPr>
                  <w:tcW w:w="587" w:type="dxa"/>
                  <w:tcBorders>
                    <w:tl2br w:val="nil"/>
                    <w:tr2bl w:val="nil"/>
                  </w:tcBorders>
                  <w:vAlign w:val="center"/>
                </w:tcPr>
                <w:p w14:paraId="2FB1C2CE">
                  <w:pPr>
                    <w:jc w:val="center"/>
                    <w:rPr>
                      <w:rFonts w:cs="Times New Roman"/>
                      <w:color w:val="auto"/>
                      <w:szCs w:val="21"/>
                      <w:highlight w:val="yellow"/>
                    </w:rPr>
                  </w:pPr>
                  <w:r>
                    <w:rPr>
                      <w:rFonts w:hint="eastAsia"/>
                    </w:rPr>
                    <w:t>53.2</w:t>
                  </w:r>
                </w:p>
              </w:tc>
              <w:tc>
                <w:tcPr>
                  <w:tcW w:w="700" w:type="dxa"/>
                  <w:tcBorders>
                    <w:tl2br w:val="nil"/>
                    <w:tr2bl w:val="nil"/>
                  </w:tcBorders>
                  <w:vAlign w:val="center"/>
                </w:tcPr>
                <w:p w14:paraId="499A7CF8">
                  <w:pPr>
                    <w:jc w:val="center"/>
                    <w:rPr>
                      <w:rFonts w:cs="Times New Roman"/>
                      <w:color w:val="auto"/>
                      <w:szCs w:val="21"/>
                      <w:highlight w:val="yellow"/>
                    </w:rPr>
                  </w:pPr>
                  <w:r>
                    <w:rPr>
                      <w:rFonts w:hint="eastAsia"/>
                    </w:rPr>
                    <w:t>19.2</w:t>
                  </w:r>
                </w:p>
              </w:tc>
              <w:tc>
                <w:tcPr>
                  <w:tcW w:w="367" w:type="pct"/>
                  <w:tcBorders>
                    <w:tl2br w:val="nil"/>
                    <w:tr2bl w:val="nil"/>
                  </w:tcBorders>
                  <w:vAlign w:val="center"/>
                </w:tcPr>
                <w:p w14:paraId="1AA8A662">
                  <w:pPr>
                    <w:jc w:val="center"/>
                    <w:rPr>
                      <w:rFonts w:cs="Times New Roman"/>
                      <w:color w:val="auto"/>
                      <w:szCs w:val="21"/>
                      <w:highlight w:val="none"/>
                    </w:rPr>
                  </w:pPr>
                  <w:r>
                    <w:rPr>
                      <w:rFonts w:cs="Times New Roman"/>
                      <w:color w:val="auto"/>
                      <w:highlight w:val="none"/>
                    </w:rPr>
                    <w:t>0.5</w:t>
                  </w:r>
                </w:p>
              </w:tc>
              <w:tc>
                <w:tcPr>
                  <w:tcW w:w="760" w:type="pct"/>
                  <w:tcBorders>
                    <w:tl2br w:val="nil"/>
                    <w:tr2bl w:val="nil"/>
                  </w:tcBorders>
                  <w:vAlign w:val="center"/>
                </w:tcPr>
                <w:p w14:paraId="24BB325E">
                  <w:pPr>
                    <w:jc w:val="center"/>
                    <w:rPr>
                      <w:rFonts w:cs="Times New Roman"/>
                      <w:color w:val="auto"/>
                      <w:szCs w:val="21"/>
                    </w:rPr>
                  </w:pPr>
                  <w:r>
                    <w:rPr>
                      <w:rFonts w:cs="Times New Roman"/>
                      <w:color w:val="auto"/>
                      <w:szCs w:val="21"/>
                    </w:rPr>
                    <w:t>/</w:t>
                  </w:r>
                </w:p>
              </w:tc>
              <w:tc>
                <w:tcPr>
                  <w:tcW w:w="490" w:type="pct"/>
                  <w:tcBorders>
                    <w:tl2br w:val="nil"/>
                    <w:tr2bl w:val="nil"/>
                  </w:tcBorders>
                  <w:vAlign w:val="center"/>
                </w:tcPr>
                <w:p w14:paraId="19692FC8">
                  <w:pPr>
                    <w:jc w:val="center"/>
                    <w:rPr>
                      <w:rFonts w:cs="Times New Roman"/>
                      <w:color w:val="auto"/>
                      <w:szCs w:val="21"/>
                    </w:rPr>
                  </w:pPr>
                  <w:r>
                    <w:rPr>
                      <w:rFonts w:cs="Times New Roman"/>
                      <w:color w:val="auto"/>
                    </w:rPr>
                    <w:t>95</w:t>
                  </w:r>
                </w:p>
              </w:tc>
              <w:tc>
                <w:tcPr>
                  <w:tcW w:w="688" w:type="pct"/>
                  <w:vMerge w:val="continue"/>
                  <w:tcBorders>
                    <w:tl2br w:val="nil"/>
                    <w:tr2bl w:val="nil"/>
                  </w:tcBorders>
                  <w:vAlign w:val="center"/>
                </w:tcPr>
                <w:p w14:paraId="3D3736BB">
                  <w:pPr>
                    <w:jc w:val="center"/>
                    <w:rPr>
                      <w:rFonts w:cs="Times New Roman"/>
                      <w:color w:val="auto"/>
                      <w:szCs w:val="21"/>
                    </w:rPr>
                  </w:pPr>
                </w:p>
              </w:tc>
              <w:tc>
                <w:tcPr>
                  <w:tcW w:w="844" w:type="pct"/>
                  <w:tcBorders>
                    <w:tl2br w:val="nil"/>
                    <w:tr2bl w:val="nil"/>
                  </w:tcBorders>
                  <w:vAlign w:val="center"/>
                </w:tcPr>
                <w:p w14:paraId="1DB07B01">
                  <w:pPr>
                    <w:jc w:val="center"/>
                    <w:rPr>
                      <w:rFonts w:cs="Times New Roman"/>
                      <w:color w:val="auto"/>
                    </w:rPr>
                  </w:pPr>
                  <w:r>
                    <w:rPr>
                      <w:rFonts w:cs="Times New Roman"/>
                      <w:color w:val="auto"/>
                    </w:rPr>
                    <w:t>昼间</w:t>
                  </w:r>
                </w:p>
              </w:tc>
            </w:tr>
          </w:tbl>
          <w:p w14:paraId="516513F8">
            <w:pPr>
              <w:spacing w:line="360" w:lineRule="auto"/>
              <w:ind w:firstLine="482" w:firstLineChars="200"/>
              <w:rPr>
                <w:rFonts w:cs="Times New Roman"/>
                <w:b/>
                <w:color w:val="auto"/>
                <w:sz w:val="24"/>
                <w:szCs w:val="24"/>
              </w:rPr>
            </w:pPr>
            <w:r>
              <w:rPr>
                <w:rFonts w:cs="Times New Roman"/>
                <w:b/>
                <w:color w:val="auto"/>
                <w:sz w:val="24"/>
                <w:szCs w:val="24"/>
              </w:rPr>
              <w:t>（2）达标情况分析</w:t>
            </w:r>
          </w:p>
          <w:p w14:paraId="5240CDFE">
            <w:pPr>
              <w:spacing w:line="360" w:lineRule="auto"/>
              <w:ind w:firstLine="482" w:firstLineChars="200"/>
              <w:rPr>
                <w:rFonts w:cs="Times New Roman"/>
                <w:b/>
                <w:color w:val="auto"/>
                <w:sz w:val="24"/>
                <w:szCs w:val="24"/>
              </w:rPr>
            </w:pPr>
            <w:r>
              <w:rPr>
                <w:rFonts w:cs="Times New Roman"/>
                <w:b/>
                <w:color w:val="auto"/>
                <w:sz w:val="24"/>
                <w:szCs w:val="24"/>
              </w:rPr>
              <w:t>1）预测模式</w:t>
            </w:r>
          </w:p>
          <w:p w14:paraId="011832DC">
            <w:pPr>
              <w:spacing w:line="360" w:lineRule="auto"/>
              <w:ind w:firstLine="480" w:firstLineChars="200"/>
              <w:rPr>
                <w:rFonts w:cs="Times New Roman"/>
                <w:color w:val="auto"/>
                <w:sz w:val="24"/>
                <w:szCs w:val="24"/>
              </w:rPr>
            </w:pPr>
            <w:r>
              <w:rPr>
                <w:rFonts w:cs="Times New Roman"/>
                <w:color w:val="auto"/>
                <w:sz w:val="24"/>
                <w:szCs w:val="24"/>
              </w:rPr>
              <w:t>本次评价采用《环境影响评价技术导则</w:t>
            </w:r>
            <w:r>
              <w:rPr>
                <w:rFonts w:hint="eastAsia" w:cs="Times New Roman"/>
                <w:color w:val="auto"/>
                <w:sz w:val="24"/>
                <w:szCs w:val="24"/>
                <w:lang w:eastAsia="zh-CN"/>
              </w:rPr>
              <w:t>—</w:t>
            </w:r>
            <w:r>
              <w:rPr>
                <w:rFonts w:cs="Times New Roman"/>
                <w:color w:val="auto"/>
                <w:sz w:val="24"/>
                <w:szCs w:val="24"/>
              </w:rPr>
              <w:t>声环境》（HJ2.4-2021）中推荐模式进行预测，用A声级计算。具体模式见运营期噪声达标情况分析。</w:t>
            </w:r>
          </w:p>
          <w:p w14:paraId="31024075">
            <w:pPr>
              <w:spacing w:line="360" w:lineRule="auto"/>
              <w:ind w:firstLine="482" w:firstLineChars="200"/>
              <w:rPr>
                <w:rFonts w:cs="Times New Roman"/>
                <w:b/>
                <w:bCs/>
                <w:color w:val="auto"/>
                <w:sz w:val="24"/>
                <w:szCs w:val="24"/>
              </w:rPr>
            </w:pPr>
            <w:r>
              <w:rPr>
                <w:rFonts w:cs="Times New Roman"/>
                <w:b/>
                <w:bCs/>
                <w:color w:val="auto"/>
                <w:sz w:val="24"/>
                <w:szCs w:val="24"/>
              </w:rPr>
              <w:t>2）预测结果</w:t>
            </w:r>
          </w:p>
          <w:p w14:paraId="61E5B76A">
            <w:pPr>
              <w:spacing w:line="360" w:lineRule="auto"/>
              <w:jc w:val="center"/>
              <w:rPr>
                <w:rFonts w:cs="Times New Roman"/>
                <w:b/>
                <w:bCs/>
                <w:color w:val="auto"/>
                <w:sz w:val="24"/>
                <w:szCs w:val="24"/>
              </w:rPr>
            </w:pPr>
            <w:r>
              <w:rPr>
                <w:rFonts w:cs="Times New Roman"/>
                <w:b/>
                <w:bCs/>
                <w:color w:val="auto"/>
                <w:sz w:val="24"/>
                <w:szCs w:val="24"/>
              </w:rPr>
              <w:t>表4-2  施工期昼间噪声预测结果</w:t>
            </w:r>
          </w:p>
          <w:tbl>
            <w:tblPr>
              <w:tblStyle w:val="25"/>
              <w:tblW w:w="8438"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76"/>
              <w:gridCol w:w="2020"/>
              <w:gridCol w:w="1284"/>
              <w:gridCol w:w="1187"/>
              <w:gridCol w:w="1231"/>
              <w:gridCol w:w="1313"/>
              <w:gridCol w:w="727"/>
            </w:tblGrid>
            <w:tr w14:paraId="255EEAF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39" w:hRule="atLeast"/>
                <w:tblHeader/>
              </w:trPr>
              <w:tc>
                <w:tcPr>
                  <w:tcW w:w="400" w:type="pct"/>
                  <w:vMerge w:val="restart"/>
                  <w:tcBorders>
                    <w:tl2br w:val="nil"/>
                    <w:tr2bl w:val="nil"/>
                  </w:tcBorders>
                  <w:shd w:val="clear" w:color="000000" w:themeColor="text1" w:fill="auto"/>
                  <w:vAlign w:val="center"/>
                </w:tcPr>
                <w:p w14:paraId="5391FFF1">
                  <w:pPr>
                    <w:jc w:val="center"/>
                    <w:rPr>
                      <w:rFonts w:cs="Times New Roman"/>
                      <w:b/>
                      <w:bCs/>
                      <w:color w:val="auto"/>
                      <w:szCs w:val="21"/>
                    </w:rPr>
                  </w:pPr>
                  <w:r>
                    <w:rPr>
                      <w:rFonts w:cs="Times New Roman"/>
                      <w:b/>
                      <w:bCs/>
                      <w:color w:val="auto"/>
                      <w:szCs w:val="21"/>
                    </w:rPr>
                    <w:t>编号</w:t>
                  </w:r>
                </w:p>
              </w:tc>
              <w:tc>
                <w:tcPr>
                  <w:tcW w:w="1196" w:type="pct"/>
                  <w:vMerge w:val="restart"/>
                  <w:tcBorders>
                    <w:tl2br w:val="nil"/>
                    <w:tr2bl w:val="nil"/>
                  </w:tcBorders>
                  <w:shd w:val="clear" w:color="000000" w:themeColor="text1" w:fill="auto"/>
                  <w:vAlign w:val="center"/>
                </w:tcPr>
                <w:p w14:paraId="2CE9DF16">
                  <w:pPr>
                    <w:jc w:val="center"/>
                    <w:rPr>
                      <w:rFonts w:cs="Times New Roman"/>
                      <w:b/>
                      <w:bCs/>
                      <w:color w:val="auto"/>
                      <w:szCs w:val="21"/>
                    </w:rPr>
                  </w:pPr>
                  <w:r>
                    <w:rPr>
                      <w:rFonts w:cs="Times New Roman"/>
                      <w:b/>
                      <w:bCs/>
                      <w:color w:val="auto"/>
                      <w:szCs w:val="21"/>
                    </w:rPr>
                    <w:t>预测点位置</w:t>
                  </w:r>
                </w:p>
              </w:tc>
              <w:tc>
                <w:tcPr>
                  <w:tcW w:w="760" w:type="pct"/>
                  <w:tcBorders>
                    <w:tl2br w:val="nil"/>
                    <w:tr2bl w:val="nil"/>
                  </w:tcBorders>
                  <w:shd w:val="clear" w:color="000000" w:themeColor="text1" w:fill="auto"/>
                  <w:vAlign w:val="center"/>
                </w:tcPr>
                <w:p w14:paraId="3263BA40">
                  <w:pPr>
                    <w:jc w:val="center"/>
                    <w:rPr>
                      <w:rFonts w:cs="Times New Roman"/>
                      <w:b/>
                      <w:bCs/>
                      <w:color w:val="auto"/>
                      <w:szCs w:val="21"/>
                    </w:rPr>
                  </w:pPr>
                  <w:r>
                    <w:rPr>
                      <w:rFonts w:cs="Times New Roman"/>
                      <w:b/>
                      <w:bCs/>
                      <w:color w:val="auto"/>
                      <w:szCs w:val="21"/>
                    </w:rPr>
                    <w:t>贡献值</w:t>
                  </w:r>
                </w:p>
                <w:p w14:paraId="7D68C02C">
                  <w:pPr>
                    <w:jc w:val="center"/>
                    <w:rPr>
                      <w:rFonts w:cs="Times New Roman"/>
                      <w:b/>
                      <w:bCs/>
                      <w:color w:val="auto"/>
                      <w:szCs w:val="21"/>
                    </w:rPr>
                  </w:pPr>
                  <w:r>
                    <w:rPr>
                      <w:rFonts w:cs="Times New Roman"/>
                      <w:b/>
                      <w:bCs/>
                      <w:color w:val="auto"/>
                      <w:szCs w:val="21"/>
                    </w:rPr>
                    <w:t>[dB</w:t>
                  </w:r>
                  <w:r>
                    <w:rPr>
                      <w:rFonts w:hint="eastAsia" w:cs="Times New Roman"/>
                      <w:b/>
                      <w:bCs/>
                      <w:color w:val="auto"/>
                      <w:szCs w:val="21"/>
                      <w:lang w:eastAsia="zh-CN"/>
                    </w:rPr>
                    <w:t>(</w:t>
                  </w:r>
                  <w:r>
                    <w:rPr>
                      <w:rFonts w:cs="Times New Roman"/>
                      <w:b/>
                      <w:bCs/>
                      <w:color w:val="auto"/>
                      <w:szCs w:val="21"/>
                    </w:rPr>
                    <w:t>A</w:t>
                  </w:r>
                  <w:r>
                    <w:rPr>
                      <w:rFonts w:hint="eastAsia" w:cs="Times New Roman"/>
                      <w:b/>
                      <w:bCs/>
                      <w:color w:val="auto"/>
                      <w:szCs w:val="21"/>
                      <w:lang w:eastAsia="zh-CN"/>
                    </w:rPr>
                    <w:t>)</w:t>
                  </w:r>
                  <w:r>
                    <w:rPr>
                      <w:rFonts w:cs="Times New Roman"/>
                      <w:b/>
                      <w:bCs/>
                      <w:color w:val="auto"/>
                      <w:szCs w:val="21"/>
                    </w:rPr>
                    <w:t>]</w:t>
                  </w:r>
                </w:p>
              </w:tc>
              <w:tc>
                <w:tcPr>
                  <w:tcW w:w="703" w:type="pct"/>
                  <w:tcBorders>
                    <w:tl2br w:val="nil"/>
                    <w:tr2bl w:val="nil"/>
                  </w:tcBorders>
                  <w:shd w:val="clear" w:color="000000" w:themeColor="text1" w:fill="auto"/>
                  <w:vAlign w:val="center"/>
                </w:tcPr>
                <w:p w14:paraId="109486ED">
                  <w:pPr>
                    <w:jc w:val="center"/>
                    <w:rPr>
                      <w:rFonts w:cs="Times New Roman"/>
                      <w:b/>
                      <w:bCs/>
                      <w:color w:val="auto"/>
                      <w:szCs w:val="21"/>
                    </w:rPr>
                  </w:pPr>
                  <w:r>
                    <w:rPr>
                      <w:rFonts w:cs="Times New Roman"/>
                      <w:b/>
                      <w:bCs/>
                      <w:color w:val="auto"/>
                      <w:szCs w:val="21"/>
                    </w:rPr>
                    <w:t>背景值</w:t>
                  </w:r>
                </w:p>
                <w:p w14:paraId="3332B72A">
                  <w:pPr>
                    <w:jc w:val="center"/>
                    <w:rPr>
                      <w:rFonts w:cs="Times New Roman"/>
                      <w:b/>
                      <w:bCs/>
                      <w:color w:val="auto"/>
                      <w:szCs w:val="21"/>
                    </w:rPr>
                  </w:pPr>
                  <w:r>
                    <w:rPr>
                      <w:rFonts w:cs="Times New Roman"/>
                      <w:b/>
                      <w:bCs/>
                      <w:color w:val="auto"/>
                      <w:szCs w:val="21"/>
                    </w:rPr>
                    <w:t>[dB</w:t>
                  </w:r>
                  <w:r>
                    <w:rPr>
                      <w:rFonts w:hint="eastAsia" w:cs="Times New Roman"/>
                      <w:b/>
                      <w:bCs/>
                      <w:color w:val="auto"/>
                      <w:szCs w:val="21"/>
                      <w:lang w:eastAsia="zh-CN"/>
                    </w:rPr>
                    <w:t>(</w:t>
                  </w:r>
                  <w:r>
                    <w:rPr>
                      <w:rFonts w:cs="Times New Roman"/>
                      <w:b/>
                      <w:bCs/>
                      <w:color w:val="auto"/>
                      <w:szCs w:val="21"/>
                    </w:rPr>
                    <w:t>A</w:t>
                  </w:r>
                  <w:r>
                    <w:rPr>
                      <w:rFonts w:hint="eastAsia" w:cs="Times New Roman"/>
                      <w:b/>
                      <w:bCs/>
                      <w:color w:val="auto"/>
                      <w:szCs w:val="21"/>
                      <w:lang w:val="en-US" w:eastAsia="zh-CN"/>
                    </w:rPr>
                    <w:t>)</w:t>
                  </w:r>
                  <w:r>
                    <w:rPr>
                      <w:rFonts w:cs="Times New Roman"/>
                      <w:b/>
                      <w:bCs/>
                      <w:color w:val="auto"/>
                      <w:szCs w:val="21"/>
                    </w:rPr>
                    <w:t>]</w:t>
                  </w:r>
                </w:p>
              </w:tc>
              <w:tc>
                <w:tcPr>
                  <w:tcW w:w="729" w:type="pct"/>
                  <w:tcBorders>
                    <w:tl2br w:val="nil"/>
                    <w:tr2bl w:val="nil"/>
                  </w:tcBorders>
                  <w:shd w:val="clear" w:color="000000" w:themeColor="text1" w:fill="auto"/>
                  <w:vAlign w:val="center"/>
                </w:tcPr>
                <w:p w14:paraId="4F43A2C6">
                  <w:pPr>
                    <w:jc w:val="center"/>
                    <w:rPr>
                      <w:rFonts w:cs="Times New Roman"/>
                      <w:b/>
                      <w:bCs/>
                      <w:color w:val="auto"/>
                      <w:szCs w:val="21"/>
                    </w:rPr>
                  </w:pPr>
                  <w:r>
                    <w:rPr>
                      <w:rFonts w:cs="Times New Roman"/>
                      <w:b/>
                      <w:bCs/>
                      <w:color w:val="auto"/>
                      <w:szCs w:val="21"/>
                    </w:rPr>
                    <w:t>预测值</w:t>
                  </w:r>
                </w:p>
                <w:p w14:paraId="0F82B32C">
                  <w:pPr>
                    <w:jc w:val="center"/>
                    <w:rPr>
                      <w:rFonts w:cs="Times New Roman"/>
                      <w:b/>
                      <w:bCs/>
                      <w:color w:val="auto"/>
                      <w:szCs w:val="21"/>
                    </w:rPr>
                  </w:pPr>
                  <w:r>
                    <w:rPr>
                      <w:rFonts w:cs="Times New Roman"/>
                      <w:b/>
                      <w:bCs/>
                      <w:color w:val="auto"/>
                      <w:szCs w:val="21"/>
                    </w:rPr>
                    <w:t>[dB</w:t>
                  </w:r>
                  <w:r>
                    <w:rPr>
                      <w:rFonts w:hint="eastAsia" w:cs="Times New Roman"/>
                      <w:b/>
                      <w:bCs/>
                      <w:color w:val="auto"/>
                      <w:szCs w:val="21"/>
                      <w:lang w:eastAsia="zh-CN"/>
                    </w:rPr>
                    <w:t>(</w:t>
                  </w:r>
                  <w:r>
                    <w:rPr>
                      <w:rFonts w:cs="Times New Roman"/>
                      <w:b/>
                      <w:bCs/>
                      <w:color w:val="auto"/>
                      <w:szCs w:val="21"/>
                    </w:rPr>
                    <w:t>A</w:t>
                  </w:r>
                  <w:r>
                    <w:rPr>
                      <w:rFonts w:hint="eastAsia" w:cs="Times New Roman"/>
                      <w:b/>
                      <w:bCs/>
                      <w:color w:val="auto"/>
                      <w:szCs w:val="21"/>
                      <w:lang w:val="en-US" w:eastAsia="zh-CN"/>
                    </w:rPr>
                    <w:t>)</w:t>
                  </w:r>
                  <w:r>
                    <w:rPr>
                      <w:rFonts w:cs="Times New Roman"/>
                      <w:b/>
                      <w:bCs/>
                      <w:color w:val="auto"/>
                      <w:szCs w:val="21"/>
                    </w:rPr>
                    <w:t>）]</w:t>
                  </w:r>
                </w:p>
              </w:tc>
              <w:tc>
                <w:tcPr>
                  <w:tcW w:w="778" w:type="pct"/>
                  <w:tcBorders>
                    <w:tl2br w:val="nil"/>
                    <w:tr2bl w:val="nil"/>
                  </w:tcBorders>
                  <w:shd w:val="clear" w:color="000000" w:themeColor="text1" w:fill="auto"/>
                  <w:vAlign w:val="center"/>
                </w:tcPr>
                <w:p w14:paraId="3701E97F">
                  <w:pPr>
                    <w:jc w:val="center"/>
                    <w:rPr>
                      <w:rFonts w:cs="Times New Roman"/>
                      <w:b/>
                      <w:bCs/>
                      <w:color w:val="auto"/>
                      <w:szCs w:val="21"/>
                    </w:rPr>
                  </w:pPr>
                  <w:r>
                    <w:rPr>
                      <w:rFonts w:cs="Times New Roman"/>
                      <w:b/>
                      <w:bCs/>
                      <w:color w:val="auto"/>
                      <w:szCs w:val="21"/>
                    </w:rPr>
                    <w:t>标准值</w:t>
                  </w:r>
                </w:p>
                <w:p w14:paraId="37B11536">
                  <w:pPr>
                    <w:jc w:val="center"/>
                    <w:rPr>
                      <w:rFonts w:cs="Times New Roman"/>
                      <w:b/>
                      <w:bCs/>
                      <w:color w:val="auto"/>
                      <w:szCs w:val="21"/>
                    </w:rPr>
                  </w:pPr>
                  <w:r>
                    <w:rPr>
                      <w:rFonts w:cs="Times New Roman"/>
                      <w:b/>
                      <w:bCs/>
                      <w:color w:val="auto"/>
                      <w:szCs w:val="21"/>
                    </w:rPr>
                    <w:t>[dB</w:t>
                  </w:r>
                  <w:r>
                    <w:rPr>
                      <w:rFonts w:hint="eastAsia" w:cs="Times New Roman"/>
                      <w:b/>
                      <w:bCs/>
                      <w:color w:val="auto"/>
                      <w:szCs w:val="21"/>
                      <w:lang w:eastAsia="zh-CN"/>
                    </w:rPr>
                    <w:t>(</w:t>
                  </w:r>
                  <w:r>
                    <w:rPr>
                      <w:rFonts w:cs="Times New Roman"/>
                      <w:b/>
                      <w:bCs/>
                      <w:color w:val="auto"/>
                      <w:szCs w:val="21"/>
                    </w:rPr>
                    <w:t>A</w:t>
                  </w:r>
                  <w:r>
                    <w:rPr>
                      <w:rFonts w:hint="eastAsia" w:cs="Times New Roman"/>
                      <w:b/>
                      <w:bCs/>
                      <w:color w:val="auto"/>
                      <w:szCs w:val="21"/>
                      <w:lang w:val="en-US" w:eastAsia="zh-CN"/>
                    </w:rPr>
                    <w:t>)</w:t>
                  </w:r>
                  <w:r>
                    <w:rPr>
                      <w:rFonts w:cs="Times New Roman"/>
                      <w:b/>
                      <w:bCs/>
                      <w:color w:val="auto"/>
                      <w:szCs w:val="21"/>
                    </w:rPr>
                    <w:t>]</w:t>
                  </w:r>
                </w:p>
              </w:tc>
              <w:tc>
                <w:tcPr>
                  <w:tcW w:w="430" w:type="pct"/>
                  <w:vMerge w:val="restart"/>
                  <w:tcBorders>
                    <w:tl2br w:val="nil"/>
                    <w:tr2bl w:val="nil"/>
                  </w:tcBorders>
                  <w:shd w:val="clear" w:color="000000" w:themeColor="text1" w:fill="auto"/>
                  <w:vAlign w:val="center"/>
                </w:tcPr>
                <w:p w14:paraId="5B778159">
                  <w:pPr>
                    <w:jc w:val="center"/>
                    <w:rPr>
                      <w:rFonts w:cs="Times New Roman"/>
                      <w:b/>
                      <w:bCs/>
                      <w:color w:val="auto"/>
                      <w:szCs w:val="21"/>
                    </w:rPr>
                  </w:pPr>
                  <w:r>
                    <w:rPr>
                      <w:rFonts w:cs="Times New Roman"/>
                      <w:b/>
                      <w:bCs/>
                      <w:color w:val="auto"/>
                      <w:szCs w:val="21"/>
                    </w:rPr>
                    <w:t>预测结果</w:t>
                  </w:r>
                </w:p>
              </w:tc>
            </w:tr>
            <w:tr w14:paraId="7B6707A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5" w:hRule="atLeast"/>
              </w:trPr>
              <w:tc>
                <w:tcPr>
                  <w:tcW w:w="400" w:type="pct"/>
                  <w:vMerge w:val="continue"/>
                  <w:tcBorders>
                    <w:tl2br w:val="nil"/>
                    <w:tr2bl w:val="nil"/>
                  </w:tcBorders>
                  <w:vAlign w:val="center"/>
                </w:tcPr>
                <w:p w14:paraId="55CBBFA5">
                  <w:pPr>
                    <w:jc w:val="center"/>
                    <w:rPr>
                      <w:rFonts w:cs="Times New Roman"/>
                      <w:color w:val="auto"/>
                      <w:szCs w:val="21"/>
                    </w:rPr>
                  </w:pPr>
                </w:p>
              </w:tc>
              <w:tc>
                <w:tcPr>
                  <w:tcW w:w="1196" w:type="pct"/>
                  <w:vMerge w:val="continue"/>
                  <w:tcBorders>
                    <w:tl2br w:val="nil"/>
                    <w:tr2bl w:val="nil"/>
                  </w:tcBorders>
                  <w:vAlign w:val="center"/>
                </w:tcPr>
                <w:p w14:paraId="71293567">
                  <w:pPr>
                    <w:jc w:val="center"/>
                    <w:rPr>
                      <w:rFonts w:cs="Times New Roman"/>
                      <w:color w:val="auto"/>
                      <w:szCs w:val="21"/>
                    </w:rPr>
                  </w:pPr>
                </w:p>
              </w:tc>
              <w:tc>
                <w:tcPr>
                  <w:tcW w:w="760" w:type="pct"/>
                  <w:tcBorders>
                    <w:tl2br w:val="nil"/>
                    <w:tr2bl w:val="nil"/>
                  </w:tcBorders>
                  <w:shd w:val="clear" w:color="000000" w:themeColor="text1" w:fill="auto"/>
                  <w:vAlign w:val="center"/>
                </w:tcPr>
                <w:p w14:paraId="72817BFF">
                  <w:pPr>
                    <w:pStyle w:val="76"/>
                    <w:snapToGrid w:val="0"/>
                    <w:spacing w:before="0" w:after="0"/>
                    <w:rPr>
                      <w:rFonts w:cs="Times New Roman"/>
                      <w:b/>
                      <w:bCs/>
                      <w:color w:val="auto"/>
                      <w:sz w:val="21"/>
                      <w:szCs w:val="21"/>
                    </w:rPr>
                  </w:pPr>
                  <w:r>
                    <w:rPr>
                      <w:rFonts w:cs="Times New Roman"/>
                      <w:b/>
                      <w:bCs/>
                      <w:color w:val="auto"/>
                      <w:sz w:val="21"/>
                      <w:szCs w:val="21"/>
                    </w:rPr>
                    <w:t>昼间</w:t>
                  </w:r>
                </w:p>
              </w:tc>
              <w:tc>
                <w:tcPr>
                  <w:tcW w:w="703" w:type="pct"/>
                  <w:tcBorders>
                    <w:tl2br w:val="nil"/>
                    <w:tr2bl w:val="nil"/>
                  </w:tcBorders>
                  <w:shd w:val="clear" w:color="000000" w:themeColor="text1" w:fill="auto"/>
                  <w:vAlign w:val="center"/>
                </w:tcPr>
                <w:p w14:paraId="5094CBF4">
                  <w:pPr>
                    <w:pStyle w:val="76"/>
                    <w:snapToGrid w:val="0"/>
                    <w:spacing w:before="0" w:after="0"/>
                    <w:rPr>
                      <w:rFonts w:cs="Times New Roman"/>
                      <w:b/>
                      <w:bCs/>
                      <w:color w:val="auto"/>
                      <w:sz w:val="21"/>
                      <w:szCs w:val="21"/>
                    </w:rPr>
                  </w:pPr>
                  <w:r>
                    <w:rPr>
                      <w:rFonts w:cs="Times New Roman"/>
                      <w:b/>
                      <w:bCs/>
                      <w:color w:val="auto"/>
                      <w:sz w:val="21"/>
                      <w:szCs w:val="21"/>
                    </w:rPr>
                    <w:t>昼间</w:t>
                  </w:r>
                </w:p>
              </w:tc>
              <w:tc>
                <w:tcPr>
                  <w:tcW w:w="729" w:type="pct"/>
                  <w:tcBorders>
                    <w:tl2br w:val="nil"/>
                    <w:tr2bl w:val="nil"/>
                  </w:tcBorders>
                  <w:shd w:val="clear" w:color="000000" w:themeColor="text1" w:fill="auto"/>
                  <w:vAlign w:val="center"/>
                </w:tcPr>
                <w:p w14:paraId="05A4630E">
                  <w:pPr>
                    <w:pStyle w:val="76"/>
                    <w:snapToGrid w:val="0"/>
                    <w:spacing w:before="0" w:after="0"/>
                    <w:rPr>
                      <w:rFonts w:cs="Times New Roman"/>
                      <w:b/>
                      <w:bCs/>
                      <w:color w:val="auto"/>
                      <w:sz w:val="21"/>
                      <w:szCs w:val="21"/>
                    </w:rPr>
                  </w:pPr>
                  <w:r>
                    <w:rPr>
                      <w:rFonts w:cs="Times New Roman"/>
                      <w:b/>
                      <w:bCs/>
                      <w:color w:val="auto"/>
                      <w:sz w:val="21"/>
                      <w:szCs w:val="21"/>
                    </w:rPr>
                    <w:t>昼间</w:t>
                  </w:r>
                </w:p>
              </w:tc>
              <w:tc>
                <w:tcPr>
                  <w:tcW w:w="778" w:type="pct"/>
                  <w:tcBorders>
                    <w:tl2br w:val="nil"/>
                    <w:tr2bl w:val="nil"/>
                  </w:tcBorders>
                  <w:shd w:val="clear" w:color="000000" w:themeColor="text1" w:fill="auto"/>
                  <w:vAlign w:val="center"/>
                </w:tcPr>
                <w:p w14:paraId="289E7D21">
                  <w:pPr>
                    <w:pStyle w:val="76"/>
                    <w:snapToGrid w:val="0"/>
                    <w:spacing w:before="0" w:after="0"/>
                    <w:rPr>
                      <w:rFonts w:cs="Times New Roman"/>
                      <w:b/>
                      <w:bCs/>
                      <w:color w:val="auto"/>
                      <w:sz w:val="21"/>
                      <w:szCs w:val="21"/>
                    </w:rPr>
                  </w:pPr>
                  <w:r>
                    <w:rPr>
                      <w:rFonts w:cs="Times New Roman"/>
                      <w:b/>
                      <w:bCs/>
                      <w:color w:val="auto"/>
                      <w:sz w:val="21"/>
                      <w:szCs w:val="21"/>
                    </w:rPr>
                    <w:t>昼间</w:t>
                  </w:r>
                </w:p>
              </w:tc>
              <w:tc>
                <w:tcPr>
                  <w:tcW w:w="430" w:type="pct"/>
                  <w:vMerge w:val="continue"/>
                  <w:tcBorders>
                    <w:tl2br w:val="nil"/>
                    <w:tr2bl w:val="nil"/>
                  </w:tcBorders>
                  <w:vAlign w:val="center"/>
                </w:tcPr>
                <w:p w14:paraId="7B5C11E9">
                  <w:pPr>
                    <w:jc w:val="center"/>
                    <w:rPr>
                      <w:rFonts w:cs="Times New Roman"/>
                      <w:color w:val="auto"/>
                      <w:szCs w:val="21"/>
                    </w:rPr>
                  </w:pPr>
                </w:p>
              </w:tc>
            </w:tr>
            <w:tr w14:paraId="1D136F4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5" w:hRule="atLeast"/>
              </w:trPr>
              <w:tc>
                <w:tcPr>
                  <w:tcW w:w="400" w:type="pct"/>
                  <w:tcBorders>
                    <w:tl2br w:val="nil"/>
                    <w:tr2bl w:val="nil"/>
                  </w:tcBorders>
                  <w:vAlign w:val="center"/>
                </w:tcPr>
                <w:p w14:paraId="69AF790F">
                  <w:pPr>
                    <w:jc w:val="center"/>
                    <w:rPr>
                      <w:rFonts w:cs="Times New Roman"/>
                      <w:color w:val="auto"/>
                      <w:szCs w:val="21"/>
                    </w:rPr>
                  </w:pPr>
                  <w:r>
                    <w:rPr>
                      <w:rFonts w:cs="Times New Roman"/>
                      <w:color w:val="auto"/>
                      <w:szCs w:val="21"/>
                    </w:rPr>
                    <w:t>1#</w:t>
                  </w:r>
                </w:p>
              </w:tc>
              <w:tc>
                <w:tcPr>
                  <w:tcW w:w="1196" w:type="pct"/>
                  <w:tcBorders>
                    <w:tl2br w:val="nil"/>
                    <w:tr2bl w:val="nil"/>
                  </w:tcBorders>
                  <w:vAlign w:val="center"/>
                </w:tcPr>
                <w:p w14:paraId="5D2CA6AA">
                  <w:pPr>
                    <w:adjustRightInd w:val="0"/>
                    <w:jc w:val="center"/>
                    <w:rPr>
                      <w:rFonts w:cs="Times New Roman"/>
                      <w:color w:val="auto"/>
                      <w:szCs w:val="21"/>
                    </w:rPr>
                  </w:pPr>
                  <w:r>
                    <w:rPr>
                      <w:rFonts w:cs="Times New Roman"/>
                      <w:color w:val="auto"/>
                      <w:szCs w:val="21"/>
                    </w:rPr>
                    <w:t>项目北</w:t>
                  </w:r>
                  <w:r>
                    <w:rPr>
                      <w:rFonts w:hint="eastAsia" w:cs="Times New Roman"/>
                      <w:color w:val="auto"/>
                      <w:szCs w:val="21"/>
                      <w:lang w:eastAsia="zh-CN"/>
                    </w:rPr>
                    <w:t>侧</w:t>
                  </w:r>
                  <w:r>
                    <w:rPr>
                      <w:rFonts w:cs="Times New Roman"/>
                      <w:color w:val="auto"/>
                      <w:szCs w:val="21"/>
                    </w:rPr>
                    <w:t>厂界外1m</w:t>
                  </w:r>
                </w:p>
              </w:tc>
              <w:tc>
                <w:tcPr>
                  <w:tcW w:w="1284" w:type="dxa"/>
                  <w:tcBorders>
                    <w:tl2br w:val="nil"/>
                    <w:tr2bl w:val="nil"/>
                  </w:tcBorders>
                  <w:vAlign w:val="center"/>
                </w:tcPr>
                <w:p w14:paraId="42CC4D2E">
                  <w:pPr>
                    <w:adjustRightInd w:val="0"/>
                    <w:jc w:val="center"/>
                    <w:rPr>
                      <w:rFonts w:cs="Times New Roman"/>
                      <w:color w:val="auto"/>
                      <w:szCs w:val="21"/>
                      <w:highlight w:val="yellow"/>
                    </w:rPr>
                  </w:pPr>
                  <w:r>
                    <w:rPr>
                      <w:rFonts w:hint="eastAsia"/>
                    </w:rPr>
                    <w:t>55.82</w:t>
                  </w:r>
                </w:p>
              </w:tc>
              <w:tc>
                <w:tcPr>
                  <w:tcW w:w="703" w:type="pct"/>
                  <w:tcBorders>
                    <w:tl2br w:val="nil"/>
                    <w:tr2bl w:val="nil"/>
                  </w:tcBorders>
                  <w:vAlign w:val="center"/>
                </w:tcPr>
                <w:p w14:paraId="73F4916B">
                  <w:pPr>
                    <w:pStyle w:val="76"/>
                    <w:snapToGrid w:val="0"/>
                    <w:spacing w:before="0" w:after="0"/>
                    <w:rPr>
                      <w:rFonts w:cs="Times New Roman"/>
                      <w:bCs/>
                      <w:color w:val="auto"/>
                      <w:sz w:val="21"/>
                      <w:szCs w:val="21"/>
                      <w:highlight w:val="none"/>
                    </w:rPr>
                  </w:pPr>
                  <w:r>
                    <w:rPr>
                      <w:rFonts w:cs="Times New Roman"/>
                      <w:bCs/>
                      <w:color w:val="auto"/>
                      <w:sz w:val="21"/>
                      <w:szCs w:val="21"/>
                      <w:highlight w:val="none"/>
                    </w:rPr>
                    <w:t>/</w:t>
                  </w:r>
                </w:p>
              </w:tc>
              <w:tc>
                <w:tcPr>
                  <w:tcW w:w="1231" w:type="dxa"/>
                  <w:tcBorders>
                    <w:tl2br w:val="nil"/>
                    <w:tr2bl w:val="nil"/>
                  </w:tcBorders>
                  <w:vAlign w:val="center"/>
                </w:tcPr>
                <w:p w14:paraId="461DEA10">
                  <w:pPr>
                    <w:adjustRightInd w:val="0"/>
                    <w:jc w:val="center"/>
                    <w:rPr>
                      <w:rFonts w:cs="Times New Roman"/>
                      <w:color w:val="auto"/>
                      <w:szCs w:val="21"/>
                      <w:highlight w:val="none"/>
                    </w:rPr>
                  </w:pPr>
                  <w:r>
                    <w:rPr>
                      <w:rFonts w:hint="eastAsia"/>
                      <w:highlight w:val="none"/>
                    </w:rPr>
                    <w:t>55.82</w:t>
                  </w:r>
                </w:p>
              </w:tc>
              <w:tc>
                <w:tcPr>
                  <w:tcW w:w="778" w:type="pct"/>
                  <w:tcBorders>
                    <w:tl2br w:val="nil"/>
                    <w:tr2bl w:val="nil"/>
                  </w:tcBorders>
                  <w:vAlign w:val="center"/>
                </w:tcPr>
                <w:p w14:paraId="1CE37A73">
                  <w:pPr>
                    <w:jc w:val="center"/>
                    <w:rPr>
                      <w:rFonts w:cs="Times New Roman"/>
                      <w:color w:val="auto"/>
                      <w:szCs w:val="21"/>
                      <w:highlight w:val="none"/>
                    </w:rPr>
                  </w:pPr>
                  <w:r>
                    <w:rPr>
                      <w:rFonts w:cs="Times New Roman"/>
                      <w:color w:val="auto"/>
                      <w:szCs w:val="21"/>
                      <w:highlight w:val="none"/>
                    </w:rPr>
                    <w:t>70</w:t>
                  </w:r>
                </w:p>
              </w:tc>
              <w:tc>
                <w:tcPr>
                  <w:tcW w:w="430" w:type="pct"/>
                  <w:tcBorders>
                    <w:tl2br w:val="nil"/>
                    <w:tr2bl w:val="nil"/>
                  </w:tcBorders>
                  <w:vAlign w:val="center"/>
                </w:tcPr>
                <w:p w14:paraId="19EFCA7B">
                  <w:pPr>
                    <w:jc w:val="center"/>
                    <w:rPr>
                      <w:rFonts w:cs="Times New Roman"/>
                      <w:color w:val="auto"/>
                      <w:szCs w:val="21"/>
                    </w:rPr>
                  </w:pPr>
                  <w:r>
                    <w:rPr>
                      <w:rFonts w:cs="Times New Roman"/>
                      <w:color w:val="auto"/>
                      <w:szCs w:val="21"/>
                    </w:rPr>
                    <w:t>达标</w:t>
                  </w:r>
                </w:p>
              </w:tc>
            </w:tr>
            <w:tr w14:paraId="524BD87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5" w:hRule="atLeast"/>
              </w:trPr>
              <w:tc>
                <w:tcPr>
                  <w:tcW w:w="400" w:type="pct"/>
                  <w:tcBorders>
                    <w:tl2br w:val="nil"/>
                    <w:tr2bl w:val="nil"/>
                  </w:tcBorders>
                  <w:vAlign w:val="center"/>
                </w:tcPr>
                <w:p w14:paraId="79177908">
                  <w:pPr>
                    <w:jc w:val="center"/>
                    <w:rPr>
                      <w:rFonts w:cs="Times New Roman"/>
                      <w:color w:val="auto"/>
                      <w:szCs w:val="21"/>
                    </w:rPr>
                  </w:pPr>
                  <w:r>
                    <w:rPr>
                      <w:rFonts w:cs="Times New Roman"/>
                      <w:color w:val="auto"/>
                      <w:szCs w:val="21"/>
                    </w:rPr>
                    <w:t>2#</w:t>
                  </w:r>
                </w:p>
              </w:tc>
              <w:tc>
                <w:tcPr>
                  <w:tcW w:w="1196" w:type="pct"/>
                  <w:tcBorders>
                    <w:tl2br w:val="nil"/>
                    <w:tr2bl w:val="nil"/>
                  </w:tcBorders>
                  <w:vAlign w:val="center"/>
                </w:tcPr>
                <w:p w14:paraId="31A8F2EA">
                  <w:pPr>
                    <w:adjustRightInd w:val="0"/>
                    <w:jc w:val="center"/>
                    <w:rPr>
                      <w:rFonts w:cs="Times New Roman"/>
                      <w:color w:val="auto"/>
                      <w:szCs w:val="21"/>
                    </w:rPr>
                  </w:pPr>
                  <w:r>
                    <w:rPr>
                      <w:rFonts w:cs="Times New Roman"/>
                      <w:color w:val="auto"/>
                      <w:szCs w:val="21"/>
                    </w:rPr>
                    <w:t>项目东</w:t>
                  </w:r>
                  <w:r>
                    <w:rPr>
                      <w:rFonts w:hint="eastAsia" w:cs="Times New Roman"/>
                      <w:color w:val="auto"/>
                      <w:szCs w:val="21"/>
                      <w:lang w:eastAsia="zh-CN"/>
                    </w:rPr>
                    <w:t>侧</w:t>
                  </w:r>
                  <w:r>
                    <w:rPr>
                      <w:rFonts w:cs="Times New Roman"/>
                      <w:color w:val="auto"/>
                      <w:szCs w:val="21"/>
                    </w:rPr>
                    <w:t>厂界外1m</w:t>
                  </w:r>
                </w:p>
              </w:tc>
              <w:tc>
                <w:tcPr>
                  <w:tcW w:w="1284" w:type="dxa"/>
                  <w:tcBorders>
                    <w:tl2br w:val="nil"/>
                    <w:tr2bl w:val="nil"/>
                  </w:tcBorders>
                  <w:vAlign w:val="center"/>
                </w:tcPr>
                <w:p w14:paraId="6A9F6847">
                  <w:pPr>
                    <w:adjustRightInd w:val="0"/>
                    <w:jc w:val="center"/>
                    <w:rPr>
                      <w:rFonts w:cs="Times New Roman"/>
                      <w:color w:val="auto"/>
                      <w:szCs w:val="21"/>
                      <w:highlight w:val="yellow"/>
                    </w:rPr>
                  </w:pPr>
                  <w:r>
                    <w:rPr>
                      <w:rFonts w:hint="eastAsia"/>
                    </w:rPr>
                    <w:t>53.40</w:t>
                  </w:r>
                </w:p>
              </w:tc>
              <w:tc>
                <w:tcPr>
                  <w:tcW w:w="703" w:type="pct"/>
                  <w:tcBorders>
                    <w:tl2br w:val="nil"/>
                    <w:tr2bl w:val="nil"/>
                  </w:tcBorders>
                  <w:vAlign w:val="center"/>
                </w:tcPr>
                <w:p w14:paraId="1ADAB522">
                  <w:pPr>
                    <w:snapToGrid w:val="0"/>
                    <w:jc w:val="center"/>
                    <w:rPr>
                      <w:rFonts w:cs="Times New Roman"/>
                      <w:bCs/>
                      <w:color w:val="auto"/>
                      <w:szCs w:val="21"/>
                      <w:highlight w:val="none"/>
                    </w:rPr>
                  </w:pPr>
                  <w:r>
                    <w:rPr>
                      <w:rFonts w:cs="Times New Roman"/>
                      <w:bCs/>
                      <w:color w:val="auto"/>
                      <w:szCs w:val="21"/>
                      <w:highlight w:val="none"/>
                    </w:rPr>
                    <w:t>/</w:t>
                  </w:r>
                </w:p>
              </w:tc>
              <w:tc>
                <w:tcPr>
                  <w:tcW w:w="1231" w:type="dxa"/>
                  <w:tcBorders>
                    <w:tl2br w:val="nil"/>
                    <w:tr2bl w:val="nil"/>
                  </w:tcBorders>
                  <w:vAlign w:val="center"/>
                </w:tcPr>
                <w:p w14:paraId="62DFE5A2">
                  <w:pPr>
                    <w:adjustRightInd w:val="0"/>
                    <w:jc w:val="center"/>
                    <w:rPr>
                      <w:rFonts w:cs="Times New Roman"/>
                      <w:color w:val="auto"/>
                      <w:szCs w:val="21"/>
                      <w:highlight w:val="none"/>
                    </w:rPr>
                  </w:pPr>
                  <w:r>
                    <w:rPr>
                      <w:rFonts w:hint="eastAsia"/>
                      <w:highlight w:val="none"/>
                    </w:rPr>
                    <w:t>53.40</w:t>
                  </w:r>
                </w:p>
              </w:tc>
              <w:tc>
                <w:tcPr>
                  <w:tcW w:w="778" w:type="pct"/>
                  <w:tcBorders>
                    <w:tl2br w:val="nil"/>
                    <w:tr2bl w:val="nil"/>
                  </w:tcBorders>
                  <w:vAlign w:val="center"/>
                </w:tcPr>
                <w:p w14:paraId="6937049F">
                  <w:pPr>
                    <w:jc w:val="center"/>
                    <w:rPr>
                      <w:rFonts w:cs="Times New Roman"/>
                      <w:color w:val="auto"/>
                      <w:szCs w:val="21"/>
                      <w:highlight w:val="none"/>
                    </w:rPr>
                  </w:pPr>
                  <w:r>
                    <w:rPr>
                      <w:rFonts w:cs="Times New Roman"/>
                      <w:color w:val="auto"/>
                      <w:szCs w:val="21"/>
                      <w:highlight w:val="none"/>
                    </w:rPr>
                    <w:t>70</w:t>
                  </w:r>
                </w:p>
              </w:tc>
              <w:tc>
                <w:tcPr>
                  <w:tcW w:w="430" w:type="pct"/>
                  <w:tcBorders>
                    <w:tl2br w:val="nil"/>
                    <w:tr2bl w:val="nil"/>
                  </w:tcBorders>
                  <w:vAlign w:val="center"/>
                </w:tcPr>
                <w:p w14:paraId="608EF115">
                  <w:pPr>
                    <w:jc w:val="center"/>
                    <w:rPr>
                      <w:rFonts w:cs="Times New Roman"/>
                      <w:color w:val="auto"/>
                      <w:szCs w:val="21"/>
                    </w:rPr>
                  </w:pPr>
                  <w:r>
                    <w:rPr>
                      <w:rFonts w:cs="Times New Roman"/>
                      <w:color w:val="auto"/>
                      <w:szCs w:val="21"/>
                    </w:rPr>
                    <w:t>达标</w:t>
                  </w:r>
                </w:p>
              </w:tc>
            </w:tr>
            <w:tr w14:paraId="2255539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5" w:hRule="atLeast"/>
              </w:trPr>
              <w:tc>
                <w:tcPr>
                  <w:tcW w:w="400" w:type="pct"/>
                  <w:tcBorders>
                    <w:tl2br w:val="nil"/>
                    <w:tr2bl w:val="nil"/>
                  </w:tcBorders>
                  <w:vAlign w:val="center"/>
                </w:tcPr>
                <w:p w14:paraId="6ED498A9">
                  <w:pPr>
                    <w:jc w:val="center"/>
                    <w:rPr>
                      <w:rFonts w:cs="Times New Roman"/>
                      <w:color w:val="auto"/>
                      <w:szCs w:val="21"/>
                    </w:rPr>
                  </w:pPr>
                  <w:r>
                    <w:rPr>
                      <w:rFonts w:cs="Times New Roman"/>
                      <w:color w:val="auto"/>
                      <w:szCs w:val="21"/>
                    </w:rPr>
                    <w:t>3#</w:t>
                  </w:r>
                </w:p>
              </w:tc>
              <w:tc>
                <w:tcPr>
                  <w:tcW w:w="1196" w:type="pct"/>
                  <w:tcBorders>
                    <w:tl2br w:val="nil"/>
                    <w:tr2bl w:val="nil"/>
                  </w:tcBorders>
                  <w:vAlign w:val="center"/>
                </w:tcPr>
                <w:p w14:paraId="32F22D15">
                  <w:pPr>
                    <w:adjustRightInd w:val="0"/>
                    <w:jc w:val="center"/>
                    <w:rPr>
                      <w:rFonts w:cs="Times New Roman"/>
                      <w:color w:val="auto"/>
                      <w:szCs w:val="21"/>
                    </w:rPr>
                  </w:pPr>
                  <w:r>
                    <w:rPr>
                      <w:rFonts w:cs="Times New Roman"/>
                      <w:color w:val="auto"/>
                      <w:szCs w:val="21"/>
                    </w:rPr>
                    <w:t>项目</w:t>
                  </w:r>
                  <w:r>
                    <w:rPr>
                      <w:rFonts w:hint="eastAsia" w:cs="Times New Roman"/>
                      <w:color w:val="auto"/>
                      <w:szCs w:val="21"/>
                      <w:lang w:eastAsia="zh-CN"/>
                    </w:rPr>
                    <w:t>南侧</w:t>
                  </w:r>
                  <w:r>
                    <w:rPr>
                      <w:rFonts w:cs="Times New Roman"/>
                      <w:color w:val="auto"/>
                      <w:szCs w:val="21"/>
                    </w:rPr>
                    <w:t>厂界外1m</w:t>
                  </w:r>
                </w:p>
              </w:tc>
              <w:tc>
                <w:tcPr>
                  <w:tcW w:w="1284" w:type="dxa"/>
                  <w:tcBorders>
                    <w:tl2br w:val="nil"/>
                    <w:tr2bl w:val="nil"/>
                  </w:tcBorders>
                  <w:vAlign w:val="center"/>
                </w:tcPr>
                <w:p w14:paraId="2C8F5133">
                  <w:pPr>
                    <w:adjustRightInd w:val="0"/>
                    <w:jc w:val="center"/>
                    <w:rPr>
                      <w:rFonts w:cs="Times New Roman"/>
                      <w:color w:val="auto"/>
                      <w:szCs w:val="21"/>
                      <w:highlight w:val="yellow"/>
                    </w:rPr>
                  </w:pPr>
                  <w:r>
                    <w:rPr>
                      <w:rFonts w:hint="eastAsia"/>
                    </w:rPr>
                    <w:t>58.27</w:t>
                  </w:r>
                </w:p>
              </w:tc>
              <w:tc>
                <w:tcPr>
                  <w:tcW w:w="703" w:type="pct"/>
                  <w:tcBorders>
                    <w:tl2br w:val="nil"/>
                    <w:tr2bl w:val="nil"/>
                  </w:tcBorders>
                  <w:vAlign w:val="center"/>
                </w:tcPr>
                <w:p w14:paraId="1C6FA729">
                  <w:pPr>
                    <w:snapToGrid w:val="0"/>
                    <w:jc w:val="center"/>
                    <w:rPr>
                      <w:rFonts w:cs="Times New Roman"/>
                      <w:bCs/>
                      <w:color w:val="auto"/>
                      <w:szCs w:val="21"/>
                      <w:highlight w:val="none"/>
                    </w:rPr>
                  </w:pPr>
                  <w:r>
                    <w:rPr>
                      <w:rFonts w:cs="Times New Roman"/>
                      <w:bCs/>
                      <w:color w:val="auto"/>
                      <w:szCs w:val="21"/>
                      <w:highlight w:val="none"/>
                    </w:rPr>
                    <w:t>/</w:t>
                  </w:r>
                </w:p>
              </w:tc>
              <w:tc>
                <w:tcPr>
                  <w:tcW w:w="1231" w:type="dxa"/>
                  <w:tcBorders>
                    <w:tl2br w:val="nil"/>
                    <w:tr2bl w:val="nil"/>
                  </w:tcBorders>
                  <w:vAlign w:val="center"/>
                </w:tcPr>
                <w:p w14:paraId="76A26A92">
                  <w:pPr>
                    <w:adjustRightInd w:val="0"/>
                    <w:jc w:val="center"/>
                    <w:rPr>
                      <w:rFonts w:cs="Times New Roman"/>
                      <w:color w:val="auto"/>
                      <w:szCs w:val="21"/>
                      <w:highlight w:val="none"/>
                    </w:rPr>
                  </w:pPr>
                  <w:r>
                    <w:rPr>
                      <w:rFonts w:hint="eastAsia"/>
                      <w:highlight w:val="none"/>
                    </w:rPr>
                    <w:t>58.27</w:t>
                  </w:r>
                </w:p>
              </w:tc>
              <w:tc>
                <w:tcPr>
                  <w:tcW w:w="778" w:type="pct"/>
                  <w:tcBorders>
                    <w:tl2br w:val="nil"/>
                    <w:tr2bl w:val="nil"/>
                  </w:tcBorders>
                  <w:vAlign w:val="center"/>
                </w:tcPr>
                <w:p w14:paraId="3367B879">
                  <w:pPr>
                    <w:jc w:val="center"/>
                    <w:rPr>
                      <w:rFonts w:cs="Times New Roman"/>
                      <w:color w:val="auto"/>
                      <w:szCs w:val="21"/>
                      <w:highlight w:val="none"/>
                    </w:rPr>
                  </w:pPr>
                  <w:r>
                    <w:rPr>
                      <w:rFonts w:cs="Times New Roman"/>
                      <w:color w:val="auto"/>
                      <w:szCs w:val="21"/>
                      <w:highlight w:val="none"/>
                    </w:rPr>
                    <w:t>70</w:t>
                  </w:r>
                </w:p>
              </w:tc>
              <w:tc>
                <w:tcPr>
                  <w:tcW w:w="430" w:type="pct"/>
                  <w:tcBorders>
                    <w:tl2br w:val="nil"/>
                    <w:tr2bl w:val="nil"/>
                  </w:tcBorders>
                  <w:vAlign w:val="center"/>
                </w:tcPr>
                <w:p w14:paraId="2C48F417">
                  <w:pPr>
                    <w:jc w:val="center"/>
                    <w:rPr>
                      <w:rFonts w:cs="Times New Roman"/>
                      <w:color w:val="auto"/>
                      <w:szCs w:val="21"/>
                    </w:rPr>
                  </w:pPr>
                  <w:r>
                    <w:rPr>
                      <w:rFonts w:cs="Times New Roman"/>
                      <w:color w:val="auto"/>
                      <w:szCs w:val="21"/>
                    </w:rPr>
                    <w:t>达标</w:t>
                  </w:r>
                </w:p>
              </w:tc>
            </w:tr>
            <w:tr w14:paraId="1E50A32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9" w:hRule="atLeast"/>
              </w:trPr>
              <w:tc>
                <w:tcPr>
                  <w:tcW w:w="400" w:type="pct"/>
                  <w:tcBorders>
                    <w:tl2br w:val="nil"/>
                    <w:tr2bl w:val="nil"/>
                  </w:tcBorders>
                  <w:vAlign w:val="center"/>
                </w:tcPr>
                <w:p w14:paraId="6AD8D946">
                  <w:pPr>
                    <w:jc w:val="center"/>
                    <w:rPr>
                      <w:rFonts w:cs="Times New Roman"/>
                      <w:color w:val="auto"/>
                      <w:szCs w:val="21"/>
                    </w:rPr>
                  </w:pPr>
                  <w:r>
                    <w:rPr>
                      <w:rFonts w:cs="Times New Roman"/>
                      <w:color w:val="auto"/>
                      <w:szCs w:val="21"/>
                    </w:rPr>
                    <w:t>4#</w:t>
                  </w:r>
                </w:p>
              </w:tc>
              <w:tc>
                <w:tcPr>
                  <w:tcW w:w="1196" w:type="pct"/>
                  <w:tcBorders>
                    <w:tl2br w:val="nil"/>
                    <w:tr2bl w:val="nil"/>
                  </w:tcBorders>
                  <w:vAlign w:val="center"/>
                </w:tcPr>
                <w:p w14:paraId="53D1BE08">
                  <w:pPr>
                    <w:adjustRightInd w:val="0"/>
                    <w:jc w:val="center"/>
                    <w:rPr>
                      <w:rFonts w:cs="Times New Roman"/>
                      <w:color w:val="auto"/>
                      <w:szCs w:val="21"/>
                    </w:rPr>
                  </w:pPr>
                  <w:r>
                    <w:rPr>
                      <w:rFonts w:cs="Times New Roman"/>
                      <w:color w:val="auto"/>
                      <w:szCs w:val="21"/>
                    </w:rPr>
                    <w:t>项目西</w:t>
                  </w:r>
                  <w:r>
                    <w:rPr>
                      <w:rFonts w:hint="eastAsia" w:cs="Times New Roman"/>
                      <w:color w:val="auto"/>
                      <w:szCs w:val="21"/>
                      <w:lang w:eastAsia="zh-CN"/>
                    </w:rPr>
                    <w:t>侧</w:t>
                  </w:r>
                  <w:r>
                    <w:rPr>
                      <w:rFonts w:cs="Times New Roman"/>
                      <w:color w:val="auto"/>
                      <w:szCs w:val="21"/>
                    </w:rPr>
                    <w:t>厂界外1m</w:t>
                  </w:r>
                </w:p>
              </w:tc>
              <w:tc>
                <w:tcPr>
                  <w:tcW w:w="1284" w:type="dxa"/>
                  <w:tcBorders>
                    <w:tl2br w:val="nil"/>
                    <w:tr2bl w:val="nil"/>
                  </w:tcBorders>
                  <w:vAlign w:val="center"/>
                </w:tcPr>
                <w:p w14:paraId="31D56D97">
                  <w:pPr>
                    <w:adjustRightInd w:val="0"/>
                    <w:jc w:val="center"/>
                    <w:rPr>
                      <w:rFonts w:cs="Times New Roman"/>
                      <w:color w:val="auto"/>
                      <w:szCs w:val="21"/>
                      <w:highlight w:val="yellow"/>
                    </w:rPr>
                  </w:pPr>
                  <w:r>
                    <w:rPr>
                      <w:rFonts w:hint="eastAsia"/>
                    </w:rPr>
                    <w:t>52.70</w:t>
                  </w:r>
                </w:p>
              </w:tc>
              <w:tc>
                <w:tcPr>
                  <w:tcW w:w="703" w:type="pct"/>
                  <w:tcBorders>
                    <w:tl2br w:val="nil"/>
                    <w:tr2bl w:val="nil"/>
                  </w:tcBorders>
                  <w:vAlign w:val="center"/>
                </w:tcPr>
                <w:p w14:paraId="0811A2ED">
                  <w:pPr>
                    <w:snapToGrid w:val="0"/>
                    <w:jc w:val="center"/>
                    <w:rPr>
                      <w:rFonts w:cs="Times New Roman"/>
                      <w:bCs/>
                      <w:color w:val="auto"/>
                      <w:szCs w:val="21"/>
                      <w:highlight w:val="none"/>
                    </w:rPr>
                  </w:pPr>
                  <w:r>
                    <w:rPr>
                      <w:rFonts w:cs="Times New Roman"/>
                      <w:bCs/>
                      <w:color w:val="auto"/>
                      <w:szCs w:val="21"/>
                      <w:highlight w:val="none"/>
                    </w:rPr>
                    <w:t>/</w:t>
                  </w:r>
                </w:p>
              </w:tc>
              <w:tc>
                <w:tcPr>
                  <w:tcW w:w="1231" w:type="dxa"/>
                  <w:tcBorders>
                    <w:tl2br w:val="nil"/>
                    <w:tr2bl w:val="nil"/>
                  </w:tcBorders>
                  <w:vAlign w:val="center"/>
                </w:tcPr>
                <w:p w14:paraId="2504C922">
                  <w:pPr>
                    <w:adjustRightInd w:val="0"/>
                    <w:jc w:val="center"/>
                    <w:rPr>
                      <w:rFonts w:cs="Times New Roman"/>
                      <w:color w:val="auto"/>
                      <w:szCs w:val="21"/>
                      <w:highlight w:val="none"/>
                    </w:rPr>
                  </w:pPr>
                  <w:r>
                    <w:rPr>
                      <w:rFonts w:hint="eastAsia"/>
                      <w:highlight w:val="none"/>
                    </w:rPr>
                    <w:t>52.70</w:t>
                  </w:r>
                </w:p>
              </w:tc>
              <w:tc>
                <w:tcPr>
                  <w:tcW w:w="778" w:type="pct"/>
                  <w:tcBorders>
                    <w:tl2br w:val="nil"/>
                    <w:tr2bl w:val="nil"/>
                  </w:tcBorders>
                  <w:vAlign w:val="center"/>
                </w:tcPr>
                <w:p w14:paraId="003B9381">
                  <w:pPr>
                    <w:jc w:val="center"/>
                    <w:rPr>
                      <w:rFonts w:cs="Times New Roman"/>
                      <w:color w:val="auto"/>
                      <w:szCs w:val="21"/>
                      <w:highlight w:val="none"/>
                    </w:rPr>
                  </w:pPr>
                  <w:r>
                    <w:rPr>
                      <w:rFonts w:cs="Times New Roman"/>
                      <w:color w:val="auto"/>
                      <w:szCs w:val="21"/>
                      <w:highlight w:val="none"/>
                    </w:rPr>
                    <w:t>70</w:t>
                  </w:r>
                </w:p>
              </w:tc>
              <w:tc>
                <w:tcPr>
                  <w:tcW w:w="430" w:type="pct"/>
                  <w:tcBorders>
                    <w:tl2br w:val="nil"/>
                    <w:tr2bl w:val="nil"/>
                  </w:tcBorders>
                  <w:vAlign w:val="center"/>
                </w:tcPr>
                <w:p w14:paraId="0F4D782F">
                  <w:pPr>
                    <w:jc w:val="center"/>
                    <w:rPr>
                      <w:rFonts w:cs="Times New Roman"/>
                      <w:color w:val="auto"/>
                      <w:szCs w:val="21"/>
                    </w:rPr>
                  </w:pPr>
                  <w:r>
                    <w:rPr>
                      <w:rFonts w:cs="Times New Roman"/>
                      <w:color w:val="auto"/>
                      <w:szCs w:val="21"/>
                    </w:rPr>
                    <w:t>达标</w:t>
                  </w:r>
                </w:p>
              </w:tc>
            </w:tr>
          </w:tbl>
          <w:p w14:paraId="7CC62852">
            <w:pPr>
              <w:spacing w:line="336" w:lineRule="auto"/>
              <w:ind w:firstLine="480" w:firstLineChars="200"/>
              <w:rPr>
                <w:rFonts w:cs="Times New Roman"/>
                <w:color w:val="auto"/>
                <w:sz w:val="24"/>
                <w:szCs w:val="24"/>
              </w:rPr>
            </w:pPr>
            <w:r>
              <w:rPr>
                <w:rFonts w:cs="Times New Roman"/>
                <w:color w:val="auto"/>
                <w:sz w:val="24"/>
                <w:szCs w:val="24"/>
              </w:rPr>
              <w:t>由预测结果可知，施工期昼间厂界四周预测点噪声排放值均满足《建筑施工场界环境噪声排放标准》（GB12523-2011）昼间排放标准要求，可实现达标排放；夜间不进行施工作业，不会对周围环境产生影响，且项目周边50m范围内无声环境敏感目标，因此不会产生噪声扰民现象。</w:t>
            </w:r>
          </w:p>
          <w:p w14:paraId="7E53AED3">
            <w:pPr>
              <w:spacing w:line="336" w:lineRule="auto"/>
              <w:ind w:firstLine="480" w:firstLineChars="200"/>
              <w:rPr>
                <w:rFonts w:cs="Times New Roman"/>
                <w:color w:val="auto"/>
                <w:sz w:val="24"/>
                <w:szCs w:val="24"/>
              </w:rPr>
            </w:pPr>
            <w:r>
              <w:rPr>
                <w:rFonts w:cs="Times New Roman"/>
                <w:color w:val="auto"/>
                <w:sz w:val="24"/>
                <w:szCs w:val="24"/>
              </w:rPr>
              <w:t>综上所述，项目施工期间噪声</w:t>
            </w:r>
            <w:r>
              <w:rPr>
                <w:rFonts w:hint="eastAsia" w:cs="Times New Roman"/>
                <w:color w:val="auto"/>
                <w:sz w:val="24"/>
                <w:szCs w:val="24"/>
              </w:rPr>
              <w:t>对周围声环境质量影响较小</w:t>
            </w:r>
            <w:r>
              <w:rPr>
                <w:rFonts w:cs="Times New Roman"/>
                <w:color w:val="auto"/>
                <w:sz w:val="24"/>
                <w:szCs w:val="24"/>
              </w:rPr>
              <w:t>。</w:t>
            </w:r>
          </w:p>
          <w:p w14:paraId="4257DA7A">
            <w:pPr>
              <w:spacing w:line="336" w:lineRule="auto"/>
              <w:ind w:firstLine="482" w:firstLineChars="200"/>
              <w:rPr>
                <w:rFonts w:cs="Times New Roman"/>
                <w:b/>
                <w:color w:val="auto"/>
                <w:sz w:val="24"/>
                <w:szCs w:val="24"/>
              </w:rPr>
            </w:pPr>
            <w:r>
              <w:rPr>
                <w:rFonts w:cs="Times New Roman"/>
                <w:b/>
                <w:color w:val="auto"/>
                <w:sz w:val="24"/>
                <w:szCs w:val="24"/>
              </w:rPr>
              <w:t>4、固废</w:t>
            </w:r>
          </w:p>
          <w:p w14:paraId="1600A1EA">
            <w:pPr>
              <w:spacing w:line="336" w:lineRule="auto"/>
              <w:ind w:firstLine="361" w:firstLineChars="150"/>
              <w:rPr>
                <w:rFonts w:hint="eastAsia" w:eastAsia="宋体" w:cs="Times New Roman"/>
                <w:b/>
                <w:color w:val="auto"/>
                <w:sz w:val="24"/>
                <w:szCs w:val="24"/>
                <w:lang w:eastAsia="zh-CN"/>
              </w:rPr>
            </w:pPr>
            <w:r>
              <w:rPr>
                <w:rFonts w:cs="Times New Roman"/>
                <w:b/>
                <w:color w:val="auto"/>
                <w:sz w:val="24"/>
                <w:szCs w:val="24"/>
              </w:rPr>
              <w:t>（1）建筑废物</w:t>
            </w:r>
            <w:r>
              <w:rPr>
                <w:rFonts w:hint="eastAsia" w:cs="Times New Roman"/>
                <w:b/>
                <w:color w:val="auto"/>
                <w:sz w:val="24"/>
                <w:szCs w:val="24"/>
                <w:lang w:eastAsia="zh-CN"/>
              </w:rPr>
              <w:t>及弃土</w:t>
            </w:r>
          </w:p>
          <w:p w14:paraId="3FF23FC4">
            <w:pPr>
              <w:spacing w:line="336" w:lineRule="auto"/>
              <w:ind w:firstLine="480" w:firstLineChars="200"/>
              <w:rPr>
                <w:rFonts w:hint="eastAsia" w:eastAsia="宋体" w:cs="Times New Roman"/>
                <w:color w:val="auto"/>
                <w:sz w:val="24"/>
                <w:szCs w:val="24"/>
                <w:lang w:eastAsia="zh-CN"/>
              </w:rPr>
            </w:pPr>
            <w:r>
              <w:rPr>
                <w:rFonts w:cs="Times New Roman"/>
                <w:color w:val="auto"/>
                <w:sz w:val="24"/>
                <w:szCs w:val="24"/>
              </w:rPr>
              <w:t>施工期建筑废物主要包括建筑垃圾</w:t>
            </w:r>
            <w:r>
              <w:rPr>
                <w:rFonts w:hint="eastAsia" w:cs="Times New Roman"/>
                <w:color w:val="auto"/>
                <w:sz w:val="24"/>
                <w:szCs w:val="24"/>
                <w:lang w:eastAsia="zh-CN"/>
              </w:rPr>
              <w:t>及沉淀池开挖产生的弃土</w:t>
            </w:r>
            <w:r>
              <w:rPr>
                <w:rFonts w:cs="Times New Roman"/>
                <w:color w:val="auto"/>
                <w:sz w:val="24"/>
                <w:szCs w:val="24"/>
              </w:rPr>
              <w:t>，预计产生量约</w:t>
            </w:r>
            <w:r>
              <w:rPr>
                <w:rFonts w:hint="eastAsia" w:cs="Times New Roman"/>
                <w:color w:val="auto"/>
                <w:sz w:val="24"/>
                <w:szCs w:val="24"/>
                <w:lang w:val="en-US" w:eastAsia="zh-CN"/>
              </w:rPr>
              <w:t>900</w:t>
            </w:r>
            <w:r>
              <w:rPr>
                <w:rFonts w:cs="Times New Roman"/>
                <w:color w:val="auto"/>
                <w:sz w:val="24"/>
                <w:szCs w:val="24"/>
              </w:rPr>
              <w:t>t，环评要求：施工现场应设置建筑垃圾</w:t>
            </w:r>
            <w:r>
              <w:rPr>
                <w:rFonts w:hint="eastAsia" w:cs="Times New Roman"/>
                <w:color w:val="auto"/>
                <w:sz w:val="24"/>
                <w:szCs w:val="24"/>
                <w:lang w:eastAsia="zh-CN"/>
              </w:rPr>
              <w:t>及弃土</w:t>
            </w:r>
            <w:r>
              <w:rPr>
                <w:rFonts w:cs="Times New Roman"/>
                <w:color w:val="auto"/>
                <w:sz w:val="24"/>
                <w:szCs w:val="24"/>
              </w:rPr>
              <w:t>临时堆场并树立</w:t>
            </w:r>
            <w:r>
              <w:rPr>
                <w:rFonts w:hint="eastAsia" w:cs="Times New Roman"/>
                <w:color w:val="auto"/>
                <w:sz w:val="24"/>
                <w:szCs w:val="24"/>
                <w:lang w:eastAsia="zh-CN"/>
              </w:rPr>
              <w:t>标识</w:t>
            </w:r>
            <w:r>
              <w:rPr>
                <w:rFonts w:cs="Times New Roman"/>
                <w:color w:val="auto"/>
                <w:sz w:val="24"/>
                <w:szCs w:val="24"/>
              </w:rPr>
              <w:t>牌，采取进行防雨、防泄漏处理。对于施工期间产生的可回收利用的废料（如钢筋、钢板、木材等下脚料）通过分类收集后交废物收购站处理；对不能回收的建筑废物不能随意倾倒，而应用编织袋包装后清运到建筑垃圾处置场</w:t>
            </w:r>
            <w:r>
              <w:rPr>
                <w:rFonts w:hint="eastAsia" w:cs="Times New Roman"/>
                <w:color w:val="auto"/>
                <w:sz w:val="24"/>
                <w:szCs w:val="24"/>
                <w:lang w:eastAsia="zh-CN"/>
              </w:rPr>
              <w:t>；沉淀池开挖产生的弃土运至政府指定弃土场进行处置。</w:t>
            </w:r>
          </w:p>
          <w:p w14:paraId="0D0579E2">
            <w:pPr>
              <w:spacing w:line="336" w:lineRule="auto"/>
              <w:ind w:firstLine="361" w:firstLineChars="150"/>
              <w:rPr>
                <w:rFonts w:cs="Times New Roman"/>
                <w:b/>
                <w:color w:val="auto"/>
                <w:sz w:val="24"/>
                <w:szCs w:val="24"/>
              </w:rPr>
            </w:pPr>
            <w:r>
              <w:rPr>
                <w:rFonts w:cs="Times New Roman"/>
                <w:b/>
                <w:color w:val="auto"/>
                <w:sz w:val="24"/>
                <w:szCs w:val="24"/>
              </w:rPr>
              <w:t>（2）生活垃圾</w:t>
            </w:r>
          </w:p>
          <w:p w14:paraId="0F990B5A">
            <w:pPr>
              <w:spacing w:line="336" w:lineRule="auto"/>
              <w:ind w:firstLine="360" w:firstLineChars="150"/>
              <w:rPr>
                <w:rFonts w:cs="Times New Roman"/>
                <w:color w:val="auto"/>
                <w:sz w:val="24"/>
                <w:szCs w:val="24"/>
              </w:rPr>
            </w:pPr>
            <w:r>
              <w:rPr>
                <w:rFonts w:cs="Times New Roman"/>
                <w:color w:val="auto"/>
                <w:sz w:val="24"/>
                <w:szCs w:val="24"/>
              </w:rPr>
              <w:t>项目施工人员约10人，生活垃圾产生量按0.5kg/人·d计，预计产生量为5.0kg/d，生活垃圾经袋装收集后，由环卫部门统一运送到垃圾处理场集中处理。</w:t>
            </w:r>
          </w:p>
          <w:p w14:paraId="1C66D7DD">
            <w:pPr>
              <w:spacing w:line="336" w:lineRule="auto"/>
              <w:ind w:firstLine="482" w:firstLineChars="200"/>
              <w:rPr>
                <w:rFonts w:cs="Times New Roman"/>
                <w:b/>
                <w:color w:val="auto"/>
                <w:sz w:val="24"/>
              </w:rPr>
            </w:pPr>
            <w:r>
              <w:rPr>
                <w:rFonts w:cs="Times New Roman"/>
                <w:b/>
                <w:color w:val="auto"/>
                <w:sz w:val="24"/>
              </w:rPr>
              <w:t>5、生态环境</w:t>
            </w:r>
          </w:p>
          <w:p w14:paraId="32155940">
            <w:pPr>
              <w:spacing w:line="336" w:lineRule="auto"/>
              <w:ind w:firstLine="360" w:firstLineChars="150"/>
              <w:rPr>
                <w:rFonts w:cs="Times New Roman"/>
                <w:color w:val="auto"/>
              </w:rPr>
            </w:pPr>
            <w:r>
              <w:rPr>
                <w:rFonts w:cs="Times New Roman"/>
                <w:color w:val="auto"/>
                <w:kern w:val="0"/>
                <w:sz w:val="24"/>
                <w:szCs w:val="24"/>
              </w:rPr>
              <w:t>根据现场勘察和调查，项目在</w:t>
            </w:r>
            <w:r>
              <w:rPr>
                <w:rFonts w:cs="Times New Roman"/>
                <w:color w:val="auto"/>
                <w:sz w:val="24"/>
                <w:szCs w:val="24"/>
              </w:rPr>
              <w:t>半挂车项目</w:t>
            </w:r>
            <w:r>
              <w:rPr>
                <w:rFonts w:hint="eastAsia" w:cs="Times New Roman"/>
                <w:color w:val="auto"/>
                <w:sz w:val="24"/>
                <w:szCs w:val="24"/>
                <w:lang w:eastAsia="zh-CN"/>
              </w:rPr>
              <w:t>生产车间</w:t>
            </w:r>
            <w:r>
              <w:rPr>
                <w:rFonts w:cs="Times New Roman"/>
                <w:color w:val="auto"/>
                <w:kern w:val="0"/>
                <w:sz w:val="24"/>
                <w:szCs w:val="24"/>
              </w:rPr>
              <w:t>内进行改造，项目建设对场地影响较小，对场地原有植被剥离较小，造成的水土流失很小。因此，项目建设对生态环境影响较小。</w:t>
            </w:r>
          </w:p>
        </w:tc>
      </w:tr>
      <w:tr w14:paraId="337741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04" w:type="dxa"/>
            <w:vAlign w:val="center"/>
          </w:tcPr>
          <w:p w14:paraId="12889BD5">
            <w:pPr>
              <w:jc w:val="center"/>
              <w:rPr>
                <w:rFonts w:cs="Times New Roman"/>
                <w:color w:val="auto"/>
                <w:sz w:val="24"/>
                <w:szCs w:val="24"/>
              </w:rPr>
            </w:pPr>
            <w:r>
              <w:rPr>
                <w:rFonts w:cs="Times New Roman"/>
                <w:color w:val="auto"/>
                <w:sz w:val="24"/>
                <w:szCs w:val="24"/>
              </w:rPr>
              <w:t>运营</w:t>
            </w:r>
          </w:p>
          <w:p w14:paraId="580A9DB6">
            <w:pPr>
              <w:jc w:val="center"/>
              <w:rPr>
                <w:rFonts w:cs="Times New Roman"/>
                <w:color w:val="auto"/>
                <w:sz w:val="24"/>
                <w:szCs w:val="24"/>
              </w:rPr>
            </w:pPr>
            <w:r>
              <w:rPr>
                <w:rFonts w:cs="Times New Roman"/>
                <w:color w:val="auto"/>
                <w:sz w:val="24"/>
                <w:szCs w:val="24"/>
              </w:rPr>
              <w:t>期环</w:t>
            </w:r>
          </w:p>
          <w:p w14:paraId="1C633D9F">
            <w:pPr>
              <w:jc w:val="center"/>
              <w:rPr>
                <w:rFonts w:cs="Times New Roman"/>
                <w:color w:val="auto"/>
                <w:sz w:val="24"/>
                <w:szCs w:val="24"/>
              </w:rPr>
            </w:pPr>
            <w:r>
              <w:rPr>
                <w:rFonts w:cs="Times New Roman"/>
                <w:color w:val="auto"/>
                <w:sz w:val="24"/>
                <w:szCs w:val="24"/>
              </w:rPr>
              <w:t>境影</w:t>
            </w:r>
          </w:p>
          <w:p w14:paraId="5F3A1009">
            <w:pPr>
              <w:jc w:val="center"/>
              <w:rPr>
                <w:rFonts w:cs="Times New Roman"/>
                <w:color w:val="auto"/>
                <w:sz w:val="24"/>
                <w:szCs w:val="24"/>
              </w:rPr>
            </w:pPr>
            <w:r>
              <w:rPr>
                <w:rFonts w:cs="Times New Roman"/>
                <w:color w:val="auto"/>
                <w:sz w:val="24"/>
                <w:szCs w:val="24"/>
              </w:rPr>
              <w:t>响和</w:t>
            </w:r>
          </w:p>
          <w:p w14:paraId="311EB75A">
            <w:pPr>
              <w:jc w:val="center"/>
              <w:rPr>
                <w:rFonts w:cs="Times New Roman"/>
                <w:color w:val="auto"/>
                <w:sz w:val="24"/>
                <w:szCs w:val="24"/>
              </w:rPr>
            </w:pPr>
            <w:r>
              <w:rPr>
                <w:rFonts w:cs="Times New Roman"/>
                <w:color w:val="auto"/>
                <w:sz w:val="24"/>
                <w:szCs w:val="24"/>
              </w:rPr>
              <w:t>保护</w:t>
            </w:r>
          </w:p>
          <w:p w14:paraId="259459EC">
            <w:pPr>
              <w:jc w:val="center"/>
              <w:rPr>
                <w:rFonts w:cs="Times New Roman"/>
                <w:color w:val="auto"/>
                <w:sz w:val="24"/>
                <w:szCs w:val="24"/>
              </w:rPr>
            </w:pPr>
            <w:r>
              <w:rPr>
                <w:rFonts w:cs="Times New Roman"/>
                <w:color w:val="auto"/>
                <w:sz w:val="24"/>
                <w:szCs w:val="24"/>
              </w:rPr>
              <w:t>措施</w:t>
            </w:r>
          </w:p>
        </w:tc>
        <w:tc>
          <w:tcPr>
            <w:tcW w:w="8645" w:type="dxa"/>
            <w:vAlign w:val="center"/>
          </w:tcPr>
          <w:p w14:paraId="5C6D70EC">
            <w:pPr>
              <w:spacing w:line="360" w:lineRule="auto"/>
              <w:ind w:firstLine="482" w:firstLineChars="200"/>
              <w:rPr>
                <w:rFonts w:cs="Times New Roman"/>
                <w:b/>
                <w:color w:val="auto"/>
                <w:sz w:val="24"/>
                <w:szCs w:val="24"/>
              </w:rPr>
            </w:pPr>
            <w:r>
              <w:rPr>
                <w:rFonts w:cs="Times New Roman"/>
                <w:b/>
                <w:color w:val="auto"/>
                <w:sz w:val="24"/>
                <w:szCs w:val="24"/>
              </w:rPr>
              <w:t>1、废气</w:t>
            </w:r>
          </w:p>
          <w:p w14:paraId="0BD39B4E">
            <w:pPr>
              <w:spacing w:line="360" w:lineRule="auto"/>
              <w:ind w:firstLine="482" w:firstLineChars="200"/>
              <w:rPr>
                <w:rFonts w:cs="Times New Roman"/>
                <w:b/>
                <w:color w:val="auto"/>
                <w:sz w:val="24"/>
                <w:szCs w:val="24"/>
              </w:rPr>
            </w:pPr>
            <w:r>
              <w:rPr>
                <w:rFonts w:cs="Times New Roman"/>
                <w:b/>
                <w:color w:val="auto"/>
                <w:sz w:val="24"/>
                <w:szCs w:val="24"/>
              </w:rPr>
              <w:t>（1）产排污环节、污染物种类、产生量核算</w:t>
            </w:r>
          </w:p>
          <w:p w14:paraId="52E15B3F">
            <w:pPr>
              <w:spacing w:line="360" w:lineRule="auto"/>
              <w:ind w:firstLine="480" w:firstLineChars="200"/>
              <w:rPr>
                <w:rFonts w:cs="Times New Roman"/>
                <w:color w:val="auto"/>
                <w:sz w:val="24"/>
                <w:szCs w:val="24"/>
              </w:rPr>
            </w:pPr>
            <w:r>
              <w:rPr>
                <w:rFonts w:cs="Times New Roman"/>
                <w:color w:val="auto"/>
                <w:sz w:val="24"/>
                <w:szCs w:val="24"/>
              </w:rPr>
              <w:t>项目废气主要为石材加工粉尘、</w:t>
            </w:r>
            <w:r>
              <w:rPr>
                <w:rFonts w:hint="eastAsia" w:cs="Times New Roman"/>
                <w:color w:val="auto"/>
                <w:sz w:val="24"/>
                <w:szCs w:val="24"/>
              </w:rPr>
              <w:t>石材喷砂粉尘</w:t>
            </w:r>
            <w:r>
              <w:rPr>
                <w:rFonts w:hint="eastAsia" w:cs="Times New Roman"/>
                <w:color w:val="auto"/>
                <w:sz w:val="24"/>
                <w:szCs w:val="24"/>
                <w:lang w:eastAsia="zh-CN"/>
              </w:rPr>
              <w:t>、</w:t>
            </w:r>
            <w:r>
              <w:rPr>
                <w:rFonts w:cs="Times New Roman"/>
                <w:color w:val="auto"/>
                <w:sz w:val="24"/>
                <w:szCs w:val="24"/>
              </w:rPr>
              <w:t>车辆运输扬尘和食堂油烟</w:t>
            </w:r>
            <w:r>
              <w:rPr>
                <w:rFonts w:hint="eastAsia" w:cs="Times New Roman"/>
                <w:color w:val="auto"/>
                <w:sz w:val="24"/>
                <w:szCs w:val="24"/>
                <w:lang w:eastAsia="zh-CN"/>
              </w:rPr>
              <w:t>。</w:t>
            </w:r>
          </w:p>
          <w:p w14:paraId="34A7CF37">
            <w:pPr>
              <w:spacing w:line="360" w:lineRule="auto"/>
              <w:ind w:firstLine="482" w:firstLineChars="200"/>
              <w:rPr>
                <w:rFonts w:cs="Times New Roman"/>
                <w:bCs/>
                <w:color w:val="auto"/>
                <w:sz w:val="24"/>
                <w:szCs w:val="24"/>
              </w:rPr>
            </w:pPr>
            <w:r>
              <w:rPr>
                <w:rFonts w:cs="Times New Roman"/>
                <w:b/>
                <w:color w:val="auto"/>
                <w:sz w:val="24"/>
                <w:szCs w:val="24"/>
              </w:rPr>
              <w:t>①石材加工粉尘</w:t>
            </w:r>
          </w:p>
          <w:p w14:paraId="1077B2EF">
            <w:pPr>
              <w:spacing w:line="360" w:lineRule="auto"/>
              <w:ind w:firstLine="480" w:firstLineChars="200"/>
              <w:rPr>
                <w:rFonts w:hint="default" w:eastAsia="宋体" w:cs="Times New Roman"/>
                <w:bCs/>
                <w:color w:val="auto"/>
                <w:sz w:val="24"/>
                <w:szCs w:val="24"/>
                <w:lang w:val="en-US" w:eastAsia="zh-CN"/>
              </w:rPr>
            </w:pPr>
            <w:r>
              <w:rPr>
                <w:rFonts w:cs="Times New Roman"/>
                <w:bCs/>
                <w:color w:val="auto"/>
                <w:sz w:val="24"/>
                <w:szCs w:val="24"/>
              </w:rPr>
              <w:t>项目</w:t>
            </w:r>
            <w:r>
              <w:rPr>
                <w:rFonts w:cs="Times New Roman"/>
                <w:color w:val="auto"/>
                <w:sz w:val="24"/>
                <w:szCs w:val="24"/>
              </w:rPr>
              <w:t>外购青石毛料为原料在厂区进行加工，对外购的</w:t>
            </w:r>
            <w:r>
              <w:rPr>
                <w:rFonts w:hint="eastAsia" w:cs="Times New Roman"/>
                <w:color w:val="auto"/>
                <w:sz w:val="24"/>
                <w:szCs w:val="24"/>
                <w:lang w:eastAsia="zh-CN"/>
              </w:rPr>
              <w:t>石材</w:t>
            </w:r>
            <w:r>
              <w:rPr>
                <w:rFonts w:cs="Times New Roman"/>
                <w:color w:val="auto"/>
                <w:sz w:val="24"/>
                <w:szCs w:val="24"/>
              </w:rPr>
              <w:t>进行切割、雕刻、抛磨等工序时会产生粉尘。</w:t>
            </w:r>
            <w:r>
              <w:rPr>
                <w:rFonts w:cs="Times New Roman"/>
                <w:bCs/>
                <w:color w:val="auto"/>
                <w:sz w:val="24"/>
                <w:szCs w:val="24"/>
              </w:rPr>
              <w:t>根据《排放源统计调查产排污核算方法和系数手册》3032建筑用石加工行业中异形石材产品（含墓碑石）锯解、磨抛、裁切颗粒物产污系数为2.</w:t>
            </w:r>
            <w:r>
              <w:rPr>
                <w:rFonts w:cs="Times New Roman"/>
                <w:bCs/>
                <w:color w:val="auto"/>
                <w:sz w:val="24"/>
                <w:szCs w:val="24"/>
                <w:highlight w:val="none"/>
              </w:rPr>
              <w:t>08kg/立方米-产品。</w:t>
            </w:r>
            <w:r>
              <w:rPr>
                <w:rFonts w:hint="eastAsia" w:ascii="Times New Roman" w:hAnsi="Times New Roman" w:cs="Times New Roman"/>
                <w:bCs/>
                <w:color w:val="auto"/>
                <w:sz w:val="24"/>
                <w:szCs w:val="24"/>
                <w:highlight w:val="none"/>
                <w:lang w:val="en-US" w:eastAsia="zh-CN"/>
              </w:rPr>
              <w:t>由于产品的规格会因顾客的需求不同，难以计算项目成品体积，故计算时，以项目原料用量计算，</w:t>
            </w:r>
            <w:r>
              <w:rPr>
                <w:rFonts w:cs="Times New Roman"/>
                <w:bCs/>
                <w:color w:val="auto"/>
                <w:sz w:val="24"/>
                <w:szCs w:val="24"/>
                <w:highlight w:val="none"/>
              </w:rPr>
              <w:t>本项目年</w:t>
            </w:r>
            <w:r>
              <w:rPr>
                <w:rFonts w:hint="eastAsia" w:cs="Times New Roman"/>
                <w:bCs/>
                <w:color w:val="auto"/>
                <w:sz w:val="24"/>
                <w:szCs w:val="24"/>
                <w:highlight w:val="none"/>
                <w:lang w:eastAsia="zh-CN"/>
              </w:rPr>
              <w:t>用</w:t>
            </w:r>
            <w:r>
              <w:rPr>
                <w:rFonts w:cs="Times New Roman"/>
                <w:bCs/>
                <w:color w:val="auto"/>
                <w:sz w:val="24"/>
                <w:szCs w:val="24"/>
                <w:highlight w:val="none"/>
              </w:rPr>
              <w:t>石材</w:t>
            </w:r>
            <w:r>
              <w:rPr>
                <w:rFonts w:hint="eastAsia" w:cs="Times New Roman"/>
                <w:bCs/>
                <w:color w:val="auto"/>
                <w:sz w:val="24"/>
                <w:szCs w:val="24"/>
                <w:highlight w:val="none"/>
                <w:lang w:eastAsia="zh-CN"/>
              </w:rPr>
              <w:t>原料为</w:t>
            </w:r>
            <w:r>
              <w:rPr>
                <w:rFonts w:hint="eastAsia" w:cs="Times New Roman"/>
                <w:bCs/>
                <w:color w:val="auto"/>
                <w:sz w:val="24"/>
                <w:szCs w:val="24"/>
                <w:highlight w:val="none"/>
                <w:lang w:val="en-US" w:eastAsia="zh-CN"/>
              </w:rPr>
              <w:t>10</w:t>
            </w:r>
            <w:r>
              <w:rPr>
                <w:rFonts w:cs="Times New Roman"/>
                <w:bCs/>
                <w:color w:val="auto"/>
                <w:sz w:val="24"/>
                <w:szCs w:val="24"/>
                <w:highlight w:val="none"/>
              </w:rPr>
              <w:t>000m</w:t>
            </w:r>
            <w:r>
              <w:rPr>
                <w:rFonts w:cs="Times New Roman"/>
                <w:bCs/>
                <w:color w:val="auto"/>
                <w:sz w:val="24"/>
                <w:szCs w:val="24"/>
                <w:highlight w:val="none"/>
                <w:vertAlign w:val="superscript"/>
              </w:rPr>
              <w:t>3</w:t>
            </w:r>
            <w:r>
              <w:rPr>
                <w:rFonts w:cs="Times New Roman"/>
                <w:bCs/>
                <w:color w:val="auto"/>
                <w:sz w:val="24"/>
                <w:szCs w:val="24"/>
                <w:highlight w:val="none"/>
              </w:rPr>
              <w:t>，则石材加工粉尘产生量为</w:t>
            </w:r>
            <w:r>
              <w:rPr>
                <w:rFonts w:hint="eastAsia" w:cs="Times New Roman"/>
                <w:bCs/>
                <w:color w:val="auto"/>
                <w:sz w:val="24"/>
                <w:szCs w:val="24"/>
                <w:highlight w:val="none"/>
                <w:lang w:val="en-US" w:eastAsia="zh-CN"/>
              </w:rPr>
              <w:t>20.8</w:t>
            </w:r>
            <w:r>
              <w:rPr>
                <w:rFonts w:cs="Times New Roman"/>
                <w:bCs/>
                <w:color w:val="auto"/>
                <w:sz w:val="24"/>
                <w:szCs w:val="24"/>
                <w:highlight w:val="none"/>
              </w:rPr>
              <w:t>t/a，产生速率为</w:t>
            </w:r>
            <w:r>
              <w:rPr>
                <w:rFonts w:hint="eastAsia" w:cs="Times New Roman"/>
                <w:bCs/>
                <w:color w:val="auto"/>
                <w:sz w:val="24"/>
                <w:szCs w:val="24"/>
                <w:highlight w:val="none"/>
                <w:lang w:val="en-US" w:eastAsia="zh-CN"/>
              </w:rPr>
              <w:t>8.667</w:t>
            </w:r>
            <w:r>
              <w:rPr>
                <w:rFonts w:cs="Times New Roman"/>
                <w:bCs/>
                <w:color w:val="auto"/>
                <w:sz w:val="24"/>
                <w:szCs w:val="24"/>
                <w:highlight w:val="none"/>
              </w:rPr>
              <w:t>kg/h（工作时间300d，8h</w:t>
            </w:r>
            <w:r>
              <w:rPr>
                <w:rFonts w:hint="eastAsia" w:cs="Times New Roman"/>
                <w:bCs/>
                <w:color w:val="auto"/>
                <w:sz w:val="24"/>
                <w:szCs w:val="24"/>
                <w:highlight w:val="none"/>
                <w:lang w:val="en-US" w:eastAsia="zh-CN"/>
              </w:rPr>
              <w:t>/d</w:t>
            </w:r>
            <w:r>
              <w:rPr>
                <w:rFonts w:cs="Times New Roman"/>
                <w:bCs/>
                <w:color w:val="auto"/>
                <w:sz w:val="24"/>
                <w:szCs w:val="24"/>
                <w:highlight w:val="none"/>
              </w:rPr>
              <w:t>）。</w:t>
            </w:r>
            <w:r>
              <w:rPr>
                <w:rFonts w:hint="eastAsia" w:cs="Times New Roman"/>
                <w:bCs/>
                <w:color w:val="auto"/>
                <w:sz w:val="24"/>
                <w:szCs w:val="24"/>
                <w:highlight w:val="none"/>
                <w:lang w:val="en-US" w:eastAsia="zh-CN"/>
              </w:rPr>
              <w:t xml:space="preserve">    </w:t>
            </w:r>
          </w:p>
          <w:p w14:paraId="49AC5279">
            <w:pPr>
              <w:spacing w:line="360" w:lineRule="auto"/>
              <w:ind w:firstLine="482" w:firstLineChars="200"/>
              <w:rPr>
                <w:rFonts w:cs="Times New Roman"/>
                <w:bCs/>
                <w:color w:val="auto"/>
                <w:sz w:val="24"/>
                <w:szCs w:val="24"/>
              </w:rPr>
            </w:pPr>
            <w:r>
              <w:rPr>
                <w:rFonts w:cs="Times New Roman"/>
                <w:b/>
                <w:bCs/>
                <w:color w:val="auto"/>
                <w:sz w:val="24"/>
                <w:szCs w:val="24"/>
              </w:rPr>
              <w:t>②</w:t>
            </w:r>
            <w:r>
              <w:rPr>
                <w:rFonts w:hint="eastAsia" w:cs="Times New Roman"/>
                <w:b/>
                <w:bCs/>
                <w:color w:val="auto"/>
                <w:sz w:val="24"/>
                <w:szCs w:val="24"/>
              </w:rPr>
              <w:t>石材喷砂粉尘</w:t>
            </w:r>
          </w:p>
          <w:p w14:paraId="221C86F5">
            <w:pPr>
              <w:spacing w:line="360" w:lineRule="auto"/>
              <w:ind w:firstLine="480" w:firstLineChars="200"/>
              <w:rPr>
                <w:rFonts w:cs="Times New Roman"/>
                <w:b/>
                <w:bCs/>
                <w:color w:val="auto"/>
                <w:sz w:val="24"/>
                <w:szCs w:val="24"/>
              </w:rPr>
            </w:pPr>
            <w:r>
              <w:rPr>
                <w:rFonts w:hint="eastAsia" w:cs="Times New Roman"/>
                <w:color w:val="auto"/>
                <w:sz w:val="24"/>
                <w:szCs w:val="24"/>
              </w:rPr>
              <w:t>项目部分石材需对表面进行喷砂处理，使其石材表面有一定的粗糙度，在喷砂过程中会产生一定量的粉尘。项目喷砂工序所需的磨料（铁砂）约1t/a。喷砂粉尘的产生量约为磨料的5%，则石材喷砂粉尘产生量为0.05t/a，产生速率为0.5kg/h</w:t>
            </w:r>
            <w:r>
              <w:rPr>
                <w:rFonts w:cs="Times New Roman"/>
                <w:bCs/>
                <w:color w:val="auto"/>
                <w:sz w:val="24"/>
                <w:szCs w:val="24"/>
              </w:rPr>
              <w:t>（工作时间</w:t>
            </w:r>
            <w:r>
              <w:rPr>
                <w:rFonts w:hint="eastAsia" w:cs="Times New Roman"/>
                <w:bCs/>
                <w:color w:val="auto"/>
                <w:sz w:val="24"/>
                <w:szCs w:val="24"/>
              </w:rPr>
              <w:t>1</w:t>
            </w:r>
            <w:r>
              <w:rPr>
                <w:rFonts w:cs="Times New Roman"/>
                <w:bCs/>
                <w:color w:val="auto"/>
                <w:sz w:val="24"/>
                <w:szCs w:val="24"/>
              </w:rPr>
              <w:t>00d，</w:t>
            </w:r>
            <w:r>
              <w:rPr>
                <w:rFonts w:hint="eastAsia" w:cs="Times New Roman"/>
                <w:bCs/>
                <w:color w:val="auto"/>
                <w:sz w:val="24"/>
                <w:szCs w:val="24"/>
              </w:rPr>
              <w:t>1</w:t>
            </w:r>
            <w:r>
              <w:rPr>
                <w:rFonts w:cs="Times New Roman"/>
                <w:bCs/>
                <w:color w:val="auto"/>
                <w:sz w:val="24"/>
                <w:szCs w:val="24"/>
              </w:rPr>
              <w:t>h）</w:t>
            </w:r>
            <w:r>
              <w:rPr>
                <w:rFonts w:hint="eastAsia" w:cs="Times New Roman"/>
                <w:bCs/>
                <w:color w:val="auto"/>
                <w:sz w:val="24"/>
                <w:szCs w:val="24"/>
              </w:rPr>
              <w:t>。</w:t>
            </w:r>
          </w:p>
          <w:p w14:paraId="6EC8217B">
            <w:pPr>
              <w:spacing w:line="360" w:lineRule="auto"/>
              <w:ind w:firstLine="482" w:firstLineChars="200"/>
              <w:rPr>
                <w:rFonts w:cs="Times New Roman"/>
                <w:b/>
                <w:bCs/>
                <w:color w:val="auto"/>
                <w:sz w:val="24"/>
                <w:szCs w:val="24"/>
              </w:rPr>
            </w:pPr>
            <w:r>
              <w:rPr>
                <w:rFonts w:hint="eastAsia" w:ascii="宋体" w:hAnsi="宋体" w:cs="宋体"/>
                <w:b/>
                <w:bCs/>
                <w:color w:val="auto"/>
                <w:sz w:val="24"/>
                <w:szCs w:val="24"/>
              </w:rPr>
              <w:t>③</w:t>
            </w:r>
            <w:r>
              <w:rPr>
                <w:rFonts w:cs="Times New Roman"/>
                <w:b/>
                <w:bCs/>
                <w:color w:val="auto"/>
                <w:sz w:val="24"/>
                <w:szCs w:val="24"/>
              </w:rPr>
              <w:t>车辆运输扬尘</w:t>
            </w:r>
          </w:p>
          <w:p w14:paraId="084F4D8E">
            <w:pPr>
              <w:spacing w:line="360" w:lineRule="auto"/>
              <w:ind w:firstLine="480" w:firstLineChars="200"/>
              <w:rPr>
                <w:rFonts w:cs="Times New Roman"/>
                <w:color w:val="auto"/>
                <w:sz w:val="24"/>
                <w:szCs w:val="24"/>
              </w:rPr>
            </w:pPr>
            <w:r>
              <w:rPr>
                <w:rFonts w:cs="Times New Roman"/>
                <w:color w:val="auto"/>
                <w:sz w:val="24"/>
                <w:szCs w:val="24"/>
              </w:rPr>
              <w:t>自卸式载重汽车在运输原料和成品过程中会产生扬尘，其产尘强度与路面种类、季节干湿以及汽车运行速度等因素有关，汽车运输扬尘产生量采用上海港环境保护中心和武汉水运工程学院经验公式进行估算：</w:t>
            </w:r>
          </w:p>
          <w:p w14:paraId="318F3913">
            <w:pPr>
              <w:spacing w:line="360" w:lineRule="auto"/>
              <w:jc w:val="center"/>
              <w:rPr>
                <w:rFonts w:cs="Times New Roman"/>
                <w:color w:val="auto"/>
                <w:sz w:val="24"/>
                <w:szCs w:val="24"/>
              </w:rPr>
            </w:pPr>
            <w:r>
              <w:rPr>
                <w:rFonts w:cs="Times New Roman"/>
                <w:color w:val="auto"/>
                <w:position w:val="-28"/>
                <w:sz w:val="24"/>
                <w:szCs w:val="24"/>
              </w:rPr>
              <w:object>
                <v:shape id="_x0000_i1026" o:spt="75" type="#_x0000_t75" style="height:34.65pt;width:224pt;" o:ole="t" filled="f" o:preferrelative="t" stroked="f" coordsize="21600,21600">
                  <v:path/>
                  <v:fill on="f" focussize="0,0"/>
                  <v:stroke on="f" joinstyle="miter"/>
                  <v:imagedata r:id="rId17" o:title=""/>
                  <o:lock v:ext="edit" aspectratio="t"/>
                  <w10:wrap type="none"/>
                  <w10:anchorlock/>
                </v:shape>
                <o:OLEObject Type="Embed" ProgID="Equation.DSMT4" ShapeID="_x0000_i1026" DrawAspect="Content" ObjectID="_1468075726" r:id="rId16">
                  <o:LockedField>false</o:LockedField>
                </o:OLEObject>
              </w:object>
            </w:r>
          </w:p>
          <w:p w14:paraId="218A237C">
            <w:pPr>
              <w:spacing w:line="360" w:lineRule="auto"/>
              <w:ind w:firstLine="480" w:firstLineChars="200"/>
              <w:rPr>
                <w:rFonts w:cs="Times New Roman"/>
                <w:color w:val="auto"/>
                <w:sz w:val="24"/>
                <w:szCs w:val="24"/>
              </w:rPr>
            </w:pPr>
            <w:r>
              <w:rPr>
                <w:rFonts w:cs="Times New Roman"/>
                <w:color w:val="auto"/>
                <w:sz w:val="24"/>
                <w:szCs w:val="24"/>
              </w:rPr>
              <w:t>式中，</w:t>
            </w:r>
            <w:r>
              <w:rPr>
                <w:rFonts w:cs="Times New Roman"/>
                <w:i/>
                <w:color w:val="auto"/>
                <w:sz w:val="24"/>
                <w:szCs w:val="24"/>
              </w:rPr>
              <w:t>Q</w:t>
            </w:r>
            <w:r>
              <w:rPr>
                <w:rFonts w:cs="Times New Roman"/>
                <w:i/>
                <w:color w:val="auto"/>
                <w:sz w:val="24"/>
                <w:szCs w:val="24"/>
                <w:vertAlign w:val="subscript"/>
              </w:rPr>
              <w:t>y</w:t>
            </w:r>
            <w:r>
              <w:rPr>
                <w:rFonts w:cs="Times New Roman"/>
                <w:color w:val="auto"/>
                <w:sz w:val="24"/>
                <w:szCs w:val="24"/>
              </w:rPr>
              <w:t>——汽车行驶的起尘量，kg/辆；</w:t>
            </w:r>
          </w:p>
          <w:p w14:paraId="601C48B3">
            <w:pPr>
              <w:spacing w:line="360" w:lineRule="auto"/>
              <w:ind w:firstLine="1200" w:firstLineChars="500"/>
              <w:rPr>
                <w:rFonts w:cs="Times New Roman"/>
                <w:color w:val="auto"/>
                <w:sz w:val="24"/>
                <w:szCs w:val="24"/>
              </w:rPr>
            </w:pPr>
            <w:r>
              <w:rPr>
                <w:rFonts w:cs="Times New Roman"/>
                <w:i/>
                <w:color w:val="auto"/>
                <w:sz w:val="24"/>
                <w:szCs w:val="24"/>
              </w:rPr>
              <w:t>v</w:t>
            </w:r>
            <w:r>
              <w:rPr>
                <w:rFonts w:cs="Times New Roman"/>
                <w:color w:val="auto"/>
                <w:sz w:val="24"/>
                <w:szCs w:val="24"/>
              </w:rPr>
              <w:t>——汽车行驶速度，km/h，取10km/h；</w:t>
            </w:r>
          </w:p>
          <w:p w14:paraId="49D16EAA">
            <w:pPr>
              <w:spacing w:line="360" w:lineRule="auto"/>
              <w:ind w:firstLine="1200" w:firstLineChars="500"/>
              <w:rPr>
                <w:rFonts w:cs="Times New Roman"/>
                <w:color w:val="auto"/>
                <w:sz w:val="24"/>
                <w:szCs w:val="24"/>
              </w:rPr>
            </w:pPr>
            <w:r>
              <w:rPr>
                <w:rFonts w:cs="Times New Roman"/>
                <w:i/>
                <w:color w:val="auto"/>
                <w:sz w:val="24"/>
                <w:szCs w:val="24"/>
              </w:rPr>
              <w:t>M</w:t>
            </w:r>
            <w:r>
              <w:rPr>
                <w:rFonts w:cs="Times New Roman"/>
                <w:color w:val="auto"/>
                <w:sz w:val="24"/>
                <w:szCs w:val="24"/>
              </w:rPr>
              <w:t>——汽车载重量，t，取20t；</w:t>
            </w:r>
          </w:p>
          <w:p w14:paraId="1C1DE325">
            <w:pPr>
              <w:spacing w:line="360" w:lineRule="auto"/>
              <w:ind w:firstLine="1200" w:firstLineChars="500"/>
              <w:rPr>
                <w:rFonts w:cs="Times New Roman"/>
                <w:bCs/>
                <w:color w:val="auto"/>
                <w:sz w:val="24"/>
              </w:rPr>
            </w:pPr>
            <w:r>
              <w:rPr>
                <w:rFonts w:cs="Times New Roman"/>
                <w:i/>
                <w:color w:val="auto"/>
                <w:sz w:val="24"/>
                <w:szCs w:val="24"/>
              </w:rPr>
              <w:t>P</w:t>
            </w:r>
            <w:r>
              <w:rPr>
                <w:rFonts w:cs="Times New Roman"/>
                <w:color w:val="auto"/>
                <w:sz w:val="24"/>
                <w:szCs w:val="24"/>
              </w:rPr>
              <w:t>——道路表面粉尘量，kg/m</w:t>
            </w:r>
            <w:r>
              <w:rPr>
                <w:rFonts w:cs="Times New Roman"/>
                <w:color w:val="auto"/>
                <w:sz w:val="24"/>
                <w:szCs w:val="24"/>
                <w:vertAlign w:val="superscript"/>
              </w:rPr>
              <w:t>2</w:t>
            </w:r>
            <w:r>
              <w:rPr>
                <w:rFonts w:cs="Times New Roman"/>
                <w:color w:val="auto"/>
                <w:sz w:val="21"/>
                <w:szCs w:val="21"/>
              </w:rPr>
              <w:t>，</w:t>
            </w:r>
            <w:r>
              <w:rPr>
                <w:rFonts w:cs="Times New Roman"/>
                <w:bCs/>
                <w:color w:val="auto"/>
                <w:sz w:val="21"/>
                <w:szCs w:val="21"/>
              </w:rPr>
              <w:t>厂区采用水泥路面，本次环评取0.1kg/m</w:t>
            </w:r>
            <w:r>
              <w:rPr>
                <w:rFonts w:cs="Times New Roman"/>
                <w:bCs/>
                <w:color w:val="auto"/>
                <w:sz w:val="21"/>
                <w:szCs w:val="21"/>
                <w:vertAlign w:val="superscript"/>
              </w:rPr>
              <w:t>2</w:t>
            </w:r>
            <w:r>
              <w:rPr>
                <w:rFonts w:cs="Times New Roman"/>
                <w:bCs/>
                <w:color w:val="auto"/>
                <w:sz w:val="21"/>
                <w:szCs w:val="21"/>
              </w:rPr>
              <w:t>；</w:t>
            </w:r>
          </w:p>
          <w:p w14:paraId="56FFEBA2">
            <w:pPr>
              <w:spacing w:line="360" w:lineRule="auto"/>
              <w:ind w:firstLine="1200" w:firstLineChars="500"/>
              <w:rPr>
                <w:rFonts w:cs="Times New Roman"/>
                <w:color w:val="auto"/>
                <w:sz w:val="24"/>
                <w:szCs w:val="24"/>
              </w:rPr>
            </w:pPr>
            <w:r>
              <w:rPr>
                <w:rFonts w:cs="Times New Roman"/>
                <w:i/>
                <w:color w:val="auto"/>
                <w:sz w:val="24"/>
                <w:szCs w:val="24"/>
              </w:rPr>
              <w:t>L</w:t>
            </w:r>
            <w:r>
              <w:rPr>
                <w:rFonts w:cs="Times New Roman"/>
                <w:color w:val="auto"/>
                <w:sz w:val="24"/>
                <w:szCs w:val="24"/>
              </w:rPr>
              <w:t>——道路长度，本项目取0.2km；</w:t>
            </w:r>
          </w:p>
          <w:p w14:paraId="259344DE">
            <w:pPr>
              <w:spacing w:line="360" w:lineRule="auto"/>
              <w:ind w:firstLine="480" w:firstLineChars="200"/>
              <w:rPr>
                <w:rFonts w:cs="Times New Roman"/>
                <w:color w:val="auto"/>
                <w:sz w:val="24"/>
                <w:szCs w:val="24"/>
              </w:rPr>
            </w:pPr>
            <w:r>
              <w:rPr>
                <w:rFonts w:cs="Times New Roman"/>
                <w:color w:val="auto"/>
                <w:sz w:val="24"/>
                <w:szCs w:val="24"/>
              </w:rPr>
              <w:t>根据业主提供的资料，项目运输频次约15车次/d，厂区道路长度约200m，则运输扬尘产生量为0.119t/a，0.050kg/h</w:t>
            </w:r>
            <w:r>
              <w:rPr>
                <w:rFonts w:cs="Times New Roman"/>
                <w:bCs/>
                <w:color w:val="auto"/>
                <w:sz w:val="24"/>
              </w:rPr>
              <w:t>（按工作时间300d/a，8h/d计）</w:t>
            </w:r>
            <w:r>
              <w:rPr>
                <w:rFonts w:cs="Times New Roman"/>
                <w:color w:val="auto"/>
                <w:sz w:val="24"/>
                <w:szCs w:val="24"/>
              </w:rPr>
              <w:t>。</w:t>
            </w:r>
          </w:p>
          <w:p w14:paraId="4AF38479">
            <w:pPr>
              <w:spacing w:line="360" w:lineRule="auto"/>
              <w:ind w:firstLine="482" w:firstLineChars="200"/>
              <w:rPr>
                <w:rFonts w:cs="Times New Roman"/>
                <w:b/>
                <w:bCs/>
                <w:color w:val="auto"/>
                <w:sz w:val="24"/>
                <w:szCs w:val="24"/>
              </w:rPr>
            </w:pPr>
            <w:r>
              <w:rPr>
                <w:rFonts w:hint="eastAsia" w:ascii="宋体" w:hAnsi="宋体" w:cs="宋体"/>
                <w:b/>
                <w:bCs/>
                <w:color w:val="auto"/>
                <w:sz w:val="24"/>
                <w:szCs w:val="24"/>
              </w:rPr>
              <w:t>④</w:t>
            </w:r>
            <w:r>
              <w:rPr>
                <w:rFonts w:cs="Times New Roman"/>
                <w:b/>
                <w:bCs/>
                <w:color w:val="auto"/>
                <w:sz w:val="24"/>
                <w:szCs w:val="24"/>
              </w:rPr>
              <w:t>食堂油烟</w:t>
            </w:r>
          </w:p>
          <w:p w14:paraId="09E2A00C">
            <w:pPr>
              <w:spacing w:line="360" w:lineRule="auto"/>
              <w:ind w:firstLine="480" w:firstLineChars="200"/>
              <w:rPr>
                <w:rFonts w:cs="Times New Roman"/>
                <w:color w:val="auto"/>
                <w:sz w:val="24"/>
                <w:szCs w:val="24"/>
              </w:rPr>
            </w:pPr>
            <w:r>
              <w:rPr>
                <w:rFonts w:cs="Times New Roman"/>
                <w:bCs/>
                <w:color w:val="auto"/>
                <w:sz w:val="24"/>
                <w:szCs w:val="24"/>
              </w:rPr>
              <w:t>项目提供员工食堂供工作人员就餐，项目食堂就餐人数为</w:t>
            </w:r>
            <w:r>
              <w:rPr>
                <w:rFonts w:hint="eastAsia" w:cs="Times New Roman"/>
                <w:bCs/>
                <w:color w:val="auto"/>
                <w:sz w:val="24"/>
                <w:szCs w:val="24"/>
                <w:lang w:val="en-US" w:eastAsia="zh-CN"/>
              </w:rPr>
              <w:t>15</w:t>
            </w:r>
            <w:r>
              <w:rPr>
                <w:rFonts w:cs="Times New Roman"/>
                <w:bCs/>
                <w:color w:val="auto"/>
                <w:sz w:val="24"/>
                <w:szCs w:val="24"/>
              </w:rPr>
              <w:t>人，食物在烹饪、加工过程中将挥发出油脂、有机质及热分解或裂解产物，从而产生油烟废气。油烟废气成分复杂，包括有醛、酮、烃、脂肪酸、醇、芳香化合物、脂、</w:t>
            </w:r>
            <w:r>
              <w:rPr>
                <w:rFonts w:hint="eastAsia" w:cs="Times New Roman"/>
                <w:bCs/>
                <w:color w:val="auto"/>
                <w:sz w:val="24"/>
                <w:szCs w:val="24"/>
                <w:lang w:eastAsia="zh-CN"/>
              </w:rPr>
              <w:t>内脂</w:t>
            </w:r>
            <w:r>
              <w:rPr>
                <w:rFonts w:cs="Times New Roman"/>
                <w:bCs/>
                <w:color w:val="auto"/>
                <w:sz w:val="24"/>
                <w:szCs w:val="24"/>
              </w:rPr>
              <w:t>和杂环化合物等300多种化学物质，对人体危害较大。人均食用油日用量约30g/人·d，一般油烟挥发量占总耗油量的2%</w:t>
            </w:r>
            <w:r>
              <w:rPr>
                <w:rFonts w:hint="eastAsia" w:cs="Times New Roman"/>
                <w:bCs/>
                <w:color w:val="auto"/>
                <w:sz w:val="24"/>
                <w:szCs w:val="24"/>
                <w:lang w:eastAsia="zh-CN"/>
              </w:rPr>
              <w:t>～</w:t>
            </w:r>
            <w:r>
              <w:rPr>
                <w:rFonts w:cs="Times New Roman"/>
                <w:bCs/>
                <w:color w:val="auto"/>
                <w:sz w:val="24"/>
                <w:szCs w:val="24"/>
              </w:rPr>
              <w:t>4%，平均为2.83%，则本项目食堂油烟产生量为0.0</w:t>
            </w:r>
            <w:r>
              <w:rPr>
                <w:rFonts w:hint="eastAsia" w:cs="Times New Roman"/>
                <w:bCs/>
                <w:color w:val="auto"/>
                <w:sz w:val="24"/>
                <w:szCs w:val="24"/>
                <w:lang w:val="en-US" w:eastAsia="zh-CN"/>
              </w:rPr>
              <w:t>13</w:t>
            </w:r>
            <w:r>
              <w:rPr>
                <w:rFonts w:cs="Times New Roman"/>
                <w:bCs/>
                <w:color w:val="auto"/>
                <w:sz w:val="24"/>
                <w:szCs w:val="24"/>
              </w:rPr>
              <w:t>kg/d，0.00</w:t>
            </w:r>
            <w:r>
              <w:rPr>
                <w:rFonts w:hint="eastAsia" w:cs="Times New Roman"/>
                <w:bCs/>
                <w:color w:val="auto"/>
                <w:sz w:val="24"/>
                <w:szCs w:val="24"/>
                <w:lang w:val="en-US" w:eastAsia="zh-CN"/>
              </w:rPr>
              <w:t>39</w:t>
            </w:r>
            <w:r>
              <w:rPr>
                <w:rFonts w:cs="Times New Roman"/>
                <w:bCs/>
                <w:color w:val="auto"/>
                <w:sz w:val="24"/>
                <w:szCs w:val="24"/>
              </w:rPr>
              <w:t>t/a。（以300d计）</w:t>
            </w:r>
          </w:p>
          <w:p w14:paraId="7F0C1A48">
            <w:pPr>
              <w:spacing w:line="360" w:lineRule="auto"/>
              <w:ind w:firstLine="480" w:firstLineChars="200"/>
              <w:rPr>
                <w:rFonts w:cs="Times New Roman"/>
                <w:color w:val="auto"/>
                <w:sz w:val="24"/>
                <w:szCs w:val="24"/>
              </w:rPr>
            </w:pPr>
            <w:r>
              <w:rPr>
                <w:rFonts w:cs="Times New Roman"/>
                <w:color w:val="auto"/>
                <w:sz w:val="24"/>
                <w:szCs w:val="24"/>
              </w:rPr>
              <w:t>综上所述，项目废气产排污环节、污染物种类及产生量见下表：</w:t>
            </w:r>
          </w:p>
          <w:p w14:paraId="6AB88878">
            <w:pPr>
              <w:spacing w:line="360" w:lineRule="auto"/>
              <w:jc w:val="center"/>
              <w:rPr>
                <w:rFonts w:cs="Times New Roman"/>
                <w:b/>
                <w:color w:val="auto"/>
                <w:sz w:val="24"/>
                <w:szCs w:val="24"/>
              </w:rPr>
            </w:pPr>
            <w:r>
              <w:rPr>
                <w:rFonts w:cs="Times New Roman"/>
                <w:b/>
                <w:color w:val="auto"/>
                <w:sz w:val="24"/>
                <w:szCs w:val="24"/>
              </w:rPr>
              <w:t>表4-3  废气产排污环节、污染物种类及产生量表</w:t>
            </w:r>
          </w:p>
          <w:tbl>
            <w:tblPr>
              <w:tblStyle w:val="25"/>
              <w:tblW w:w="8438" w:type="dxa"/>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80"/>
              <w:gridCol w:w="1140"/>
              <w:gridCol w:w="1766"/>
              <w:gridCol w:w="1214"/>
              <w:gridCol w:w="1082"/>
              <w:gridCol w:w="1131"/>
              <w:gridCol w:w="1225"/>
            </w:tblGrid>
            <w:tr w14:paraId="30A2820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3" w:hRule="atLeast"/>
              </w:trPr>
              <w:tc>
                <w:tcPr>
                  <w:tcW w:w="521" w:type="pct"/>
                  <w:vMerge w:val="restart"/>
                  <w:tcBorders>
                    <w:tl2br w:val="nil"/>
                    <w:tr2bl w:val="nil"/>
                  </w:tcBorders>
                  <w:vAlign w:val="center"/>
                </w:tcPr>
                <w:p w14:paraId="452EBB2E">
                  <w:pPr>
                    <w:jc w:val="center"/>
                    <w:rPr>
                      <w:rFonts w:cs="Times New Roman"/>
                      <w:b/>
                      <w:bCs/>
                      <w:color w:val="auto"/>
                      <w:szCs w:val="21"/>
                    </w:rPr>
                  </w:pPr>
                  <w:r>
                    <w:rPr>
                      <w:rFonts w:cs="Times New Roman"/>
                      <w:b/>
                      <w:bCs/>
                      <w:color w:val="auto"/>
                      <w:szCs w:val="21"/>
                    </w:rPr>
                    <w:t>生产单元</w:t>
                  </w:r>
                </w:p>
              </w:tc>
              <w:tc>
                <w:tcPr>
                  <w:tcW w:w="675" w:type="pct"/>
                  <w:vMerge w:val="restart"/>
                  <w:tcBorders>
                    <w:tl2br w:val="nil"/>
                    <w:tr2bl w:val="nil"/>
                  </w:tcBorders>
                  <w:vAlign w:val="center"/>
                </w:tcPr>
                <w:p w14:paraId="2B3EF021">
                  <w:pPr>
                    <w:jc w:val="center"/>
                    <w:rPr>
                      <w:rFonts w:cs="Times New Roman"/>
                      <w:b/>
                      <w:bCs/>
                      <w:color w:val="auto"/>
                      <w:szCs w:val="21"/>
                    </w:rPr>
                  </w:pPr>
                  <w:r>
                    <w:rPr>
                      <w:rFonts w:cs="Times New Roman"/>
                      <w:b/>
                      <w:bCs/>
                      <w:color w:val="auto"/>
                      <w:szCs w:val="21"/>
                    </w:rPr>
                    <w:t>主要生产工艺</w:t>
                  </w:r>
                </w:p>
              </w:tc>
              <w:tc>
                <w:tcPr>
                  <w:tcW w:w="1046" w:type="pct"/>
                  <w:vMerge w:val="restart"/>
                  <w:tcBorders>
                    <w:tl2br w:val="nil"/>
                    <w:tr2bl w:val="nil"/>
                  </w:tcBorders>
                  <w:vAlign w:val="center"/>
                </w:tcPr>
                <w:p w14:paraId="473188AA">
                  <w:pPr>
                    <w:jc w:val="center"/>
                    <w:rPr>
                      <w:rFonts w:cs="Times New Roman"/>
                      <w:b/>
                      <w:bCs/>
                      <w:color w:val="auto"/>
                      <w:szCs w:val="21"/>
                    </w:rPr>
                  </w:pPr>
                  <w:r>
                    <w:rPr>
                      <w:rFonts w:cs="Times New Roman"/>
                      <w:b/>
                      <w:bCs/>
                      <w:color w:val="auto"/>
                      <w:szCs w:val="21"/>
                    </w:rPr>
                    <w:t>废气产污环节</w:t>
                  </w:r>
                </w:p>
              </w:tc>
              <w:tc>
                <w:tcPr>
                  <w:tcW w:w="719" w:type="pct"/>
                  <w:vMerge w:val="restart"/>
                  <w:tcBorders>
                    <w:tl2br w:val="nil"/>
                    <w:tr2bl w:val="nil"/>
                  </w:tcBorders>
                  <w:vAlign w:val="center"/>
                </w:tcPr>
                <w:p w14:paraId="6EE1B8FD">
                  <w:pPr>
                    <w:jc w:val="center"/>
                    <w:rPr>
                      <w:rFonts w:cs="Times New Roman"/>
                      <w:b/>
                      <w:bCs/>
                      <w:color w:val="auto"/>
                      <w:szCs w:val="21"/>
                    </w:rPr>
                  </w:pPr>
                  <w:r>
                    <w:rPr>
                      <w:rFonts w:cs="Times New Roman"/>
                      <w:b/>
                      <w:bCs/>
                      <w:color w:val="auto"/>
                      <w:szCs w:val="21"/>
                    </w:rPr>
                    <w:t>废气类别</w:t>
                  </w:r>
                </w:p>
              </w:tc>
              <w:tc>
                <w:tcPr>
                  <w:tcW w:w="641" w:type="pct"/>
                  <w:vMerge w:val="restart"/>
                  <w:tcBorders>
                    <w:tl2br w:val="nil"/>
                    <w:tr2bl w:val="nil"/>
                  </w:tcBorders>
                  <w:vAlign w:val="center"/>
                </w:tcPr>
                <w:p w14:paraId="004F3890">
                  <w:pPr>
                    <w:jc w:val="center"/>
                    <w:rPr>
                      <w:rFonts w:cs="Times New Roman"/>
                      <w:b/>
                      <w:bCs/>
                      <w:color w:val="auto"/>
                      <w:szCs w:val="21"/>
                    </w:rPr>
                  </w:pPr>
                  <w:r>
                    <w:rPr>
                      <w:rFonts w:cs="Times New Roman"/>
                      <w:b/>
                      <w:bCs/>
                      <w:color w:val="auto"/>
                      <w:szCs w:val="21"/>
                    </w:rPr>
                    <w:t>污染物种类</w:t>
                  </w:r>
                </w:p>
              </w:tc>
              <w:tc>
                <w:tcPr>
                  <w:tcW w:w="1396" w:type="pct"/>
                  <w:gridSpan w:val="2"/>
                  <w:tcBorders>
                    <w:tl2br w:val="nil"/>
                    <w:tr2bl w:val="nil"/>
                  </w:tcBorders>
                  <w:vAlign w:val="center"/>
                </w:tcPr>
                <w:p w14:paraId="49577FDC">
                  <w:pPr>
                    <w:jc w:val="center"/>
                    <w:rPr>
                      <w:rFonts w:cs="Times New Roman"/>
                      <w:b/>
                      <w:bCs/>
                      <w:color w:val="auto"/>
                      <w:szCs w:val="21"/>
                    </w:rPr>
                  </w:pPr>
                  <w:r>
                    <w:rPr>
                      <w:rFonts w:cs="Times New Roman"/>
                      <w:b/>
                      <w:bCs/>
                      <w:color w:val="auto"/>
                      <w:szCs w:val="21"/>
                    </w:rPr>
                    <w:t>产生量</w:t>
                  </w:r>
                </w:p>
              </w:tc>
            </w:tr>
            <w:tr w14:paraId="39B228F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2" w:hRule="atLeast"/>
              </w:trPr>
              <w:tc>
                <w:tcPr>
                  <w:tcW w:w="521" w:type="pct"/>
                  <w:vMerge w:val="continue"/>
                  <w:tcBorders>
                    <w:tl2br w:val="nil"/>
                    <w:tr2bl w:val="nil"/>
                  </w:tcBorders>
                  <w:vAlign w:val="center"/>
                </w:tcPr>
                <w:p w14:paraId="24D59236">
                  <w:pPr>
                    <w:jc w:val="center"/>
                    <w:rPr>
                      <w:rFonts w:cs="Times New Roman"/>
                      <w:b/>
                      <w:bCs/>
                      <w:color w:val="auto"/>
                      <w:szCs w:val="21"/>
                    </w:rPr>
                  </w:pPr>
                </w:p>
              </w:tc>
              <w:tc>
                <w:tcPr>
                  <w:tcW w:w="675" w:type="pct"/>
                  <w:vMerge w:val="continue"/>
                  <w:tcBorders>
                    <w:tl2br w:val="nil"/>
                    <w:tr2bl w:val="nil"/>
                  </w:tcBorders>
                  <w:vAlign w:val="center"/>
                </w:tcPr>
                <w:p w14:paraId="5D79D736">
                  <w:pPr>
                    <w:jc w:val="center"/>
                    <w:rPr>
                      <w:rFonts w:cs="Times New Roman"/>
                      <w:b/>
                      <w:bCs/>
                      <w:color w:val="auto"/>
                      <w:szCs w:val="21"/>
                    </w:rPr>
                  </w:pPr>
                </w:p>
              </w:tc>
              <w:tc>
                <w:tcPr>
                  <w:tcW w:w="1046" w:type="pct"/>
                  <w:vMerge w:val="continue"/>
                  <w:tcBorders>
                    <w:tl2br w:val="nil"/>
                    <w:tr2bl w:val="nil"/>
                  </w:tcBorders>
                  <w:vAlign w:val="center"/>
                </w:tcPr>
                <w:p w14:paraId="297513D4">
                  <w:pPr>
                    <w:jc w:val="center"/>
                    <w:rPr>
                      <w:rFonts w:cs="Times New Roman"/>
                      <w:b/>
                      <w:bCs/>
                      <w:color w:val="auto"/>
                      <w:szCs w:val="21"/>
                    </w:rPr>
                  </w:pPr>
                </w:p>
              </w:tc>
              <w:tc>
                <w:tcPr>
                  <w:tcW w:w="719" w:type="pct"/>
                  <w:vMerge w:val="continue"/>
                  <w:tcBorders>
                    <w:tl2br w:val="nil"/>
                    <w:tr2bl w:val="nil"/>
                  </w:tcBorders>
                  <w:vAlign w:val="center"/>
                </w:tcPr>
                <w:p w14:paraId="374C0EC6">
                  <w:pPr>
                    <w:jc w:val="center"/>
                    <w:rPr>
                      <w:rFonts w:cs="Times New Roman"/>
                      <w:b/>
                      <w:bCs/>
                      <w:color w:val="auto"/>
                      <w:szCs w:val="21"/>
                    </w:rPr>
                  </w:pPr>
                </w:p>
              </w:tc>
              <w:tc>
                <w:tcPr>
                  <w:tcW w:w="641" w:type="pct"/>
                  <w:vMerge w:val="continue"/>
                  <w:tcBorders>
                    <w:tl2br w:val="nil"/>
                    <w:tr2bl w:val="nil"/>
                  </w:tcBorders>
                  <w:vAlign w:val="center"/>
                </w:tcPr>
                <w:p w14:paraId="25428FB0">
                  <w:pPr>
                    <w:jc w:val="center"/>
                    <w:rPr>
                      <w:rFonts w:cs="Times New Roman"/>
                      <w:b/>
                      <w:bCs/>
                      <w:color w:val="auto"/>
                      <w:szCs w:val="21"/>
                    </w:rPr>
                  </w:pPr>
                </w:p>
              </w:tc>
              <w:tc>
                <w:tcPr>
                  <w:tcW w:w="670" w:type="pct"/>
                  <w:tcBorders>
                    <w:tl2br w:val="nil"/>
                    <w:tr2bl w:val="nil"/>
                  </w:tcBorders>
                  <w:vAlign w:val="center"/>
                </w:tcPr>
                <w:p w14:paraId="4F06F203">
                  <w:pPr>
                    <w:jc w:val="center"/>
                    <w:rPr>
                      <w:rFonts w:cs="Times New Roman"/>
                      <w:b/>
                      <w:bCs/>
                      <w:color w:val="auto"/>
                      <w:szCs w:val="21"/>
                    </w:rPr>
                  </w:pPr>
                  <w:r>
                    <w:rPr>
                      <w:rFonts w:cs="Times New Roman"/>
                      <w:b/>
                      <w:bCs/>
                      <w:color w:val="auto"/>
                      <w:szCs w:val="21"/>
                    </w:rPr>
                    <w:t>t/a</w:t>
                  </w:r>
                </w:p>
              </w:tc>
              <w:tc>
                <w:tcPr>
                  <w:tcW w:w="725" w:type="pct"/>
                  <w:tcBorders>
                    <w:tl2br w:val="nil"/>
                    <w:tr2bl w:val="nil"/>
                  </w:tcBorders>
                  <w:vAlign w:val="center"/>
                </w:tcPr>
                <w:p w14:paraId="2E28332C">
                  <w:pPr>
                    <w:jc w:val="center"/>
                    <w:rPr>
                      <w:rFonts w:cs="Times New Roman"/>
                      <w:b/>
                      <w:bCs/>
                      <w:color w:val="auto"/>
                      <w:szCs w:val="21"/>
                    </w:rPr>
                  </w:pPr>
                  <w:r>
                    <w:rPr>
                      <w:rFonts w:cs="Times New Roman"/>
                      <w:b/>
                      <w:bCs/>
                      <w:color w:val="auto"/>
                      <w:szCs w:val="21"/>
                    </w:rPr>
                    <w:t>kg/h</w:t>
                  </w:r>
                </w:p>
              </w:tc>
            </w:tr>
            <w:tr w14:paraId="3BC7B83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55" w:hRule="atLeast"/>
              </w:trPr>
              <w:tc>
                <w:tcPr>
                  <w:tcW w:w="521" w:type="pct"/>
                  <w:vMerge w:val="restart"/>
                  <w:tcBorders>
                    <w:tl2br w:val="nil"/>
                    <w:tr2bl w:val="nil"/>
                  </w:tcBorders>
                  <w:vAlign w:val="center"/>
                </w:tcPr>
                <w:p w14:paraId="33DE83AF">
                  <w:pPr>
                    <w:jc w:val="center"/>
                    <w:rPr>
                      <w:rFonts w:cs="Times New Roman"/>
                      <w:color w:val="auto"/>
                      <w:szCs w:val="21"/>
                    </w:rPr>
                  </w:pPr>
                  <w:r>
                    <w:rPr>
                      <w:rFonts w:cs="Times New Roman"/>
                      <w:color w:val="auto"/>
                      <w:szCs w:val="21"/>
                    </w:rPr>
                    <w:t>本项目</w:t>
                  </w:r>
                </w:p>
              </w:tc>
              <w:tc>
                <w:tcPr>
                  <w:tcW w:w="675" w:type="pct"/>
                  <w:tcBorders>
                    <w:tl2br w:val="nil"/>
                    <w:tr2bl w:val="nil"/>
                  </w:tcBorders>
                  <w:vAlign w:val="center"/>
                </w:tcPr>
                <w:p w14:paraId="084AFE63">
                  <w:pPr>
                    <w:jc w:val="center"/>
                    <w:rPr>
                      <w:rFonts w:cs="Times New Roman"/>
                      <w:color w:val="auto"/>
                      <w:szCs w:val="21"/>
                    </w:rPr>
                  </w:pPr>
                  <w:r>
                    <w:rPr>
                      <w:rFonts w:cs="Times New Roman"/>
                      <w:color w:val="auto"/>
                      <w:szCs w:val="21"/>
                    </w:rPr>
                    <w:t>石材加工粉尘</w:t>
                  </w:r>
                </w:p>
              </w:tc>
              <w:tc>
                <w:tcPr>
                  <w:tcW w:w="1046" w:type="pct"/>
                  <w:tcBorders>
                    <w:tl2br w:val="nil"/>
                    <w:tr2bl w:val="nil"/>
                  </w:tcBorders>
                  <w:vAlign w:val="center"/>
                </w:tcPr>
                <w:p w14:paraId="60B96101">
                  <w:pPr>
                    <w:jc w:val="center"/>
                    <w:rPr>
                      <w:rFonts w:cs="Times New Roman"/>
                      <w:color w:val="auto"/>
                      <w:szCs w:val="21"/>
                    </w:rPr>
                  </w:pPr>
                  <w:r>
                    <w:rPr>
                      <w:rFonts w:cs="Times New Roman"/>
                      <w:color w:val="auto"/>
                      <w:szCs w:val="21"/>
                    </w:rPr>
                    <w:t>切割、雕刻、抛磨等工序</w:t>
                  </w:r>
                </w:p>
              </w:tc>
              <w:tc>
                <w:tcPr>
                  <w:tcW w:w="719" w:type="pct"/>
                  <w:tcBorders>
                    <w:tl2br w:val="nil"/>
                    <w:tr2bl w:val="nil"/>
                  </w:tcBorders>
                  <w:vAlign w:val="center"/>
                </w:tcPr>
                <w:p w14:paraId="1F8138EF">
                  <w:pPr>
                    <w:jc w:val="center"/>
                    <w:rPr>
                      <w:rFonts w:cs="Times New Roman"/>
                      <w:color w:val="auto"/>
                      <w:szCs w:val="21"/>
                    </w:rPr>
                  </w:pPr>
                  <w:r>
                    <w:rPr>
                      <w:rFonts w:cs="Times New Roman"/>
                      <w:color w:val="auto"/>
                      <w:szCs w:val="21"/>
                    </w:rPr>
                    <w:t>生产扬尘</w:t>
                  </w:r>
                </w:p>
              </w:tc>
              <w:tc>
                <w:tcPr>
                  <w:tcW w:w="641" w:type="pct"/>
                  <w:tcBorders>
                    <w:tl2br w:val="nil"/>
                    <w:tr2bl w:val="nil"/>
                  </w:tcBorders>
                  <w:vAlign w:val="center"/>
                </w:tcPr>
                <w:p w14:paraId="1C1461F3">
                  <w:pPr>
                    <w:jc w:val="center"/>
                    <w:rPr>
                      <w:rFonts w:cs="Times New Roman"/>
                      <w:color w:val="auto"/>
                      <w:szCs w:val="21"/>
                    </w:rPr>
                  </w:pPr>
                  <w:r>
                    <w:rPr>
                      <w:rFonts w:cs="Times New Roman"/>
                      <w:color w:val="auto"/>
                      <w:szCs w:val="21"/>
                    </w:rPr>
                    <w:t>颗粒物</w:t>
                  </w:r>
                </w:p>
              </w:tc>
              <w:tc>
                <w:tcPr>
                  <w:tcW w:w="670" w:type="pct"/>
                  <w:tcBorders>
                    <w:tl2br w:val="nil"/>
                    <w:tr2bl w:val="nil"/>
                  </w:tcBorders>
                  <w:vAlign w:val="center"/>
                </w:tcPr>
                <w:p w14:paraId="54126621">
                  <w:pPr>
                    <w:jc w:val="center"/>
                    <w:rPr>
                      <w:rFonts w:hint="default" w:eastAsia="宋体" w:cs="Times New Roman"/>
                      <w:color w:val="auto"/>
                      <w:szCs w:val="21"/>
                      <w:lang w:val="en-US" w:eastAsia="zh-CN"/>
                    </w:rPr>
                  </w:pPr>
                  <w:r>
                    <w:rPr>
                      <w:rFonts w:hint="eastAsia" w:cs="Times New Roman"/>
                      <w:color w:val="auto"/>
                      <w:szCs w:val="21"/>
                      <w:lang w:val="en-US" w:eastAsia="zh-CN"/>
                    </w:rPr>
                    <w:t>20.800</w:t>
                  </w:r>
                </w:p>
              </w:tc>
              <w:tc>
                <w:tcPr>
                  <w:tcW w:w="725" w:type="pct"/>
                  <w:tcBorders>
                    <w:tl2br w:val="nil"/>
                    <w:tr2bl w:val="nil"/>
                  </w:tcBorders>
                  <w:vAlign w:val="center"/>
                </w:tcPr>
                <w:p w14:paraId="064EE237">
                  <w:pPr>
                    <w:jc w:val="center"/>
                    <w:rPr>
                      <w:rFonts w:hint="default" w:eastAsia="宋体" w:cs="Times New Roman"/>
                      <w:color w:val="auto"/>
                      <w:szCs w:val="21"/>
                      <w:lang w:val="en-US" w:eastAsia="zh-CN"/>
                    </w:rPr>
                  </w:pPr>
                  <w:r>
                    <w:rPr>
                      <w:rFonts w:hint="eastAsia" w:cs="Times New Roman"/>
                      <w:color w:val="auto"/>
                      <w:szCs w:val="21"/>
                      <w:lang w:val="en-US" w:eastAsia="zh-CN"/>
                    </w:rPr>
                    <w:t>8.667</w:t>
                  </w:r>
                </w:p>
              </w:tc>
            </w:tr>
            <w:tr w14:paraId="7443A54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55" w:hRule="atLeast"/>
              </w:trPr>
              <w:tc>
                <w:tcPr>
                  <w:tcW w:w="521" w:type="pct"/>
                  <w:vMerge w:val="continue"/>
                  <w:tcBorders>
                    <w:tl2br w:val="nil"/>
                    <w:tr2bl w:val="nil"/>
                  </w:tcBorders>
                  <w:vAlign w:val="center"/>
                </w:tcPr>
                <w:p w14:paraId="39BE147B">
                  <w:pPr>
                    <w:jc w:val="center"/>
                    <w:rPr>
                      <w:rFonts w:cs="Times New Roman"/>
                      <w:color w:val="auto"/>
                      <w:szCs w:val="21"/>
                    </w:rPr>
                  </w:pPr>
                </w:p>
              </w:tc>
              <w:tc>
                <w:tcPr>
                  <w:tcW w:w="675" w:type="pct"/>
                  <w:tcBorders>
                    <w:tl2br w:val="nil"/>
                    <w:tr2bl w:val="nil"/>
                  </w:tcBorders>
                  <w:vAlign w:val="center"/>
                </w:tcPr>
                <w:p w14:paraId="4435BF09">
                  <w:pPr>
                    <w:jc w:val="center"/>
                    <w:rPr>
                      <w:rFonts w:cs="Times New Roman"/>
                      <w:color w:val="auto"/>
                      <w:szCs w:val="21"/>
                    </w:rPr>
                  </w:pPr>
                  <w:r>
                    <w:rPr>
                      <w:rFonts w:cs="Times New Roman"/>
                      <w:color w:val="auto"/>
                      <w:szCs w:val="21"/>
                    </w:rPr>
                    <w:t>石材喷砂粉尘</w:t>
                  </w:r>
                </w:p>
              </w:tc>
              <w:tc>
                <w:tcPr>
                  <w:tcW w:w="1046" w:type="pct"/>
                  <w:tcBorders>
                    <w:tl2br w:val="nil"/>
                    <w:tr2bl w:val="nil"/>
                  </w:tcBorders>
                  <w:vAlign w:val="center"/>
                </w:tcPr>
                <w:p w14:paraId="26243C66">
                  <w:pPr>
                    <w:jc w:val="center"/>
                    <w:rPr>
                      <w:rFonts w:cs="Times New Roman"/>
                      <w:color w:val="auto"/>
                      <w:szCs w:val="21"/>
                    </w:rPr>
                  </w:pPr>
                  <w:r>
                    <w:rPr>
                      <w:rFonts w:hint="eastAsia" w:cs="Times New Roman"/>
                      <w:color w:val="auto"/>
                      <w:szCs w:val="21"/>
                    </w:rPr>
                    <w:t>喷砂工序</w:t>
                  </w:r>
                </w:p>
              </w:tc>
              <w:tc>
                <w:tcPr>
                  <w:tcW w:w="719" w:type="pct"/>
                  <w:tcBorders>
                    <w:tl2br w:val="nil"/>
                    <w:tr2bl w:val="nil"/>
                  </w:tcBorders>
                  <w:vAlign w:val="center"/>
                </w:tcPr>
                <w:p w14:paraId="5CDA9CDC">
                  <w:pPr>
                    <w:jc w:val="center"/>
                    <w:rPr>
                      <w:rFonts w:cs="Times New Roman"/>
                      <w:color w:val="auto"/>
                      <w:szCs w:val="21"/>
                    </w:rPr>
                  </w:pPr>
                  <w:r>
                    <w:rPr>
                      <w:rFonts w:cs="Times New Roman"/>
                      <w:color w:val="auto"/>
                      <w:szCs w:val="21"/>
                    </w:rPr>
                    <w:t>生产扬尘</w:t>
                  </w:r>
                </w:p>
              </w:tc>
              <w:tc>
                <w:tcPr>
                  <w:tcW w:w="641" w:type="pct"/>
                  <w:tcBorders>
                    <w:tl2br w:val="nil"/>
                    <w:tr2bl w:val="nil"/>
                  </w:tcBorders>
                  <w:vAlign w:val="center"/>
                </w:tcPr>
                <w:p w14:paraId="412CAC9A">
                  <w:pPr>
                    <w:jc w:val="center"/>
                    <w:rPr>
                      <w:rFonts w:cs="Times New Roman"/>
                      <w:color w:val="auto"/>
                      <w:szCs w:val="21"/>
                    </w:rPr>
                  </w:pPr>
                  <w:r>
                    <w:rPr>
                      <w:rFonts w:cs="Times New Roman"/>
                      <w:color w:val="auto"/>
                      <w:szCs w:val="21"/>
                    </w:rPr>
                    <w:t>颗粒物</w:t>
                  </w:r>
                </w:p>
              </w:tc>
              <w:tc>
                <w:tcPr>
                  <w:tcW w:w="670" w:type="pct"/>
                  <w:tcBorders>
                    <w:tl2br w:val="nil"/>
                    <w:tr2bl w:val="nil"/>
                  </w:tcBorders>
                  <w:vAlign w:val="center"/>
                </w:tcPr>
                <w:p w14:paraId="28D81CEE">
                  <w:pPr>
                    <w:jc w:val="center"/>
                    <w:rPr>
                      <w:rFonts w:hint="eastAsia" w:eastAsia="宋体" w:cs="Times New Roman"/>
                      <w:color w:val="auto"/>
                      <w:szCs w:val="21"/>
                      <w:lang w:val="en-US" w:eastAsia="zh-CN"/>
                    </w:rPr>
                  </w:pPr>
                  <w:r>
                    <w:rPr>
                      <w:rFonts w:hint="eastAsia" w:cs="Times New Roman"/>
                      <w:color w:val="auto"/>
                      <w:szCs w:val="21"/>
                    </w:rPr>
                    <w:t>0.05</w:t>
                  </w:r>
                  <w:r>
                    <w:rPr>
                      <w:rFonts w:hint="eastAsia" w:cs="Times New Roman"/>
                      <w:color w:val="auto"/>
                      <w:szCs w:val="21"/>
                      <w:lang w:val="en-US" w:eastAsia="zh-CN"/>
                    </w:rPr>
                    <w:t>0</w:t>
                  </w:r>
                </w:p>
              </w:tc>
              <w:tc>
                <w:tcPr>
                  <w:tcW w:w="725" w:type="pct"/>
                  <w:tcBorders>
                    <w:tl2br w:val="nil"/>
                    <w:tr2bl w:val="nil"/>
                  </w:tcBorders>
                  <w:vAlign w:val="center"/>
                </w:tcPr>
                <w:p w14:paraId="71E8D9EE">
                  <w:pPr>
                    <w:jc w:val="center"/>
                    <w:rPr>
                      <w:rFonts w:hint="default" w:eastAsia="宋体" w:cs="Times New Roman"/>
                      <w:color w:val="auto"/>
                      <w:szCs w:val="21"/>
                      <w:lang w:val="en-US" w:eastAsia="zh-CN"/>
                    </w:rPr>
                  </w:pPr>
                  <w:r>
                    <w:rPr>
                      <w:rFonts w:hint="eastAsia" w:cs="Times New Roman"/>
                      <w:color w:val="auto"/>
                      <w:szCs w:val="21"/>
                    </w:rPr>
                    <w:t>0.</w:t>
                  </w:r>
                  <w:r>
                    <w:rPr>
                      <w:rFonts w:hint="eastAsia" w:cs="Times New Roman"/>
                      <w:color w:val="auto"/>
                      <w:szCs w:val="21"/>
                      <w:lang w:val="en-US" w:eastAsia="zh-CN"/>
                    </w:rPr>
                    <w:t>500</w:t>
                  </w:r>
                </w:p>
              </w:tc>
            </w:tr>
            <w:tr w14:paraId="5E460CA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2" w:hRule="atLeast"/>
              </w:trPr>
              <w:tc>
                <w:tcPr>
                  <w:tcW w:w="521" w:type="pct"/>
                  <w:vMerge w:val="continue"/>
                  <w:tcBorders>
                    <w:tl2br w:val="nil"/>
                    <w:tr2bl w:val="nil"/>
                  </w:tcBorders>
                  <w:vAlign w:val="center"/>
                </w:tcPr>
                <w:p w14:paraId="3F23A1E7">
                  <w:pPr>
                    <w:jc w:val="center"/>
                    <w:rPr>
                      <w:rFonts w:cs="Times New Roman"/>
                      <w:color w:val="auto"/>
                      <w:szCs w:val="21"/>
                    </w:rPr>
                  </w:pPr>
                </w:p>
              </w:tc>
              <w:tc>
                <w:tcPr>
                  <w:tcW w:w="675" w:type="pct"/>
                  <w:tcBorders>
                    <w:tl2br w:val="nil"/>
                    <w:tr2bl w:val="nil"/>
                  </w:tcBorders>
                  <w:vAlign w:val="center"/>
                </w:tcPr>
                <w:p w14:paraId="76412FB9">
                  <w:pPr>
                    <w:jc w:val="center"/>
                    <w:rPr>
                      <w:rFonts w:cs="Times New Roman"/>
                      <w:color w:val="auto"/>
                      <w:szCs w:val="21"/>
                    </w:rPr>
                  </w:pPr>
                  <w:r>
                    <w:rPr>
                      <w:rFonts w:cs="Times New Roman"/>
                      <w:color w:val="auto"/>
                      <w:szCs w:val="21"/>
                    </w:rPr>
                    <w:t>运输</w:t>
                  </w:r>
                </w:p>
              </w:tc>
              <w:tc>
                <w:tcPr>
                  <w:tcW w:w="1046" w:type="pct"/>
                  <w:tcBorders>
                    <w:tl2br w:val="nil"/>
                    <w:tr2bl w:val="nil"/>
                  </w:tcBorders>
                  <w:vAlign w:val="center"/>
                </w:tcPr>
                <w:p w14:paraId="419A432A">
                  <w:pPr>
                    <w:jc w:val="center"/>
                    <w:rPr>
                      <w:rFonts w:cs="Times New Roman"/>
                      <w:color w:val="auto"/>
                      <w:szCs w:val="21"/>
                    </w:rPr>
                  </w:pPr>
                  <w:r>
                    <w:rPr>
                      <w:rFonts w:cs="Times New Roman"/>
                      <w:color w:val="auto"/>
                      <w:szCs w:val="21"/>
                    </w:rPr>
                    <w:t>运输车辆</w:t>
                  </w:r>
                </w:p>
              </w:tc>
              <w:tc>
                <w:tcPr>
                  <w:tcW w:w="719" w:type="pct"/>
                  <w:tcBorders>
                    <w:tl2br w:val="nil"/>
                    <w:tr2bl w:val="nil"/>
                  </w:tcBorders>
                  <w:vAlign w:val="center"/>
                </w:tcPr>
                <w:p w14:paraId="3B830F3C">
                  <w:pPr>
                    <w:jc w:val="center"/>
                    <w:rPr>
                      <w:rFonts w:cs="Times New Roman"/>
                      <w:color w:val="auto"/>
                      <w:szCs w:val="21"/>
                    </w:rPr>
                  </w:pPr>
                  <w:r>
                    <w:rPr>
                      <w:rFonts w:cs="Times New Roman"/>
                      <w:color w:val="auto"/>
                      <w:szCs w:val="21"/>
                    </w:rPr>
                    <w:t>运输扬尘</w:t>
                  </w:r>
                </w:p>
              </w:tc>
              <w:tc>
                <w:tcPr>
                  <w:tcW w:w="641" w:type="pct"/>
                  <w:tcBorders>
                    <w:tl2br w:val="nil"/>
                    <w:tr2bl w:val="nil"/>
                  </w:tcBorders>
                  <w:vAlign w:val="center"/>
                </w:tcPr>
                <w:p w14:paraId="7C377AE9">
                  <w:pPr>
                    <w:jc w:val="center"/>
                    <w:rPr>
                      <w:rFonts w:cs="Times New Roman"/>
                      <w:color w:val="auto"/>
                      <w:szCs w:val="21"/>
                    </w:rPr>
                  </w:pPr>
                  <w:r>
                    <w:rPr>
                      <w:rFonts w:cs="Times New Roman"/>
                      <w:color w:val="auto"/>
                      <w:szCs w:val="21"/>
                    </w:rPr>
                    <w:t>颗粒物</w:t>
                  </w:r>
                </w:p>
              </w:tc>
              <w:tc>
                <w:tcPr>
                  <w:tcW w:w="670" w:type="pct"/>
                  <w:tcBorders>
                    <w:tl2br w:val="nil"/>
                    <w:tr2bl w:val="nil"/>
                  </w:tcBorders>
                  <w:vAlign w:val="center"/>
                </w:tcPr>
                <w:p w14:paraId="494A9F8A">
                  <w:pPr>
                    <w:jc w:val="center"/>
                    <w:rPr>
                      <w:rFonts w:cs="Times New Roman"/>
                      <w:color w:val="auto"/>
                      <w:szCs w:val="21"/>
                    </w:rPr>
                  </w:pPr>
                  <w:r>
                    <w:rPr>
                      <w:rFonts w:cs="Times New Roman"/>
                      <w:color w:val="auto"/>
                      <w:szCs w:val="21"/>
                    </w:rPr>
                    <w:t>0.119</w:t>
                  </w:r>
                </w:p>
              </w:tc>
              <w:tc>
                <w:tcPr>
                  <w:tcW w:w="725" w:type="pct"/>
                  <w:tcBorders>
                    <w:tl2br w:val="nil"/>
                    <w:tr2bl w:val="nil"/>
                  </w:tcBorders>
                  <w:vAlign w:val="center"/>
                </w:tcPr>
                <w:p w14:paraId="662D9CE5">
                  <w:pPr>
                    <w:jc w:val="center"/>
                    <w:rPr>
                      <w:rFonts w:cs="Times New Roman"/>
                      <w:color w:val="auto"/>
                      <w:szCs w:val="21"/>
                    </w:rPr>
                  </w:pPr>
                  <w:r>
                    <w:rPr>
                      <w:rFonts w:cs="Times New Roman"/>
                      <w:color w:val="auto"/>
                      <w:szCs w:val="21"/>
                    </w:rPr>
                    <w:t>0.050</w:t>
                  </w:r>
                </w:p>
              </w:tc>
            </w:tr>
            <w:tr w14:paraId="4F5A71D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521" w:type="pct"/>
                  <w:vMerge w:val="continue"/>
                  <w:tcBorders>
                    <w:tl2br w:val="nil"/>
                    <w:tr2bl w:val="nil"/>
                  </w:tcBorders>
                  <w:vAlign w:val="center"/>
                </w:tcPr>
                <w:p w14:paraId="29C5F70D">
                  <w:pPr>
                    <w:jc w:val="center"/>
                    <w:rPr>
                      <w:rFonts w:cs="Times New Roman"/>
                      <w:color w:val="auto"/>
                      <w:szCs w:val="21"/>
                    </w:rPr>
                  </w:pPr>
                </w:p>
              </w:tc>
              <w:tc>
                <w:tcPr>
                  <w:tcW w:w="675" w:type="pct"/>
                  <w:tcBorders>
                    <w:tl2br w:val="nil"/>
                    <w:tr2bl w:val="nil"/>
                  </w:tcBorders>
                  <w:vAlign w:val="center"/>
                </w:tcPr>
                <w:p w14:paraId="79D91CF0">
                  <w:pPr>
                    <w:jc w:val="center"/>
                    <w:rPr>
                      <w:rFonts w:cs="Times New Roman"/>
                      <w:color w:val="auto"/>
                      <w:szCs w:val="21"/>
                    </w:rPr>
                  </w:pPr>
                  <w:r>
                    <w:rPr>
                      <w:rFonts w:cs="Times New Roman"/>
                      <w:color w:val="auto"/>
                      <w:szCs w:val="21"/>
                    </w:rPr>
                    <w:t>食堂</w:t>
                  </w:r>
                </w:p>
              </w:tc>
              <w:tc>
                <w:tcPr>
                  <w:tcW w:w="1046" w:type="pct"/>
                  <w:tcBorders>
                    <w:tl2br w:val="nil"/>
                    <w:tr2bl w:val="nil"/>
                  </w:tcBorders>
                  <w:vAlign w:val="center"/>
                </w:tcPr>
                <w:p w14:paraId="690907F4">
                  <w:pPr>
                    <w:jc w:val="center"/>
                    <w:rPr>
                      <w:rFonts w:cs="Times New Roman"/>
                      <w:color w:val="auto"/>
                      <w:szCs w:val="21"/>
                    </w:rPr>
                  </w:pPr>
                  <w:r>
                    <w:rPr>
                      <w:rFonts w:cs="Times New Roman"/>
                      <w:color w:val="auto"/>
                      <w:szCs w:val="21"/>
                    </w:rPr>
                    <w:t>员工生活</w:t>
                  </w:r>
                </w:p>
              </w:tc>
              <w:tc>
                <w:tcPr>
                  <w:tcW w:w="719" w:type="pct"/>
                  <w:tcBorders>
                    <w:tl2br w:val="nil"/>
                    <w:tr2bl w:val="nil"/>
                  </w:tcBorders>
                  <w:vAlign w:val="center"/>
                </w:tcPr>
                <w:p w14:paraId="07AFBCC8">
                  <w:pPr>
                    <w:jc w:val="center"/>
                    <w:rPr>
                      <w:rFonts w:cs="Times New Roman"/>
                      <w:color w:val="auto"/>
                      <w:szCs w:val="21"/>
                    </w:rPr>
                  </w:pPr>
                  <w:r>
                    <w:rPr>
                      <w:rFonts w:cs="Times New Roman"/>
                      <w:color w:val="auto"/>
                      <w:szCs w:val="21"/>
                    </w:rPr>
                    <w:t>油烟</w:t>
                  </w:r>
                </w:p>
              </w:tc>
              <w:tc>
                <w:tcPr>
                  <w:tcW w:w="641" w:type="pct"/>
                  <w:tcBorders>
                    <w:tl2br w:val="nil"/>
                    <w:tr2bl w:val="nil"/>
                  </w:tcBorders>
                  <w:vAlign w:val="center"/>
                </w:tcPr>
                <w:p w14:paraId="769EA749">
                  <w:pPr>
                    <w:jc w:val="center"/>
                    <w:rPr>
                      <w:rFonts w:cs="Times New Roman"/>
                      <w:color w:val="auto"/>
                      <w:szCs w:val="21"/>
                    </w:rPr>
                  </w:pPr>
                  <w:r>
                    <w:rPr>
                      <w:rFonts w:cs="Times New Roman"/>
                      <w:color w:val="auto"/>
                      <w:szCs w:val="21"/>
                    </w:rPr>
                    <w:t>油烟</w:t>
                  </w:r>
                </w:p>
              </w:tc>
              <w:tc>
                <w:tcPr>
                  <w:tcW w:w="670" w:type="pct"/>
                  <w:tcBorders>
                    <w:tl2br w:val="nil"/>
                    <w:tr2bl w:val="nil"/>
                  </w:tcBorders>
                  <w:vAlign w:val="center"/>
                </w:tcPr>
                <w:p w14:paraId="0995CA8C">
                  <w:pPr>
                    <w:jc w:val="center"/>
                    <w:rPr>
                      <w:rFonts w:hint="default" w:eastAsia="宋体" w:cs="Times New Roman"/>
                      <w:color w:val="auto"/>
                      <w:szCs w:val="21"/>
                      <w:lang w:val="en-US" w:eastAsia="zh-CN"/>
                    </w:rPr>
                  </w:pPr>
                  <w:r>
                    <w:rPr>
                      <w:rFonts w:cs="Times New Roman"/>
                      <w:color w:val="auto"/>
                      <w:szCs w:val="21"/>
                    </w:rPr>
                    <w:t>0.0</w:t>
                  </w:r>
                  <w:r>
                    <w:rPr>
                      <w:rFonts w:hint="eastAsia" w:cs="Times New Roman"/>
                      <w:color w:val="auto"/>
                      <w:szCs w:val="21"/>
                      <w:lang w:val="en-US" w:eastAsia="zh-CN"/>
                    </w:rPr>
                    <w:t>13</w:t>
                  </w:r>
                </w:p>
              </w:tc>
              <w:tc>
                <w:tcPr>
                  <w:tcW w:w="725" w:type="pct"/>
                  <w:tcBorders>
                    <w:tl2br w:val="nil"/>
                    <w:tr2bl w:val="nil"/>
                  </w:tcBorders>
                  <w:vAlign w:val="center"/>
                </w:tcPr>
                <w:p w14:paraId="19A15B78">
                  <w:pPr>
                    <w:jc w:val="center"/>
                    <w:rPr>
                      <w:rFonts w:hint="eastAsia" w:eastAsia="宋体" w:cs="Times New Roman"/>
                      <w:color w:val="auto"/>
                      <w:szCs w:val="21"/>
                      <w:lang w:eastAsia="zh-CN"/>
                    </w:rPr>
                  </w:pPr>
                  <w:r>
                    <w:rPr>
                      <w:rFonts w:cs="Times New Roman"/>
                      <w:color w:val="auto"/>
                      <w:szCs w:val="21"/>
                    </w:rPr>
                    <w:t>0.00</w:t>
                  </w:r>
                  <w:r>
                    <w:rPr>
                      <w:rFonts w:hint="eastAsia" w:cs="Times New Roman"/>
                      <w:color w:val="auto"/>
                      <w:szCs w:val="21"/>
                      <w:lang w:val="en-US" w:eastAsia="zh-CN"/>
                    </w:rPr>
                    <w:t>4</w:t>
                  </w:r>
                </w:p>
              </w:tc>
            </w:tr>
          </w:tbl>
          <w:p w14:paraId="41367F4E">
            <w:pPr>
              <w:spacing w:line="360" w:lineRule="auto"/>
              <w:ind w:firstLine="482" w:firstLineChars="200"/>
              <w:rPr>
                <w:rFonts w:cs="Times New Roman"/>
                <w:b/>
                <w:color w:val="auto"/>
                <w:sz w:val="24"/>
                <w:szCs w:val="24"/>
              </w:rPr>
            </w:pPr>
            <w:r>
              <w:rPr>
                <w:rFonts w:cs="Times New Roman"/>
                <w:b/>
                <w:color w:val="auto"/>
                <w:sz w:val="24"/>
                <w:szCs w:val="24"/>
              </w:rPr>
              <w:t>（2）治理设施、排放形式、排放口基本信息</w:t>
            </w:r>
          </w:p>
          <w:p w14:paraId="5834F6BC">
            <w:pPr>
              <w:spacing w:line="336" w:lineRule="auto"/>
              <w:ind w:firstLine="482" w:firstLineChars="200"/>
              <w:rPr>
                <w:rFonts w:cs="Times New Roman"/>
                <w:bCs/>
                <w:color w:val="auto"/>
                <w:sz w:val="24"/>
                <w:szCs w:val="24"/>
              </w:rPr>
            </w:pPr>
            <w:r>
              <w:rPr>
                <w:rFonts w:cs="Times New Roman"/>
                <w:b/>
                <w:color w:val="auto"/>
                <w:sz w:val="24"/>
                <w:szCs w:val="24"/>
              </w:rPr>
              <w:t>①</w:t>
            </w:r>
            <w:r>
              <w:rPr>
                <w:rFonts w:cs="Times New Roman"/>
                <w:b/>
                <w:bCs/>
                <w:color w:val="auto"/>
                <w:sz w:val="24"/>
                <w:szCs w:val="24"/>
              </w:rPr>
              <w:t>石材加工粉尘</w:t>
            </w:r>
          </w:p>
          <w:p w14:paraId="726C4CBF">
            <w:pPr>
              <w:spacing w:line="336" w:lineRule="auto"/>
              <w:ind w:firstLine="480" w:firstLineChars="200"/>
              <w:rPr>
                <w:rFonts w:cs="Times New Roman"/>
                <w:color w:val="auto"/>
                <w:sz w:val="24"/>
                <w:szCs w:val="24"/>
              </w:rPr>
            </w:pPr>
            <w:r>
              <w:rPr>
                <w:rFonts w:hint="eastAsia" w:cs="Times New Roman"/>
                <w:bCs/>
                <w:color w:val="auto"/>
                <w:sz w:val="24"/>
                <w:szCs w:val="24"/>
                <w:highlight w:val="none"/>
                <w:lang w:val="en-US" w:eastAsia="zh-CN"/>
              </w:rPr>
              <w:t>本项目石材加工在生产车间内进行，生产车间采取钢结构封闭厂房，只留车辆出入口，各生产设备均布置于厂房内。切割、雕刻、抛磨等表面处理工序均采取设置自动喷水设施，</w:t>
            </w:r>
            <w:r>
              <w:rPr>
                <w:rFonts w:cs="Times New Roman"/>
                <w:color w:val="auto"/>
                <w:sz w:val="24"/>
                <w:szCs w:val="24"/>
              </w:rPr>
              <w:t>实现湿法</w:t>
            </w:r>
            <w:r>
              <w:rPr>
                <w:rFonts w:hint="eastAsia" w:cs="Times New Roman"/>
                <w:color w:val="auto"/>
                <w:sz w:val="24"/>
                <w:szCs w:val="24"/>
                <w:lang w:eastAsia="zh-CN"/>
              </w:rPr>
              <w:t>作业</w:t>
            </w:r>
            <w:r>
              <w:rPr>
                <w:rFonts w:hint="eastAsia" w:cs="Times New Roman"/>
                <w:bCs/>
                <w:color w:val="auto"/>
                <w:sz w:val="24"/>
                <w:szCs w:val="24"/>
                <w:highlight w:val="none"/>
                <w:lang w:val="en-US" w:eastAsia="zh-CN"/>
              </w:rPr>
              <w:t>加工时喷水，产生的粉尘最终被水带入三级沉淀池变为固体废物（砂及石粉），根据</w:t>
            </w:r>
            <w:r>
              <w:rPr>
                <w:rFonts w:cs="Times New Roman"/>
                <w:bCs/>
                <w:color w:val="auto"/>
                <w:sz w:val="24"/>
                <w:szCs w:val="24"/>
                <w:highlight w:val="none"/>
              </w:rPr>
              <w:t>《排放源统计调查产排污核算方法和系数手册》</w:t>
            </w:r>
            <w:r>
              <w:rPr>
                <w:rFonts w:hint="eastAsia" w:cs="Times New Roman"/>
                <w:bCs/>
                <w:color w:val="auto"/>
                <w:sz w:val="24"/>
                <w:szCs w:val="24"/>
                <w:highlight w:val="none"/>
              </w:rPr>
              <w:t>3032建筑用石加工行业</w:t>
            </w:r>
            <w:r>
              <w:rPr>
                <w:rFonts w:hint="eastAsia" w:cs="Times New Roman"/>
                <w:bCs/>
                <w:color w:val="auto"/>
                <w:sz w:val="24"/>
                <w:szCs w:val="24"/>
                <w:highlight w:val="none"/>
                <w:lang w:val="en-US" w:eastAsia="zh-CN"/>
              </w:rPr>
              <w:t>中</w:t>
            </w:r>
            <w:r>
              <w:rPr>
                <w:rFonts w:hint="eastAsia" w:cs="Times New Roman"/>
                <w:bCs/>
                <w:color w:val="auto"/>
                <w:sz w:val="24"/>
                <w:szCs w:val="24"/>
                <w:highlight w:val="none"/>
              </w:rPr>
              <w:t>异形石材产品（含墓碑石）</w:t>
            </w:r>
            <w:r>
              <w:rPr>
                <w:rFonts w:hint="eastAsia" w:cs="Times New Roman"/>
                <w:bCs/>
                <w:color w:val="auto"/>
                <w:sz w:val="24"/>
                <w:szCs w:val="24"/>
                <w:highlight w:val="none"/>
                <w:lang w:val="en-US" w:eastAsia="zh-CN"/>
              </w:rPr>
              <w:t>-湿法作业去除颗粒物效率为90%。故采取湿法作业措施后，石材加工粉尘</w:t>
            </w:r>
            <w:r>
              <w:rPr>
                <w:rFonts w:hint="eastAsia" w:cs="Times New Roman"/>
                <w:bCs/>
                <w:color w:val="auto"/>
                <w:sz w:val="24"/>
                <w:szCs w:val="24"/>
                <w:highlight w:val="none"/>
                <w:lang w:eastAsia="zh-CN"/>
              </w:rPr>
              <w:t>无组织排放量为</w:t>
            </w:r>
            <w:r>
              <w:rPr>
                <w:rFonts w:hint="eastAsia" w:cs="Times New Roman"/>
                <w:bCs/>
                <w:color w:val="auto"/>
                <w:sz w:val="24"/>
                <w:szCs w:val="24"/>
                <w:highlight w:val="none"/>
                <w:lang w:val="en-US" w:eastAsia="zh-CN"/>
              </w:rPr>
              <w:t>2.08</w:t>
            </w:r>
            <w:r>
              <w:rPr>
                <w:rFonts w:hint="eastAsia" w:cs="Times New Roman"/>
                <w:bCs/>
                <w:color w:val="auto"/>
                <w:sz w:val="24"/>
                <w:szCs w:val="24"/>
                <w:highlight w:val="none"/>
                <w:lang w:eastAsia="zh-CN"/>
              </w:rPr>
              <w:t>t/a，</w:t>
            </w:r>
            <w:r>
              <w:rPr>
                <w:rFonts w:hint="eastAsia" w:cs="Times New Roman"/>
                <w:bCs/>
                <w:color w:val="auto"/>
                <w:sz w:val="24"/>
                <w:szCs w:val="24"/>
                <w:highlight w:val="none"/>
                <w:lang w:val="en-US" w:eastAsia="zh-CN"/>
              </w:rPr>
              <w:t>0.867</w:t>
            </w:r>
            <w:r>
              <w:rPr>
                <w:rFonts w:hint="eastAsia" w:cs="Times New Roman"/>
                <w:bCs/>
                <w:color w:val="auto"/>
                <w:sz w:val="24"/>
                <w:szCs w:val="24"/>
                <w:highlight w:val="none"/>
                <w:lang w:eastAsia="zh-CN"/>
              </w:rPr>
              <w:t>kg/h。</w:t>
            </w:r>
          </w:p>
          <w:p w14:paraId="33D2E946">
            <w:pPr>
              <w:spacing w:line="336" w:lineRule="auto"/>
              <w:ind w:firstLine="482" w:firstLineChars="200"/>
              <w:rPr>
                <w:rFonts w:cs="Times New Roman"/>
                <w:bCs/>
                <w:color w:val="auto"/>
                <w:sz w:val="24"/>
                <w:szCs w:val="24"/>
              </w:rPr>
            </w:pPr>
            <w:r>
              <w:rPr>
                <w:rFonts w:cs="Times New Roman"/>
                <w:b/>
                <w:bCs/>
                <w:color w:val="auto"/>
                <w:sz w:val="24"/>
                <w:szCs w:val="24"/>
              </w:rPr>
              <w:t>②</w:t>
            </w:r>
            <w:r>
              <w:rPr>
                <w:rFonts w:hint="eastAsia" w:cs="Times New Roman"/>
                <w:b/>
                <w:bCs/>
                <w:color w:val="auto"/>
                <w:sz w:val="24"/>
                <w:szCs w:val="24"/>
              </w:rPr>
              <w:t>石材喷砂粉尘</w:t>
            </w:r>
          </w:p>
          <w:p w14:paraId="1B51332F">
            <w:pPr>
              <w:spacing w:line="336" w:lineRule="auto"/>
              <w:ind w:firstLine="480" w:firstLineChars="200"/>
              <w:rPr>
                <w:rFonts w:cs="Times New Roman"/>
                <w:color w:val="auto"/>
                <w:sz w:val="24"/>
                <w:szCs w:val="24"/>
              </w:rPr>
            </w:pPr>
            <w:r>
              <w:rPr>
                <w:rFonts w:hint="eastAsia" w:cs="Times New Roman"/>
                <w:color w:val="auto"/>
                <w:sz w:val="24"/>
                <w:szCs w:val="24"/>
              </w:rPr>
              <w:t>选用较先进的自动喷砂设备作业，配备有布袋除尘装置。石材由滑轮装置进入机体密闭的喷砂室，利用</w:t>
            </w:r>
            <w:r>
              <w:rPr>
                <w:rFonts w:cs="Times New Roman"/>
                <w:color w:val="auto"/>
                <w:sz w:val="24"/>
                <w:szCs w:val="24"/>
              </w:rPr>
              <w:t>压缩空气在喷头内高速流动形成负压产生引射作用，将</w:t>
            </w:r>
            <w:r>
              <w:rPr>
                <w:rFonts w:hint="eastAsia" w:cs="Times New Roman"/>
                <w:color w:val="auto"/>
                <w:sz w:val="24"/>
                <w:szCs w:val="24"/>
              </w:rPr>
              <w:t>喷砂</w:t>
            </w:r>
            <w:r>
              <w:rPr>
                <w:rFonts w:cs="Times New Roman"/>
                <w:color w:val="auto"/>
                <w:sz w:val="24"/>
                <w:szCs w:val="24"/>
              </w:rPr>
              <w:t>磨料</w:t>
            </w:r>
            <w:r>
              <w:rPr>
                <w:rFonts w:hint="eastAsia" w:cs="Times New Roman"/>
                <w:color w:val="auto"/>
                <w:sz w:val="24"/>
                <w:szCs w:val="24"/>
              </w:rPr>
              <w:t>（铁砂）</w:t>
            </w:r>
            <w:r>
              <w:rPr>
                <w:rFonts w:cs="Times New Roman"/>
                <w:color w:val="auto"/>
                <w:sz w:val="24"/>
                <w:szCs w:val="24"/>
              </w:rPr>
              <w:t>通过砂管吸入喷头内，然后随压缩空气流由喷嘴高速射到工件表面，达到</w:t>
            </w:r>
            <w:r>
              <w:rPr>
                <w:rFonts w:hint="eastAsia" w:cs="Times New Roman"/>
                <w:color w:val="auto"/>
                <w:sz w:val="24"/>
                <w:szCs w:val="24"/>
              </w:rPr>
              <w:t>石材表面</w:t>
            </w:r>
            <w:r>
              <w:rPr>
                <w:rFonts w:cs="Times New Roman"/>
                <w:color w:val="auto"/>
                <w:sz w:val="24"/>
                <w:szCs w:val="24"/>
              </w:rPr>
              <w:t>喷砂的目的。</w:t>
            </w:r>
            <w:r>
              <w:rPr>
                <w:rFonts w:hint="eastAsia" w:cs="Times New Roman"/>
                <w:color w:val="auto"/>
                <w:sz w:val="24"/>
                <w:szCs w:val="24"/>
              </w:rPr>
              <w:t>该工序通过风机产生负压状态，喷砂粉尘经收集（收集效率90%）通过布袋除尘器处理，处理风量为5000m</w:t>
            </w:r>
            <w:r>
              <w:rPr>
                <w:rFonts w:hint="eastAsia" w:cs="Times New Roman"/>
                <w:color w:val="auto"/>
                <w:sz w:val="24"/>
                <w:szCs w:val="24"/>
                <w:vertAlign w:val="superscript"/>
              </w:rPr>
              <w:t>3</w:t>
            </w:r>
            <w:r>
              <w:rPr>
                <w:rFonts w:hint="eastAsia" w:cs="Times New Roman"/>
                <w:color w:val="auto"/>
                <w:sz w:val="24"/>
                <w:szCs w:val="24"/>
              </w:rPr>
              <w:t>/h，除尘效率为98%，处理后经车间阻隔后无组织排放。根据企业提供的资料，项目喷砂工序每天工作约1小时，年工作约100天，经车间阻隔后无组织排放，则喷砂粉尘排放速率为0.0059t/a，0.059kg/h。</w:t>
            </w:r>
          </w:p>
          <w:p w14:paraId="47553584">
            <w:pPr>
              <w:spacing w:line="336" w:lineRule="auto"/>
              <w:ind w:firstLine="482" w:firstLineChars="200"/>
              <w:rPr>
                <w:rFonts w:cs="Times New Roman"/>
                <w:bCs/>
                <w:color w:val="auto"/>
                <w:sz w:val="24"/>
                <w:szCs w:val="24"/>
              </w:rPr>
            </w:pPr>
            <w:r>
              <w:rPr>
                <w:rFonts w:cs="Times New Roman"/>
                <w:b/>
                <w:bCs/>
                <w:color w:val="auto"/>
                <w:sz w:val="24"/>
                <w:szCs w:val="24"/>
              </w:rPr>
              <w:t>③车辆运输扬尘</w:t>
            </w:r>
          </w:p>
          <w:p w14:paraId="3F870EF8">
            <w:pPr>
              <w:spacing w:line="336" w:lineRule="auto"/>
              <w:ind w:firstLine="480" w:firstLineChars="200"/>
              <w:rPr>
                <w:rFonts w:cs="Times New Roman"/>
                <w:bCs/>
                <w:color w:val="auto"/>
                <w:sz w:val="24"/>
                <w:szCs w:val="24"/>
              </w:rPr>
            </w:pPr>
            <w:r>
              <w:rPr>
                <w:rFonts w:hint="default" w:ascii="Times New Roman" w:hAnsi="Times New Roman" w:eastAsia="宋体" w:cs="Times New Roman"/>
                <w:color w:val="auto"/>
                <w:sz w:val="24"/>
                <w:szCs w:val="24"/>
                <w:highlight w:val="none"/>
              </w:rPr>
              <w:t>厂区地面采用水泥硬化，运输车辆使用防尘布覆盖，禁止超载、超速行驶；厂区道路定期洒水降尘，治理效率可达到</w:t>
            </w:r>
            <w:r>
              <w:rPr>
                <w:rFonts w:hint="eastAsia" w:cs="Times New Roman"/>
                <w:color w:val="auto"/>
                <w:sz w:val="24"/>
                <w:szCs w:val="24"/>
                <w:highlight w:val="none"/>
                <w:lang w:val="en-US" w:eastAsia="zh-CN"/>
              </w:rPr>
              <w:t>80</w:t>
            </w:r>
            <w:r>
              <w:rPr>
                <w:rFonts w:hint="default" w:ascii="Times New Roman" w:hAnsi="Times New Roman" w:eastAsia="宋体" w:cs="Times New Roman"/>
                <w:color w:val="auto"/>
                <w:sz w:val="24"/>
                <w:szCs w:val="24"/>
                <w:highlight w:val="none"/>
              </w:rPr>
              <w:t>%。运输扬尘采取上述治理措施后，运输扬尘无组织排放量为</w:t>
            </w:r>
            <w:r>
              <w:rPr>
                <w:rFonts w:hint="eastAsia" w:cs="Times New Roman"/>
                <w:color w:val="auto"/>
                <w:sz w:val="24"/>
                <w:szCs w:val="24"/>
                <w:highlight w:val="none"/>
                <w:lang w:val="en-US" w:eastAsia="zh-CN"/>
              </w:rPr>
              <w:t>0.024</w:t>
            </w:r>
            <w:r>
              <w:rPr>
                <w:rFonts w:hint="default" w:ascii="Times New Roman" w:hAnsi="Times New Roman" w:eastAsia="宋体" w:cs="Times New Roman"/>
                <w:color w:val="auto"/>
                <w:sz w:val="24"/>
                <w:szCs w:val="24"/>
                <w:highlight w:val="none"/>
              </w:rPr>
              <w:t>t/a，排放速率为</w:t>
            </w:r>
            <w:r>
              <w:rPr>
                <w:rFonts w:hint="eastAsia" w:cs="Times New Roman"/>
                <w:color w:val="auto"/>
                <w:sz w:val="24"/>
                <w:szCs w:val="24"/>
                <w:highlight w:val="none"/>
                <w:lang w:val="en-US" w:eastAsia="zh-CN"/>
              </w:rPr>
              <w:t>0.010</w:t>
            </w:r>
            <w:r>
              <w:rPr>
                <w:rFonts w:hint="default" w:ascii="Times New Roman" w:hAnsi="Times New Roman" w:eastAsia="宋体" w:cs="Times New Roman"/>
                <w:color w:val="auto"/>
                <w:sz w:val="24"/>
                <w:szCs w:val="24"/>
                <w:highlight w:val="none"/>
              </w:rPr>
              <w:t>kg/h</w:t>
            </w:r>
            <w:r>
              <w:rPr>
                <w:rFonts w:cs="Times New Roman"/>
                <w:color w:val="auto"/>
                <w:sz w:val="24"/>
                <w:szCs w:val="24"/>
              </w:rPr>
              <w:t>。</w:t>
            </w:r>
          </w:p>
          <w:p w14:paraId="46F4CF71">
            <w:pPr>
              <w:spacing w:line="336" w:lineRule="auto"/>
              <w:ind w:firstLine="482" w:firstLineChars="200"/>
              <w:rPr>
                <w:rFonts w:cs="Times New Roman"/>
                <w:b/>
                <w:bCs/>
                <w:color w:val="auto"/>
                <w:sz w:val="24"/>
                <w:szCs w:val="24"/>
              </w:rPr>
            </w:pPr>
            <w:r>
              <w:rPr>
                <w:rFonts w:hint="eastAsia" w:ascii="宋体" w:hAnsi="宋体" w:cs="宋体"/>
                <w:b/>
                <w:bCs/>
                <w:color w:val="auto"/>
                <w:sz w:val="24"/>
                <w:szCs w:val="24"/>
              </w:rPr>
              <w:t>④</w:t>
            </w:r>
            <w:r>
              <w:rPr>
                <w:rFonts w:cs="Times New Roman"/>
                <w:b/>
                <w:bCs/>
                <w:color w:val="auto"/>
                <w:sz w:val="24"/>
                <w:szCs w:val="24"/>
              </w:rPr>
              <w:t>食堂油烟</w:t>
            </w:r>
          </w:p>
          <w:p w14:paraId="049B8FBB">
            <w:pPr>
              <w:spacing w:line="336" w:lineRule="auto"/>
              <w:ind w:firstLine="480" w:firstLineChars="200"/>
              <w:rPr>
                <w:rFonts w:cs="Times New Roman"/>
                <w:color w:val="auto"/>
                <w:sz w:val="24"/>
                <w:szCs w:val="24"/>
              </w:rPr>
            </w:pPr>
            <w:r>
              <w:rPr>
                <w:rFonts w:hint="default" w:ascii="Times New Roman" w:hAnsi="Times New Roman" w:cs="Times New Roman"/>
                <w:b w:val="0"/>
                <w:bCs/>
                <w:color w:val="auto"/>
                <w:sz w:val="24"/>
                <w:szCs w:val="24"/>
                <w:highlight w:val="none"/>
                <w:lang w:val="en-US" w:eastAsia="zh-CN"/>
              </w:rPr>
              <w:t>环评要求</w:t>
            </w:r>
            <w:r>
              <w:rPr>
                <w:rFonts w:hint="default" w:ascii="Times New Roman" w:hAnsi="Times New Roman" w:cs="Times New Roman"/>
                <w:b w:val="0"/>
                <w:bCs/>
                <w:color w:val="auto"/>
                <w:sz w:val="24"/>
                <w:szCs w:val="24"/>
                <w:highlight w:val="none"/>
              </w:rPr>
              <w:t>食堂安装1台</w:t>
            </w:r>
            <w:r>
              <w:rPr>
                <w:rFonts w:hint="default" w:ascii="Times New Roman" w:hAnsi="Times New Roman" w:cs="Times New Roman"/>
                <w:color w:val="auto"/>
                <w:sz w:val="24"/>
                <w:szCs w:val="24"/>
                <w:highlight w:val="none"/>
                <w:lang w:bidi="ar"/>
              </w:rPr>
              <w:t>自带油烟净化功能的</w:t>
            </w:r>
            <w:r>
              <w:rPr>
                <w:rFonts w:hint="eastAsia" w:cs="Times New Roman"/>
                <w:b w:val="0"/>
                <w:bCs/>
                <w:color w:val="auto"/>
                <w:sz w:val="24"/>
                <w:szCs w:val="24"/>
                <w:highlight w:val="none"/>
                <w:lang w:val="en-US" w:eastAsia="zh-CN"/>
              </w:rPr>
              <w:t>抽油烟机</w:t>
            </w:r>
            <w:r>
              <w:rPr>
                <w:rFonts w:hint="default" w:ascii="Times New Roman" w:hAnsi="Times New Roman" w:cs="Times New Roman"/>
                <w:b w:val="0"/>
                <w:bCs/>
                <w:color w:val="auto"/>
                <w:sz w:val="24"/>
                <w:szCs w:val="24"/>
                <w:highlight w:val="none"/>
              </w:rPr>
              <w:t>（风量为</w:t>
            </w:r>
            <w:r>
              <w:rPr>
                <w:rFonts w:hint="eastAsia" w:cs="Times New Roman"/>
                <w:b w:val="0"/>
                <w:bCs/>
                <w:color w:val="auto"/>
                <w:sz w:val="24"/>
                <w:szCs w:val="24"/>
                <w:highlight w:val="none"/>
                <w:lang w:val="en-US" w:eastAsia="zh-CN"/>
              </w:rPr>
              <w:t>15</w:t>
            </w:r>
            <w:r>
              <w:rPr>
                <w:rFonts w:hint="default" w:ascii="Times New Roman" w:hAnsi="Times New Roman" w:cs="Times New Roman"/>
                <w:b w:val="0"/>
                <w:bCs/>
                <w:color w:val="auto"/>
                <w:sz w:val="24"/>
                <w:szCs w:val="24"/>
                <w:highlight w:val="none"/>
              </w:rPr>
              <w:t>00m</w:t>
            </w:r>
            <w:r>
              <w:rPr>
                <w:rFonts w:hint="default" w:ascii="Times New Roman" w:hAnsi="Times New Roman" w:cs="Times New Roman"/>
                <w:b w:val="0"/>
                <w:bCs/>
                <w:color w:val="auto"/>
                <w:sz w:val="24"/>
                <w:szCs w:val="24"/>
                <w:highlight w:val="none"/>
                <w:vertAlign w:val="superscript"/>
              </w:rPr>
              <w:t>3</w:t>
            </w:r>
            <w:r>
              <w:rPr>
                <w:rFonts w:hint="default" w:ascii="Times New Roman" w:hAnsi="Times New Roman" w:cs="Times New Roman"/>
                <w:b w:val="0"/>
                <w:bCs/>
                <w:color w:val="auto"/>
                <w:sz w:val="24"/>
                <w:szCs w:val="24"/>
                <w:highlight w:val="none"/>
              </w:rPr>
              <w:t>/h），食堂油烟经处理后通过油烟管道</w:t>
            </w:r>
            <w:r>
              <w:rPr>
                <w:rFonts w:hint="eastAsia" w:cs="Times New Roman"/>
                <w:b w:val="0"/>
                <w:bCs/>
                <w:color w:val="auto"/>
                <w:sz w:val="24"/>
                <w:szCs w:val="24"/>
                <w:highlight w:val="none"/>
                <w:lang w:eastAsia="zh-CN"/>
              </w:rPr>
              <w:t>引至楼顶排放</w:t>
            </w:r>
            <w:r>
              <w:rPr>
                <w:rFonts w:cs="Times New Roman"/>
                <w:bCs/>
                <w:color w:val="auto"/>
                <w:sz w:val="24"/>
                <w:szCs w:val="24"/>
              </w:rPr>
              <w:t>，处理效率按60%计。采取</w:t>
            </w:r>
            <w:r>
              <w:rPr>
                <w:rFonts w:cs="Times New Roman"/>
                <w:color w:val="auto"/>
                <w:sz w:val="24"/>
                <w:szCs w:val="24"/>
              </w:rPr>
              <w:t>该治理措施后，食堂油烟排</w:t>
            </w:r>
            <w:r>
              <w:rPr>
                <w:rFonts w:cs="Times New Roman"/>
                <w:color w:val="auto"/>
                <w:sz w:val="24"/>
                <w:szCs w:val="24"/>
                <w:highlight w:val="none"/>
              </w:rPr>
              <w:t>放量为0.00</w:t>
            </w:r>
            <w:r>
              <w:rPr>
                <w:rFonts w:hint="eastAsia" w:cs="Times New Roman"/>
                <w:color w:val="auto"/>
                <w:sz w:val="24"/>
                <w:szCs w:val="24"/>
                <w:highlight w:val="none"/>
                <w:lang w:val="en-US" w:eastAsia="zh-CN"/>
              </w:rPr>
              <w:t>16</w:t>
            </w:r>
            <w:r>
              <w:rPr>
                <w:rFonts w:cs="Times New Roman"/>
                <w:color w:val="auto"/>
                <w:sz w:val="24"/>
                <w:szCs w:val="24"/>
                <w:highlight w:val="none"/>
              </w:rPr>
              <w:t>t/a，排放速率为0.00</w:t>
            </w:r>
            <w:r>
              <w:rPr>
                <w:rFonts w:hint="eastAsia" w:cs="Times New Roman"/>
                <w:color w:val="auto"/>
                <w:sz w:val="24"/>
                <w:szCs w:val="24"/>
                <w:highlight w:val="none"/>
                <w:lang w:val="en-US" w:eastAsia="zh-CN"/>
              </w:rPr>
              <w:t>13</w:t>
            </w:r>
            <w:r>
              <w:rPr>
                <w:rFonts w:cs="Times New Roman"/>
                <w:color w:val="auto"/>
                <w:sz w:val="24"/>
                <w:szCs w:val="24"/>
                <w:highlight w:val="none"/>
              </w:rPr>
              <w:t>kg/h（300d，4h），排放浓度为0.</w:t>
            </w:r>
            <w:r>
              <w:rPr>
                <w:rFonts w:hint="eastAsia" w:cs="Times New Roman"/>
                <w:color w:val="auto"/>
                <w:sz w:val="24"/>
                <w:szCs w:val="24"/>
                <w:highlight w:val="none"/>
                <w:lang w:val="en-US" w:eastAsia="zh-CN"/>
              </w:rPr>
              <w:t>87</w:t>
            </w:r>
            <w:r>
              <w:rPr>
                <w:rFonts w:cs="Times New Roman"/>
                <w:color w:val="auto"/>
                <w:sz w:val="24"/>
                <w:szCs w:val="24"/>
                <w:highlight w:val="none"/>
              </w:rPr>
              <w:t>mg/m</w:t>
            </w:r>
            <w:r>
              <w:rPr>
                <w:rFonts w:cs="Times New Roman"/>
                <w:color w:val="auto"/>
                <w:sz w:val="24"/>
                <w:szCs w:val="24"/>
                <w:highlight w:val="none"/>
                <w:vertAlign w:val="superscript"/>
              </w:rPr>
              <w:t>3</w:t>
            </w:r>
            <w:r>
              <w:rPr>
                <w:rFonts w:cs="Times New Roman"/>
                <w:color w:val="auto"/>
                <w:sz w:val="24"/>
                <w:szCs w:val="24"/>
                <w:highlight w:val="none"/>
              </w:rPr>
              <w:t>。</w:t>
            </w:r>
          </w:p>
          <w:p w14:paraId="58090FEE">
            <w:pPr>
              <w:spacing w:line="336" w:lineRule="auto"/>
              <w:ind w:firstLine="480" w:firstLineChars="200"/>
              <w:rPr>
                <w:rFonts w:cs="Times New Roman"/>
                <w:color w:val="auto"/>
                <w:sz w:val="24"/>
                <w:szCs w:val="24"/>
              </w:rPr>
            </w:pPr>
            <w:r>
              <w:rPr>
                <w:rFonts w:cs="Times New Roman"/>
                <w:color w:val="auto"/>
                <w:sz w:val="24"/>
                <w:szCs w:val="24"/>
              </w:rPr>
              <w:t>综上所述，项目治理设施、排放形式表4-4。</w:t>
            </w:r>
          </w:p>
          <w:p w14:paraId="19207353">
            <w:pPr>
              <w:spacing w:line="360" w:lineRule="auto"/>
              <w:jc w:val="center"/>
              <w:rPr>
                <w:rFonts w:cs="Times New Roman"/>
                <w:b/>
                <w:color w:val="auto"/>
                <w:sz w:val="24"/>
                <w:szCs w:val="24"/>
              </w:rPr>
            </w:pPr>
            <w:r>
              <w:rPr>
                <w:rFonts w:cs="Times New Roman"/>
                <w:b/>
                <w:color w:val="auto"/>
                <w:sz w:val="24"/>
                <w:szCs w:val="24"/>
              </w:rPr>
              <w:t>表4-4 项目废气治理设施、排放形式一览表</w:t>
            </w:r>
          </w:p>
          <w:tbl>
            <w:tblPr>
              <w:tblStyle w:val="25"/>
              <w:tblW w:w="8378"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
            <w:tblGrid>
              <w:gridCol w:w="1034"/>
              <w:gridCol w:w="1028"/>
              <w:gridCol w:w="920"/>
              <w:gridCol w:w="2403"/>
              <w:gridCol w:w="985"/>
              <w:gridCol w:w="843"/>
              <w:gridCol w:w="1165"/>
            </w:tblGrid>
            <w:tr w14:paraId="193A010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34" w:hRule="atLeast"/>
                <w:jc w:val="center"/>
              </w:trPr>
              <w:tc>
                <w:tcPr>
                  <w:tcW w:w="617" w:type="pct"/>
                  <w:vMerge w:val="restart"/>
                  <w:tcBorders>
                    <w:tl2br w:val="nil"/>
                    <w:tr2bl w:val="nil"/>
                  </w:tcBorders>
                  <w:vAlign w:val="center"/>
                </w:tcPr>
                <w:p w14:paraId="16E2C1C0">
                  <w:pPr>
                    <w:spacing w:line="240" w:lineRule="exact"/>
                    <w:jc w:val="center"/>
                    <w:rPr>
                      <w:rFonts w:cs="Times New Roman"/>
                      <w:b/>
                      <w:bCs/>
                      <w:color w:val="auto"/>
                      <w:szCs w:val="21"/>
                    </w:rPr>
                  </w:pPr>
                  <w:r>
                    <w:rPr>
                      <w:rFonts w:cs="Times New Roman"/>
                      <w:b/>
                      <w:bCs/>
                      <w:color w:val="auto"/>
                      <w:szCs w:val="21"/>
                    </w:rPr>
                    <w:t>废气类型</w:t>
                  </w:r>
                </w:p>
              </w:tc>
              <w:tc>
                <w:tcPr>
                  <w:tcW w:w="613" w:type="pct"/>
                  <w:vMerge w:val="restart"/>
                  <w:tcBorders>
                    <w:tl2br w:val="nil"/>
                    <w:tr2bl w:val="nil"/>
                  </w:tcBorders>
                  <w:vAlign w:val="center"/>
                </w:tcPr>
                <w:p w14:paraId="3BD042C4">
                  <w:pPr>
                    <w:spacing w:line="240" w:lineRule="exact"/>
                    <w:jc w:val="center"/>
                    <w:rPr>
                      <w:rFonts w:cs="Times New Roman"/>
                      <w:b/>
                      <w:bCs/>
                      <w:color w:val="auto"/>
                      <w:szCs w:val="21"/>
                    </w:rPr>
                  </w:pPr>
                  <w:r>
                    <w:rPr>
                      <w:rFonts w:cs="Times New Roman"/>
                      <w:b/>
                      <w:bCs/>
                      <w:color w:val="auto"/>
                      <w:szCs w:val="21"/>
                    </w:rPr>
                    <w:t>污染物种类</w:t>
                  </w:r>
                </w:p>
              </w:tc>
              <w:tc>
                <w:tcPr>
                  <w:tcW w:w="549" w:type="pct"/>
                  <w:vMerge w:val="restart"/>
                  <w:tcBorders>
                    <w:tl2br w:val="nil"/>
                    <w:tr2bl w:val="nil"/>
                  </w:tcBorders>
                  <w:vAlign w:val="center"/>
                </w:tcPr>
                <w:p w14:paraId="675CF9B6">
                  <w:pPr>
                    <w:spacing w:line="240" w:lineRule="exact"/>
                    <w:jc w:val="center"/>
                    <w:rPr>
                      <w:rFonts w:cs="Times New Roman"/>
                      <w:b/>
                      <w:bCs/>
                      <w:color w:val="auto"/>
                      <w:szCs w:val="21"/>
                    </w:rPr>
                  </w:pPr>
                  <w:r>
                    <w:rPr>
                      <w:rFonts w:cs="Times New Roman"/>
                      <w:b/>
                      <w:bCs/>
                      <w:color w:val="auto"/>
                      <w:szCs w:val="21"/>
                    </w:rPr>
                    <w:t>排放形式</w:t>
                  </w:r>
                </w:p>
              </w:tc>
              <w:tc>
                <w:tcPr>
                  <w:tcW w:w="3220" w:type="pct"/>
                  <w:gridSpan w:val="4"/>
                  <w:tcBorders>
                    <w:tl2br w:val="nil"/>
                    <w:tr2bl w:val="nil"/>
                  </w:tcBorders>
                  <w:vAlign w:val="center"/>
                </w:tcPr>
                <w:p w14:paraId="4C7AA4AA">
                  <w:pPr>
                    <w:spacing w:line="240" w:lineRule="exact"/>
                    <w:jc w:val="center"/>
                    <w:rPr>
                      <w:rFonts w:cs="Times New Roman"/>
                      <w:b/>
                      <w:bCs/>
                      <w:color w:val="auto"/>
                      <w:szCs w:val="21"/>
                    </w:rPr>
                  </w:pPr>
                  <w:r>
                    <w:rPr>
                      <w:rFonts w:cs="Times New Roman"/>
                      <w:b/>
                      <w:bCs/>
                      <w:color w:val="auto"/>
                      <w:szCs w:val="21"/>
                    </w:rPr>
                    <w:t>污染物治理设施</w:t>
                  </w:r>
                </w:p>
              </w:tc>
            </w:tr>
            <w:tr w14:paraId="48D868D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560" w:hRule="atLeast"/>
                <w:jc w:val="center"/>
              </w:trPr>
              <w:tc>
                <w:tcPr>
                  <w:tcW w:w="617" w:type="pct"/>
                  <w:vMerge w:val="continue"/>
                  <w:tcBorders>
                    <w:tl2br w:val="nil"/>
                    <w:tr2bl w:val="nil"/>
                  </w:tcBorders>
                  <w:vAlign w:val="center"/>
                </w:tcPr>
                <w:p w14:paraId="39FA8104">
                  <w:pPr>
                    <w:spacing w:line="240" w:lineRule="exact"/>
                    <w:jc w:val="center"/>
                    <w:rPr>
                      <w:rFonts w:cs="Times New Roman"/>
                      <w:b/>
                      <w:bCs/>
                      <w:color w:val="auto"/>
                      <w:szCs w:val="21"/>
                    </w:rPr>
                  </w:pPr>
                </w:p>
              </w:tc>
              <w:tc>
                <w:tcPr>
                  <w:tcW w:w="613" w:type="pct"/>
                  <w:vMerge w:val="continue"/>
                  <w:tcBorders>
                    <w:tl2br w:val="nil"/>
                    <w:tr2bl w:val="nil"/>
                  </w:tcBorders>
                  <w:vAlign w:val="center"/>
                </w:tcPr>
                <w:p w14:paraId="75EBED15">
                  <w:pPr>
                    <w:spacing w:line="240" w:lineRule="exact"/>
                    <w:jc w:val="center"/>
                    <w:rPr>
                      <w:rFonts w:cs="Times New Roman"/>
                      <w:b/>
                      <w:bCs/>
                      <w:color w:val="auto"/>
                      <w:szCs w:val="21"/>
                    </w:rPr>
                  </w:pPr>
                </w:p>
              </w:tc>
              <w:tc>
                <w:tcPr>
                  <w:tcW w:w="549" w:type="pct"/>
                  <w:vMerge w:val="continue"/>
                  <w:tcBorders>
                    <w:tl2br w:val="nil"/>
                    <w:tr2bl w:val="nil"/>
                  </w:tcBorders>
                  <w:vAlign w:val="center"/>
                </w:tcPr>
                <w:p w14:paraId="7EB4D961">
                  <w:pPr>
                    <w:spacing w:line="240" w:lineRule="exact"/>
                    <w:jc w:val="center"/>
                    <w:rPr>
                      <w:rFonts w:cs="Times New Roman"/>
                      <w:b/>
                      <w:bCs/>
                      <w:color w:val="auto"/>
                      <w:szCs w:val="21"/>
                    </w:rPr>
                  </w:pPr>
                </w:p>
              </w:tc>
              <w:tc>
                <w:tcPr>
                  <w:tcW w:w="1434" w:type="pct"/>
                  <w:tcBorders>
                    <w:tl2br w:val="nil"/>
                    <w:tr2bl w:val="nil"/>
                  </w:tcBorders>
                  <w:vAlign w:val="center"/>
                </w:tcPr>
                <w:p w14:paraId="59433B80">
                  <w:pPr>
                    <w:spacing w:line="240" w:lineRule="exact"/>
                    <w:jc w:val="center"/>
                    <w:rPr>
                      <w:rFonts w:cs="Times New Roman"/>
                      <w:b/>
                      <w:bCs/>
                      <w:color w:val="auto"/>
                      <w:szCs w:val="21"/>
                    </w:rPr>
                  </w:pPr>
                  <w:r>
                    <w:rPr>
                      <w:rFonts w:cs="Times New Roman"/>
                      <w:b/>
                      <w:bCs/>
                      <w:color w:val="auto"/>
                      <w:szCs w:val="21"/>
                    </w:rPr>
                    <w:t>治理设施名称及工艺</w:t>
                  </w:r>
                </w:p>
              </w:tc>
              <w:tc>
                <w:tcPr>
                  <w:tcW w:w="587" w:type="pct"/>
                  <w:tcBorders>
                    <w:tl2br w:val="nil"/>
                    <w:tr2bl w:val="nil"/>
                  </w:tcBorders>
                  <w:vAlign w:val="center"/>
                </w:tcPr>
                <w:p w14:paraId="7FFD0926">
                  <w:pPr>
                    <w:spacing w:line="240" w:lineRule="exact"/>
                    <w:jc w:val="center"/>
                    <w:rPr>
                      <w:rFonts w:cs="Times New Roman"/>
                      <w:b/>
                      <w:bCs/>
                      <w:color w:val="auto"/>
                      <w:szCs w:val="21"/>
                    </w:rPr>
                  </w:pPr>
                  <w:r>
                    <w:rPr>
                      <w:rFonts w:cs="Times New Roman"/>
                      <w:b/>
                      <w:bCs/>
                      <w:color w:val="auto"/>
                      <w:szCs w:val="21"/>
                    </w:rPr>
                    <w:t>收集效率（%）</w:t>
                  </w:r>
                </w:p>
              </w:tc>
              <w:tc>
                <w:tcPr>
                  <w:tcW w:w="503" w:type="pct"/>
                  <w:tcBorders>
                    <w:tl2br w:val="nil"/>
                    <w:tr2bl w:val="nil"/>
                  </w:tcBorders>
                  <w:vAlign w:val="center"/>
                </w:tcPr>
                <w:p w14:paraId="661FB035">
                  <w:pPr>
                    <w:spacing w:line="240" w:lineRule="exact"/>
                    <w:jc w:val="center"/>
                    <w:rPr>
                      <w:rFonts w:cs="Times New Roman"/>
                      <w:b/>
                      <w:bCs/>
                      <w:color w:val="auto"/>
                      <w:szCs w:val="21"/>
                    </w:rPr>
                  </w:pPr>
                  <w:r>
                    <w:rPr>
                      <w:rFonts w:cs="Times New Roman"/>
                      <w:b/>
                      <w:bCs/>
                      <w:color w:val="auto"/>
                      <w:szCs w:val="21"/>
                    </w:rPr>
                    <w:t>去除率（%）</w:t>
                  </w:r>
                </w:p>
              </w:tc>
              <w:tc>
                <w:tcPr>
                  <w:tcW w:w="695" w:type="pct"/>
                  <w:tcBorders>
                    <w:tl2br w:val="nil"/>
                    <w:tr2bl w:val="nil"/>
                  </w:tcBorders>
                  <w:vAlign w:val="center"/>
                </w:tcPr>
                <w:p w14:paraId="742EB334">
                  <w:pPr>
                    <w:spacing w:line="240" w:lineRule="exact"/>
                    <w:jc w:val="center"/>
                    <w:rPr>
                      <w:rFonts w:cs="Times New Roman"/>
                      <w:b/>
                      <w:bCs/>
                      <w:color w:val="auto"/>
                      <w:szCs w:val="21"/>
                    </w:rPr>
                  </w:pPr>
                  <w:r>
                    <w:rPr>
                      <w:rFonts w:cs="Times New Roman"/>
                      <w:b/>
                      <w:bCs/>
                      <w:color w:val="auto"/>
                      <w:szCs w:val="21"/>
                    </w:rPr>
                    <w:t>是否为可行性技术</w:t>
                  </w:r>
                </w:p>
              </w:tc>
            </w:tr>
            <w:tr w14:paraId="75D57F5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591" w:hRule="atLeast"/>
                <w:jc w:val="center"/>
              </w:trPr>
              <w:tc>
                <w:tcPr>
                  <w:tcW w:w="617" w:type="pct"/>
                  <w:tcBorders>
                    <w:tl2br w:val="nil"/>
                    <w:tr2bl w:val="nil"/>
                  </w:tcBorders>
                  <w:vAlign w:val="center"/>
                </w:tcPr>
                <w:p w14:paraId="7A3A9F24">
                  <w:pPr>
                    <w:spacing w:line="240" w:lineRule="exact"/>
                    <w:jc w:val="center"/>
                    <w:rPr>
                      <w:rFonts w:cs="Times New Roman"/>
                      <w:color w:val="auto"/>
                      <w:szCs w:val="21"/>
                    </w:rPr>
                  </w:pPr>
                  <w:r>
                    <w:rPr>
                      <w:rFonts w:cs="Times New Roman"/>
                      <w:color w:val="auto"/>
                      <w:szCs w:val="21"/>
                    </w:rPr>
                    <w:t>石材加工粉尘</w:t>
                  </w:r>
                </w:p>
              </w:tc>
              <w:tc>
                <w:tcPr>
                  <w:tcW w:w="613" w:type="pct"/>
                  <w:tcBorders>
                    <w:tl2br w:val="nil"/>
                    <w:tr2bl w:val="nil"/>
                  </w:tcBorders>
                  <w:vAlign w:val="center"/>
                </w:tcPr>
                <w:p w14:paraId="5DBDC701">
                  <w:pPr>
                    <w:spacing w:line="240" w:lineRule="exact"/>
                    <w:jc w:val="center"/>
                    <w:rPr>
                      <w:rFonts w:cs="Times New Roman"/>
                      <w:color w:val="auto"/>
                      <w:szCs w:val="21"/>
                    </w:rPr>
                  </w:pPr>
                  <w:r>
                    <w:rPr>
                      <w:rFonts w:cs="Times New Roman"/>
                      <w:color w:val="auto"/>
                      <w:szCs w:val="21"/>
                    </w:rPr>
                    <w:t>颗粒物</w:t>
                  </w:r>
                </w:p>
              </w:tc>
              <w:tc>
                <w:tcPr>
                  <w:tcW w:w="549" w:type="pct"/>
                  <w:tcBorders>
                    <w:tl2br w:val="nil"/>
                    <w:tr2bl w:val="nil"/>
                  </w:tcBorders>
                  <w:vAlign w:val="center"/>
                </w:tcPr>
                <w:p w14:paraId="35B84A81">
                  <w:pPr>
                    <w:spacing w:line="240" w:lineRule="exact"/>
                    <w:jc w:val="center"/>
                    <w:rPr>
                      <w:rFonts w:cs="Times New Roman"/>
                      <w:color w:val="auto"/>
                      <w:szCs w:val="21"/>
                    </w:rPr>
                  </w:pPr>
                  <w:r>
                    <w:rPr>
                      <w:rFonts w:cs="Times New Roman"/>
                      <w:color w:val="auto"/>
                      <w:szCs w:val="21"/>
                    </w:rPr>
                    <w:t>无组织</w:t>
                  </w:r>
                </w:p>
              </w:tc>
              <w:tc>
                <w:tcPr>
                  <w:tcW w:w="1434" w:type="pct"/>
                  <w:tcBorders>
                    <w:tl2br w:val="nil"/>
                    <w:tr2bl w:val="nil"/>
                  </w:tcBorders>
                  <w:vAlign w:val="center"/>
                </w:tcPr>
                <w:p w14:paraId="68CCA34E">
                  <w:pPr>
                    <w:spacing w:line="240" w:lineRule="exact"/>
                    <w:jc w:val="center"/>
                    <w:rPr>
                      <w:rFonts w:cs="Times New Roman"/>
                      <w:color w:val="auto"/>
                      <w:szCs w:val="21"/>
                    </w:rPr>
                  </w:pPr>
                  <w:r>
                    <w:rPr>
                      <w:rFonts w:hint="eastAsia" w:cs="Times New Roman"/>
                      <w:color w:val="auto"/>
                      <w:kern w:val="2"/>
                      <w:sz w:val="21"/>
                      <w:szCs w:val="21"/>
                      <w:highlight w:val="none"/>
                      <w:lang w:val="en-US" w:eastAsia="zh-CN" w:bidi="ar-SA"/>
                    </w:rPr>
                    <w:t>湿法作业</w:t>
                  </w:r>
                  <w:r>
                    <w:rPr>
                      <w:rFonts w:hint="default" w:ascii="Times New Roman" w:hAnsi="Times New Roman" w:eastAsia="宋体" w:cs="Times New Roman"/>
                      <w:color w:val="auto"/>
                      <w:kern w:val="2"/>
                      <w:sz w:val="21"/>
                      <w:szCs w:val="21"/>
                      <w:highlight w:val="none"/>
                      <w:lang w:val="en-US" w:eastAsia="zh-CN" w:bidi="ar-SA"/>
                    </w:rPr>
                    <w:t>+厂房阻隔</w:t>
                  </w:r>
                </w:p>
              </w:tc>
              <w:tc>
                <w:tcPr>
                  <w:tcW w:w="587" w:type="pct"/>
                  <w:tcBorders>
                    <w:tl2br w:val="nil"/>
                    <w:tr2bl w:val="nil"/>
                  </w:tcBorders>
                  <w:vAlign w:val="center"/>
                </w:tcPr>
                <w:p w14:paraId="10E8F3D0">
                  <w:pPr>
                    <w:spacing w:line="240" w:lineRule="exact"/>
                    <w:jc w:val="center"/>
                    <w:rPr>
                      <w:rFonts w:cs="Times New Roman"/>
                      <w:color w:val="auto"/>
                      <w:szCs w:val="21"/>
                    </w:rPr>
                  </w:pPr>
                  <w:r>
                    <w:rPr>
                      <w:rFonts w:cs="Times New Roman"/>
                      <w:color w:val="auto"/>
                      <w:szCs w:val="21"/>
                    </w:rPr>
                    <w:t>/</w:t>
                  </w:r>
                </w:p>
              </w:tc>
              <w:tc>
                <w:tcPr>
                  <w:tcW w:w="503" w:type="pct"/>
                  <w:tcBorders>
                    <w:tl2br w:val="nil"/>
                    <w:tr2bl w:val="nil"/>
                  </w:tcBorders>
                  <w:vAlign w:val="center"/>
                </w:tcPr>
                <w:p w14:paraId="118E4DE2">
                  <w:pPr>
                    <w:spacing w:line="240" w:lineRule="exact"/>
                    <w:jc w:val="center"/>
                    <w:rPr>
                      <w:rFonts w:cs="Times New Roman"/>
                      <w:color w:val="auto"/>
                      <w:szCs w:val="21"/>
                    </w:rPr>
                  </w:pPr>
                  <w:r>
                    <w:rPr>
                      <w:rFonts w:cs="Times New Roman"/>
                      <w:color w:val="auto"/>
                      <w:szCs w:val="21"/>
                    </w:rPr>
                    <w:t>90</w:t>
                  </w:r>
                </w:p>
              </w:tc>
              <w:tc>
                <w:tcPr>
                  <w:tcW w:w="695" w:type="pct"/>
                  <w:tcBorders>
                    <w:tl2br w:val="nil"/>
                    <w:tr2bl w:val="nil"/>
                  </w:tcBorders>
                  <w:vAlign w:val="center"/>
                </w:tcPr>
                <w:p w14:paraId="003BB8E5">
                  <w:pPr>
                    <w:spacing w:line="240" w:lineRule="exact"/>
                    <w:jc w:val="center"/>
                    <w:rPr>
                      <w:rFonts w:cs="Times New Roman"/>
                      <w:color w:val="auto"/>
                      <w:szCs w:val="21"/>
                    </w:rPr>
                  </w:pPr>
                  <w:r>
                    <w:rPr>
                      <w:rFonts w:cs="Times New Roman"/>
                      <w:color w:val="auto"/>
                      <w:szCs w:val="21"/>
                    </w:rPr>
                    <w:t>是</w:t>
                  </w:r>
                </w:p>
              </w:tc>
            </w:tr>
            <w:tr w14:paraId="2B7F112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603" w:hRule="atLeast"/>
                <w:jc w:val="center"/>
              </w:trPr>
              <w:tc>
                <w:tcPr>
                  <w:tcW w:w="617" w:type="pct"/>
                  <w:tcBorders>
                    <w:tl2br w:val="nil"/>
                    <w:tr2bl w:val="nil"/>
                  </w:tcBorders>
                  <w:vAlign w:val="center"/>
                </w:tcPr>
                <w:p w14:paraId="03E43443">
                  <w:pPr>
                    <w:spacing w:line="240" w:lineRule="exact"/>
                    <w:jc w:val="center"/>
                    <w:rPr>
                      <w:rFonts w:cs="Times New Roman"/>
                      <w:color w:val="auto"/>
                      <w:szCs w:val="21"/>
                    </w:rPr>
                  </w:pPr>
                  <w:r>
                    <w:rPr>
                      <w:rFonts w:cs="Times New Roman"/>
                      <w:color w:val="auto"/>
                      <w:szCs w:val="21"/>
                    </w:rPr>
                    <w:t>石材喷砂粉尘</w:t>
                  </w:r>
                </w:p>
              </w:tc>
              <w:tc>
                <w:tcPr>
                  <w:tcW w:w="613" w:type="pct"/>
                  <w:tcBorders>
                    <w:tl2br w:val="nil"/>
                    <w:tr2bl w:val="nil"/>
                  </w:tcBorders>
                  <w:vAlign w:val="center"/>
                </w:tcPr>
                <w:p w14:paraId="75436A31">
                  <w:pPr>
                    <w:spacing w:line="240" w:lineRule="exact"/>
                    <w:jc w:val="center"/>
                    <w:rPr>
                      <w:rFonts w:cs="Times New Roman"/>
                      <w:color w:val="auto"/>
                      <w:szCs w:val="21"/>
                    </w:rPr>
                  </w:pPr>
                  <w:r>
                    <w:rPr>
                      <w:rFonts w:cs="Times New Roman"/>
                      <w:color w:val="auto"/>
                      <w:szCs w:val="21"/>
                    </w:rPr>
                    <w:t>颗粒物</w:t>
                  </w:r>
                </w:p>
              </w:tc>
              <w:tc>
                <w:tcPr>
                  <w:tcW w:w="549" w:type="pct"/>
                  <w:tcBorders>
                    <w:tl2br w:val="nil"/>
                    <w:tr2bl w:val="nil"/>
                  </w:tcBorders>
                  <w:vAlign w:val="center"/>
                </w:tcPr>
                <w:p w14:paraId="18B0343C">
                  <w:pPr>
                    <w:spacing w:line="240" w:lineRule="exact"/>
                    <w:jc w:val="center"/>
                    <w:rPr>
                      <w:rFonts w:cs="Times New Roman"/>
                      <w:color w:val="auto"/>
                      <w:szCs w:val="21"/>
                    </w:rPr>
                  </w:pPr>
                  <w:r>
                    <w:rPr>
                      <w:rFonts w:cs="Times New Roman"/>
                      <w:color w:val="auto"/>
                      <w:szCs w:val="21"/>
                    </w:rPr>
                    <w:t>无组织</w:t>
                  </w:r>
                </w:p>
              </w:tc>
              <w:tc>
                <w:tcPr>
                  <w:tcW w:w="1434" w:type="pct"/>
                  <w:tcBorders>
                    <w:tl2br w:val="nil"/>
                    <w:tr2bl w:val="nil"/>
                  </w:tcBorders>
                  <w:vAlign w:val="center"/>
                </w:tcPr>
                <w:p w14:paraId="560CF9EF">
                  <w:pPr>
                    <w:spacing w:line="240" w:lineRule="exact"/>
                    <w:jc w:val="center"/>
                    <w:rPr>
                      <w:rFonts w:cs="Times New Roman"/>
                      <w:color w:val="auto"/>
                      <w:szCs w:val="21"/>
                    </w:rPr>
                  </w:pPr>
                  <w:r>
                    <w:rPr>
                      <w:rFonts w:hint="eastAsia" w:cs="Times New Roman"/>
                      <w:color w:val="auto"/>
                      <w:szCs w:val="21"/>
                    </w:rPr>
                    <w:t>布袋除尘装置+厂</w:t>
                  </w:r>
                  <w:r>
                    <w:rPr>
                      <w:rFonts w:cs="Times New Roman"/>
                      <w:color w:val="auto"/>
                      <w:szCs w:val="21"/>
                    </w:rPr>
                    <w:t>房阻隔</w:t>
                  </w:r>
                </w:p>
              </w:tc>
              <w:tc>
                <w:tcPr>
                  <w:tcW w:w="587" w:type="pct"/>
                  <w:tcBorders>
                    <w:tl2br w:val="nil"/>
                    <w:tr2bl w:val="nil"/>
                  </w:tcBorders>
                  <w:vAlign w:val="center"/>
                </w:tcPr>
                <w:p w14:paraId="5683C15C">
                  <w:pPr>
                    <w:spacing w:line="240" w:lineRule="exact"/>
                    <w:jc w:val="center"/>
                    <w:rPr>
                      <w:rFonts w:cs="Times New Roman"/>
                      <w:color w:val="auto"/>
                      <w:szCs w:val="21"/>
                    </w:rPr>
                  </w:pPr>
                  <w:r>
                    <w:rPr>
                      <w:rFonts w:hint="eastAsia" w:cs="Times New Roman"/>
                      <w:color w:val="auto"/>
                      <w:szCs w:val="21"/>
                    </w:rPr>
                    <w:t>90</w:t>
                  </w:r>
                </w:p>
              </w:tc>
              <w:tc>
                <w:tcPr>
                  <w:tcW w:w="503" w:type="pct"/>
                  <w:tcBorders>
                    <w:tl2br w:val="nil"/>
                    <w:tr2bl w:val="nil"/>
                  </w:tcBorders>
                  <w:vAlign w:val="center"/>
                </w:tcPr>
                <w:p w14:paraId="07007E34">
                  <w:pPr>
                    <w:spacing w:line="240" w:lineRule="exact"/>
                    <w:jc w:val="center"/>
                    <w:rPr>
                      <w:rFonts w:cs="Times New Roman"/>
                      <w:color w:val="auto"/>
                      <w:szCs w:val="21"/>
                    </w:rPr>
                  </w:pPr>
                  <w:r>
                    <w:rPr>
                      <w:rFonts w:hint="eastAsia" w:cs="Times New Roman"/>
                      <w:color w:val="auto"/>
                      <w:szCs w:val="21"/>
                    </w:rPr>
                    <w:t>98</w:t>
                  </w:r>
                </w:p>
              </w:tc>
              <w:tc>
                <w:tcPr>
                  <w:tcW w:w="695" w:type="pct"/>
                  <w:tcBorders>
                    <w:tl2br w:val="nil"/>
                    <w:tr2bl w:val="nil"/>
                  </w:tcBorders>
                  <w:vAlign w:val="center"/>
                </w:tcPr>
                <w:p w14:paraId="71A79AC1">
                  <w:pPr>
                    <w:spacing w:line="240" w:lineRule="exact"/>
                    <w:jc w:val="center"/>
                    <w:rPr>
                      <w:rFonts w:cs="Times New Roman"/>
                      <w:color w:val="auto"/>
                      <w:szCs w:val="21"/>
                    </w:rPr>
                  </w:pPr>
                  <w:r>
                    <w:rPr>
                      <w:rFonts w:cs="Times New Roman"/>
                      <w:color w:val="auto"/>
                      <w:szCs w:val="21"/>
                    </w:rPr>
                    <w:t>是</w:t>
                  </w:r>
                </w:p>
              </w:tc>
            </w:tr>
            <w:tr w14:paraId="5FECF3F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560" w:hRule="atLeast"/>
                <w:jc w:val="center"/>
              </w:trPr>
              <w:tc>
                <w:tcPr>
                  <w:tcW w:w="617" w:type="pct"/>
                  <w:tcBorders>
                    <w:tl2br w:val="nil"/>
                    <w:tr2bl w:val="nil"/>
                  </w:tcBorders>
                  <w:vAlign w:val="center"/>
                </w:tcPr>
                <w:p w14:paraId="082D00FC">
                  <w:pPr>
                    <w:spacing w:line="240" w:lineRule="exact"/>
                    <w:jc w:val="center"/>
                    <w:rPr>
                      <w:rFonts w:cs="Times New Roman"/>
                      <w:color w:val="auto"/>
                      <w:szCs w:val="21"/>
                    </w:rPr>
                  </w:pPr>
                  <w:r>
                    <w:rPr>
                      <w:rFonts w:cs="Times New Roman"/>
                      <w:color w:val="auto"/>
                      <w:szCs w:val="21"/>
                    </w:rPr>
                    <w:t>车辆运输扬尘</w:t>
                  </w:r>
                </w:p>
              </w:tc>
              <w:tc>
                <w:tcPr>
                  <w:tcW w:w="613" w:type="pct"/>
                  <w:tcBorders>
                    <w:tl2br w:val="nil"/>
                    <w:tr2bl w:val="nil"/>
                  </w:tcBorders>
                  <w:vAlign w:val="center"/>
                </w:tcPr>
                <w:p w14:paraId="67F30AE3">
                  <w:pPr>
                    <w:spacing w:line="240" w:lineRule="exact"/>
                    <w:jc w:val="center"/>
                    <w:rPr>
                      <w:rFonts w:cs="Times New Roman"/>
                      <w:color w:val="auto"/>
                      <w:szCs w:val="21"/>
                    </w:rPr>
                  </w:pPr>
                  <w:r>
                    <w:rPr>
                      <w:rFonts w:cs="Times New Roman"/>
                      <w:color w:val="auto"/>
                      <w:szCs w:val="21"/>
                    </w:rPr>
                    <w:t>颗粒物</w:t>
                  </w:r>
                </w:p>
              </w:tc>
              <w:tc>
                <w:tcPr>
                  <w:tcW w:w="549" w:type="pct"/>
                  <w:tcBorders>
                    <w:tl2br w:val="nil"/>
                    <w:tr2bl w:val="nil"/>
                  </w:tcBorders>
                  <w:vAlign w:val="center"/>
                </w:tcPr>
                <w:p w14:paraId="22E95395">
                  <w:pPr>
                    <w:spacing w:line="240" w:lineRule="exact"/>
                    <w:jc w:val="center"/>
                    <w:rPr>
                      <w:rFonts w:cs="Times New Roman"/>
                      <w:color w:val="auto"/>
                      <w:szCs w:val="21"/>
                    </w:rPr>
                  </w:pPr>
                  <w:r>
                    <w:rPr>
                      <w:rFonts w:cs="Times New Roman"/>
                      <w:color w:val="auto"/>
                      <w:szCs w:val="21"/>
                    </w:rPr>
                    <w:t>无组织</w:t>
                  </w:r>
                </w:p>
              </w:tc>
              <w:tc>
                <w:tcPr>
                  <w:tcW w:w="1434" w:type="pct"/>
                  <w:tcBorders>
                    <w:tl2br w:val="nil"/>
                    <w:tr2bl w:val="nil"/>
                  </w:tcBorders>
                  <w:vAlign w:val="center"/>
                </w:tcPr>
                <w:p w14:paraId="05B1EFF8">
                  <w:pPr>
                    <w:spacing w:line="240" w:lineRule="exact"/>
                    <w:jc w:val="center"/>
                    <w:rPr>
                      <w:rFonts w:cs="Times New Roman"/>
                      <w:color w:val="auto"/>
                      <w:szCs w:val="21"/>
                    </w:rPr>
                  </w:pPr>
                  <w:r>
                    <w:rPr>
                      <w:rFonts w:cs="Times New Roman"/>
                      <w:color w:val="auto"/>
                      <w:szCs w:val="21"/>
                    </w:rPr>
                    <w:t>地面硬化</w:t>
                  </w:r>
                  <w:r>
                    <w:rPr>
                      <w:rFonts w:hint="eastAsia" w:cs="Times New Roman"/>
                      <w:color w:val="auto"/>
                      <w:szCs w:val="21"/>
                      <w:lang w:val="en-US" w:eastAsia="zh-CN"/>
                    </w:rPr>
                    <w:t>+</w:t>
                  </w:r>
                  <w:r>
                    <w:rPr>
                      <w:rFonts w:hint="default" w:ascii="Times New Roman" w:hAnsi="Times New Roman" w:eastAsia="宋体" w:cs="Times New Roman"/>
                      <w:color w:val="auto"/>
                      <w:sz w:val="21"/>
                      <w:szCs w:val="21"/>
                      <w:highlight w:val="none"/>
                    </w:rPr>
                    <w:t>禁止超速、超载</w:t>
                  </w:r>
                  <w:r>
                    <w:rPr>
                      <w:rFonts w:hint="eastAsia"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rPr>
                    <w:t>洒水降尘等</w:t>
                  </w:r>
                </w:p>
              </w:tc>
              <w:tc>
                <w:tcPr>
                  <w:tcW w:w="587" w:type="pct"/>
                  <w:tcBorders>
                    <w:tl2br w:val="nil"/>
                    <w:tr2bl w:val="nil"/>
                  </w:tcBorders>
                  <w:vAlign w:val="center"/>
                </w:tcPr>
                <w:p w14:paraId="675B3097">
                  <w:pPr>
                    <w:spacing w:line="240" w:lineRule="exact"/>
                    <w:jc w:val="center"/>
                    <w:rPr>
                      <w:rFonts w:cs="Times New Roman"/>
                      <w:color w:val="auto"/>
                      <w:szCs w:val="21"/>
                    </w:rPr>
                  </w:pPr>
                  <w:r>
                    <w:rPr>
                      <w:rFonts w:cs="Times New Roman"/>
                      <w:color w:val="auto"/>
                      <w:szCs w:val="21"/>
                    </w:rPr>
                    <w:t>/</w:t>
                  </w:r>
                </w:p>
              </w:tc>
              <w:tc>
                <w:tcPr>
                  <w:tcW w:w="503" w:type="pct"/>
                  <w:tcBorders>
                    <w:tl2br w:val="nil"/>
                    <w:tr2bl w:val="nil"/>
                  </w:tcBorders>
                  <w:vAlign w:val="center"/>
                </w:tcPr>
                <w:p w14:paraId="4A729073">
                  <w:pPr>
                    <w:spacing w:line="240" w:lineRule="exact"/>
                    <w:jc w:val="center"/>
                    <w:rPr>
                      <w:rFonts w:cs="Times New Roman"/>
                      <w:color w:val="auto"/>
                      <w:szCs w:val="21"/>
                    </w:rPr>
                  </w:pPr>
                  <w:r>
                    <w:rPr>
                      <w:rFonts w:cs="Times New Roman"/>
                      <w:color w:val="auto"/>
                      <w:szCs w:val="21"/>
                    </w:rPr>
                    <w:t>80</w:t>
                  </w:r>
                </w:p>
              </w:tc>
              <w:tc>
                <w:tcPr>
                  <w:tcW w:w="695" w:type="pct"/>
                  <w:tcBorders>
                    <w:tl2br w:val="nil"/>
                    <w:tr2bl w:val="nil"/>
                  </w:tcBorders>
                  <w:vAlign w:val="center"/>
                </w:tcPr>
                <w:p w14:paraId="4E2907FB">
                  <w:pPr>
                    <w:spacing w:line="240" w:lineRule="exact"/>
                    <w:jc w:val="center"/>
                    <w:rPr>
                      <w:rFonts w:cs="Times New Roman"/>
                      <w:color w:val="auto"/>
                      <w:szCs w:val="21"/>
                    </w:rPr>
                  </w:pPr>
                  <w:r>
                    <w:rPr>
                      <w:rFonts w:cs="Times New Roman"/>
                      <w:color w:val="auto"/>
                      <w:szCs w:val="21"/>
                    </w:rPr>
                    <w:t>是</w:t>
                  </w:r>
                </w:p>
              </w:tc>
            </w:tr>
            <w:tr w14:paraId="7707BE3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626" w:hRule="atLeast"/>
                <w:jc w:val="center"/>
              </w:trPr>
              <w:tc>
                <w:tcPr>
                  <w:tcW w:w="617" w:type="pct"/>
                  <w:tcBorders>
                    <w:tl2br w:val="nil"/>
                    <w:tr2bl w:val="nil"/>
                  </w:tcBorders>
                  <w:vAlign w:val="center"/>
                </w:tcPr>
                <w:p w14:paraId="6EEB9D29">
                  <w:pPr>
                    <w:spacing w:line="240" w:lineRule="exact"/>
                    <w:jc w:val="center"/>
                    <w:rPr>
                      <w:rFonts w:cs="Times New Roman"/>
                      <w:color w:val="auto"/>
                      <w:szCs w:val="21"/>
                    </w:rPr>
                  </w:pPr>
                  <w:r>
                    <w:rPr>
                      <w:rFonts w:cs="Times New Roman"/>
                      <w:color w:val="auto"/>
                      <w:szCs w:val="21"/>
                    </w:rPr>
                    <w:t>食堂油烟</w:t>
                  </w:r>
                </w:p>
              </w:tc>
              <w:tc>
                <w:tcPr>
                  <w:tcW w:w="613" w:type="pct"/>
                  <w:tcBorders>
                    <w:tl2br w:val="nil"/>
                    <w:tr2bl w:val="nil"/>
                  </w:tcBorders>
                  <w:vAlign w:val="center"/>
                </w:tcPr>
                <w:p w14:paraId="4893DC04">
                  <w:pPr>
                    <w:spacing w:line="240" w:lineRule="exact"/>
                    <w:jc w:val="center"/>
                    <w:rPr>
                      <w:rFonts w:cs="Times New Roman"/>
                      <w:color w:val="auto"/>
                      <w:szCs w:val="21"/>
                    </w:rPr>
                  </w:pPr>
                  <w:r>
                    <w:rPr>
                      <w:rFonts w:cs="Times New Roman"/>
                      <w:color w:val="auto"/>
                      <w:szCs w:val="21"/>
                    </w:rPr>
                    <w:t>油烟废气</w:t>
                  </w:r>
                </w:p>
              </w:tc>
              <w:tc>
                <w:tcPr>
                  <w:tcW w:w="549" w:type="pct"/>
                  <w:tcBorders>
                    <w:tl2br w:val="nil"/>
                    <w:tr2bl w:val="nil"/>
                  </w:tcBorders>
                  <w:vAlign w:val="center"/>
                </w:tcPr>
                <w:p w14:paraId="44D935D5">
                  <w:pPr>
                    <w:spacing w:line="240" w:lineRule="exact"/>
                    <w:jc w:val="center"/>
                    <w:rPr>
                      <w:rFonts w:cs="Times New Roman"/>
                      <w:color w:val="auto"/>
                      <w:szCs w:val="21"/>
                    </w:rPr>
                  </w:pPr>
                  <w:r>
                    <w:rPr>
                      <w:rFonts w:cs="Times New Roman"/>
                      <w:color w:val="auto"/>
                      <w:szCs w:val="21"/>
                    </w:rPr>
                    <w:t>有组织</w:t>
                  </w:r>
                </w:p>
              </w:tc>
              <w:tc>
                <w:tcPr>
                  <w:tcW w:w="1434" w:type="pct"/>
                  <w:tcBorders>
                    <w:tl2br w:val="nil"/>
                    <w:tr2bl w:val="nil"/>
                  </w:tcBorders>
                  <w:vAlign w:val="center"/>
                </w:tcPr>
                <w:p w14:paraId="6607FBE0">
                  <w:pPr>
                    <w:spacing w:line="240" w:lineRule="exact"/>
                    <w:jc w:val="center"/>
                    <w:rPr>
                      <w:rFonts w:cs="Times New Roman"/>
                      <w:color w:val="auto"/>
                      <w:szCs w:val="21"/>
                    </w:rPr>
                  </w:pPr>
                  <w:r>
                    <w:rPr>
                      <w:rFonts w:cs="Times New Roman"/>
                      <w:color w:val="auto"/>
                      <w:szCs w:val="21"/>
                    </w:rPr>
                    <w:t>抽油烟机</w:t>
                  </w:r>
                </w:p>
              </w:tc>
              <w:tc>
                <w:tcPr>
                  <w:tcW w:w="587" w:type="pct"/>
                  <w:tcBorders>
                    <w:tl2br w:val="nil"/>
                    <w:tr2bl w:val="nil"/>
                  </w:tcBorders>
                  <w:vAlign w:val="center"/>
                </w:tcPr>
                <w:p w14:paraId="43DD3DBC">
                  <w:pPr>
                    <w:spacing w:line="240" w:lineRule="exact"/>
                    <w:jc w:val="center"/>
                    <w:rPr>
                      <w:rFonts w:cs="Times New Roman"/>
                      <w:color w:val="auto"/>
                      <w:szCs w:val="21"/>
                    </w:rPr>
                  </w:pPr>
                  <w:r>
                    <w:rPr>
                      <w:rFonts w:cs="Times New Roman"/>
                      <w:color w:val="auto"/>
                      <w:szCs w:val="21"/>
                    </w:rPr>
                    <w:t>/</w:t>
                  </w:r>
                </w:p>
              </w:tc>
              <w:tc>
                <w:tcPr>
                  <w:tcW w:w="503" w:type="pct"/>
                  <w:tcBorders>
                    <w:tl2br w:val="nil"/>
                    <w:tr2bl w:val="nil"/>
                  </w:tcBorders>
                  <w:vAlign w:val="center"/>
                </w:tcPr>
                <w:p w14:paraId="12A9D2D5">
                  <w:pPr>
                    <w:spacing w:line="240" w:lineRule="exact"/>
                    <w:jc w:val="center"/>
                    <w:rPr>
                      <w:rFonts w:cs="Times New Roman"/>
                      <w:color w:val="auto"/>
                      <w:szCs w:val="21"/>
                    </w:rPr>
                  </w:pPr>
                  <w:r>
                    <w:rPr>
                      <w:rFonts w:cs="Times New Roman"/>
                      <w:color w:val="auto"/>
                      <w:szCs w:val="21"/>
                    </w:rPr>
                    <w:t>60</w:t>
                  </w:r>
                </w:p>
              </w:tc>
              <w:tc>
                <w:tcPr>
                  <w:tcW w:w="695" w:type="pct"/>
                  <w:tcBorders>
                    <w:tl2br w:val="nil"/>
                    <w:tr2bl w:val="nil"/>
                  </w:tcBorders>
                  <w:vAlign w:val="center"/>
                </w:tcPr>
                <w:p w14:paraId="2BC4FB9F">
                  <w:pPr>
                    <w:spacing w:line="240" w:lineRule="exact"/>
                    <w:jc w:val="center"/>
                    <w:rPr>
                      <w:rFonts w:cs="Times New Roman"/>
                      <w:color w:val="auto"/>
                      <w:szCs w:val="21"/>
                    </w:rPr>
                  </w:pPr>
                  <w:r>
                    <w:rPr>
                      <w:rFonts w:cs="Times New Roman"/>
                      <w:color w:val="auto"/>
                      <w:szCs w:val="21"/>
                    </w:rPr>
                    <w:t>是</w:t>
                  </w:r>
                </w:p>
              </w:tc>
            </w:tr>
          </w:tbl>
          <w:p w14:paraId="17F57C74">
            <w:pPr>
              <w:pStyle w:val="20"/>
              <w:ind w:left="840" w:hanging="420"/>
              <w:rPr>
                <w:color w:val="auto"/>
              </w:rPr>
            </w:pPr>
          </w:p>
          <w:p w14:paraId="38D3C91A">
            <w:pPr>
              <w:rPr>
                <w:color w:val="auto"/>
              </w:rPr>
            </w:pPr>
          </w:p>
          <w:p w14:paraId="560BFAC5">
            <w:pPr>
              <w:rPr>
                <w:color w:val="auto"/>
              </w:rPr>
            </w:pPr>
          </w:p>
          <w:p w14:paraId="70425837">
            <w:pPr>
              <w:rPr>
                <w:color w:val="auto"/>
              </w:rPr>
            </w:pPr>
          </w:p>
        </w:tc>
      </w:tr>
    </w:tbl>
    <w:p w14:paraId="78A49649">
      <w:pPr>
        <w:rPr>
          <w:rFonts w:cs="Times New Roman"/>
          <w:b/>
          <w:color w:val="auto"/>
          <w:sz w:val="28"/>
          <w:szCs w:val="28"/>
        </w:rPr>
        <w:sectPr>
          <w:pgSz w:w="11906" w:h="16838"/>
          <w:pgMar w:top="1134" w:right="1134" w:bottom="1134" w:left="1418" w:header="851" w:footer="992" w:gutter="0"/>
          <w:pgBorders>
            <w:top w:val="none" w:sz="0" w:space="0"/>
            <w:left w:val="none" w:sz="0" w:space="0"/>
            <w:bottom w:val="none" w:sz="0" w:space="0"/>
            <w:right w:val="none" w:sz="0" w:space="0"/>
          </w:pgBorders>
          <w:pgNumType w:fmt="numberInDash"/>
          <w:cols w:space="720" w:num="1"/>
          <w:docGrid w:type="lines" w:linePitch="312" w:charSpace="0"/>
        </w:sectPr>
      </w:pPr>
    </w:p>
    <w:tbl>
      <w:tblPr>
        <w:tblStyle w:val="2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560"/>
      </w:tblGrid>
      <w:tr w14:paraId="6708A5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60" w:type="dxa"/>
          </w:tcPr>
          <w:p w14:paraId="0A4276A2">
            <w:pPr>
              <w:spacing w:line="360" w:lineRule="auto"/>
              <w:ind w:firstLine="361" w:firstLineChars="150"/>
              <w:rPr>
                <w:rFonts w:hint="default" w:ascii="Times New Roman" w:hAnsi="Times New Roman" w:cs="Times New Roman"/>
                <w:b/>
                <w:color w:val="auto"/>
                <w:sz w:val="24"/>
                <w:szCs w:val="24"/>
                <w:highlight w:val="none"/>
              </w:rPr>
            </w:pPr>
            <w:r>
              <w:rPr>
                <w:rFonts w:hint="default" w:ascii="Times New Roman" w:hAnsi="Times New Roman" w:cs="Times New Roman"/>
                <w:b/>
                <w:color w:val="auto"/>
                <w:sz w:val="24"/>
                <w:szCs w:val="24"/>
                <w:highlight w:val="none"/>
              </w:rPr>
              <w:t>（3）污染物排放信息</w:t>
            </w:r>
          </w:p>
          <w:p w14:paraId="4A56EB5F">
            <w:pPr>
              <w:spacing w:line="360" w:lineRule="auto"/>
              <w:ind w:firstLine="480" w:firstLineChars="200"/>
              <w:rPr>
                <w:rFonts w:hint="eastAsia" w:ascii="Times New Roman" w:hAnsi="Times New Roman" w:eastAsia="宋体" w:cs="Times New Roman"/>
                <w:color w:val="auto"/>
                <w:sz w:val="24"/>
                <w:szCs w:val="24"/>
                <w:highlight w:val="none"/>
                <w:lang w:eastAsia="zh-CN"/>
              </w:rPr>
            </w:pPr>
            <w:r>
              <w:rPr>
                <w:rFonts w:hint="default" w:ascii="Times New Roman" w:hAnsi="Times New Roman" w:cs="Times New Roman"/>
                <w:color w:val="auto"/>
                <w:sz w:val="24"/>
                <w:szCs w:val="24"/>
                <w:highlight w:val="none"/>
              </w:rPr>
              <w:t>本项目废气污染物排放信息见下表</w:t>
            </w:r>
            <w:r>
              <w:rPr>
                <w:rFonts w:hint="eastAsia" w:cs="Times New Roman"/>
                <w:color w:val="auto"/>
                <w:sz w:val="24"/>
                <w:szCs w:val="24"/>
                <w:highlight w:val="none"/>
                <w:lang w:eastAsia="zh-CN"/>
              </w:rPr>
              <w:t>：</w:t>
            </w:r>
          </w:p>
          <w:p w14:paraId="6EEEBD48">
            <w:pPr>
              <w:spacing w:line="360" w:lineRule="auto"/>
              <w:jc w:val="center"/>
              <w:rPr>
                <w:rFonts w:hint="default" w:ascii="Times New Roman" w:hAnsi="Times New Roman" w:eastAsia="宋体" w:cs="Times New Roman"/>
                <w:b/>
                <w:bCs w:val="0"/>
                <w:color w:val="auto"/>
                <w:sz w:val="24"/>
                <w:szCs w:val="24"/>
                <w:highlight w:val="none"/>
              </w:rPr>
            </w:pPr>
            <w:r>
              <w:rPr>
                <w:rFonts w:hint="default" w:ascii="Times New Roman" w:hAnsi="Times New Roman" w:eastAsia="宋体" w:cs="Times New Roman"/>
                <w:b/>
                <w:bCs w:val="0"/>
                <w:color w:val="auto"/>
                <w:sz w:val="24"/>
                <w:szCs w:val="24"/>
                <w:highlight w:val="none"/>
              </w:rPr>
              <w:t>表4</w:t>
            </w:r>
            <w:r>
              <w:rPr>
                <w:rFonts w:hint="eastAsia" w:ascii="Times New Roman" w:hAnsi="Times New Roman" w:eastAsia="宋体" w:cs="Times New Roman"/>
                <w:b/>
                <w:bCs w:val="0"/>
                <w:color w:val="auto"/>
                <w:sz w:val="24"/>
                <w:szCs w:val="24"/>
                <w:highlight w:val="none"/>
              </w:rPr>
              <w:t>-</w:t>
            </w:r>
            <w:r>
              <w:rPr>
                <w:rFonts w:hint="eastAsia" w:cs="Times New Roman"/>
                <w:b/>
                <w:bCs w:val="0"/>
                <w:color w:val="auto"/>
                <w:sz w:val="24"/>
                <w:szCs w:val="24"/>
                <w:highlight w:val="none"/>
                <w:lang w:val="en-US" w:eastAsia="zh-CN"/>
              </w:rPr>
              <w:t>5</w:t>
            </w:r>
            <w:r>
              <w:rPr>
                <w:rFonts w:hint="default" w:ascii="Times New Roman" w:hAnsi="Times New Roman" w:eastAsia="宋体" w:cs="Times New Roman"/>
                <w:b/>
                <w:bCs w:val="0"/>
                <w:color w:val="auto"/>
                <w:sz w:val="24"/>
                <w:szCs w:val="24"/>
                <w:highlight w:val="none"/>
              </w:rPr>
              <w:t xml:space="preserve">  </w:t>
            </w:r>
            <w:r>
              <w:rPr>
                <w:rFonts w:hint="eastAsia" w:ascii="Times New Roman" w:hAnsi="Times New Roman" w:eastAsia="宋体" w:cs="Times New Roman"/>
                <w:b/>
                <w:bCs w:val="0"/>
                <w:color w:val="auto"/>
                <w:sz w:val="24"/>
                <w:szCs w:val="24"/>
                <w:highlight w:val="none"/>
              </w:rPr>
              <w:t>废气污染物排放信息表</w:t>
            </w:r>
          </w:p>
          <w:tbl>
            <w:tblPr>
              <w:tblStyle w:val="24"/>
              <w:tblW w:w="4983"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
            <w:tblGrid>
              <w:gridCol w:w="699"/>
              <w:gridCol w:w="760"/>
              <w:gridCol w:w="877"/>
              <w:gridCol w:w="627"/>
              <w:gridCol w:w="1167"/>
              <w:gridCol w:w="644"/>
              <w:gridCol w:w="838"/>
              <w:gridCol w:w="913"/>
              <w:gridCol w:w="672"/>
              <w:gridCol w:w="736"/>
              <w:gridCol w:w="775"/>
              <w:gridCol w:w="779"/>
              <w:gridCol w:w="763"/>
              <w:gridCol w:w="808"/>
              <w:gridCol w:w="987"/>
              <w:gridCol w:w="613"/>
              <w:gridCol w:w="778"/>
              <w:gridCol w:w="862"/>
            </w:tblGrid>
            <w:tr w14:paraId="1B1D8F9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16" w:hRule="atLeast"/>
                <w:tblHeader/>
                <w:jc w:val="center"/>
              </w:trPr>
              <w:tc>
                <w:tcPr>
                  <w:tcW w:w="244" w:type="pct"/>
                  <w:vMerge w:val="restart"/>
                  <w:tcBorders>
                    <w:tl2br w:val="nil"/>
                    <w:tr2bl w:val="nil"/>
                  </w:tcBorders>
                  <w:noWrap w:val="0"/>
                  <w:vAlign w:val="center"/>
                </w:tcPr>
                <w:p w14:paraId="16EE7A71">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污染源</w:t>
                  </w:r>
                </w:p>
              </w:tc>
              <w:tc>
                <w:tcPr>
                  <w:tcW w:w="265" w:type="pct"/>
                  <w:vMerge w:val="restart"/>
                  <w:tcBorders>
                    <w:tl2br w:val="nil"/>
                    <w:tr2bl w:val="nil"/>
                  </w:tcBorders>
                  <w:noWrap w:val="0"/>
                  <w:vAlign w:val="center"/>
                </w:tcPr>
                <w:p w14:paraId="1F1C1D80">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污染物</w:t>
                  </w:r>
                </w:p>
              </w:tc>
              <w:tc>
                <w:tcPr>
                  <w:tcW w:w="306" w:type="pct"/>
                  <w:vMerge w:val="restart"/>
                  <w:tcBorders>
                    <w:tl2br w:val="nil"/>
                    <w:tr2bl w:val="nil"/>
                  </w:tcBorders>
                  <w:noWrap w:val="0"/>
                  <w:vAlign w:val="center"/>
                </w:tcPr>
                <w:p w14:paraId="07A8AEA8">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污染物产生量(t/a)</w:t>
                  </w:r>
                </w:p>
              </w:tc>
              <w:tc>
                <w:tcPr>
                  <w:tcW w:w="852" w:type="pct"/>
                  <w:gridSpan w:val="3"/>
                  <w:tcBorders>
                    <w:tl2br w:val="nil"/>
                    <w:tr2bl w:val="nil"/>
                  </w:tcBorders>
                  <w:noWrap w:val="0"/>
                  <w:vAlign w:val="center"/>
                </w:tcPr>
                <w:p w14:paraId="2ADFBACF">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治理措施</w:t>
                  </w:r>
                </w:p>
              </w:tc>
              <w:tc>
                <w:tcPr>
                  <w:tcW w:w="3330" w:type="pct"/>
                  <w:gridSpan w:val="12"/>
                  <w:tcBorders>
                    <w:tl2br w:val="nil"/>
                    <w:tr2bl w:val="nil"/>
                  </w:tcBorders>
                  <w:noWrap w:val="0"/>
                  <w:vAlign w:val="center"/>
                </w:tcPr>
                <w:p w14:paraId="39FCFA2C">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污染物排放</w:t>
                  </w:r>
                </w:p>
              </w:tc>
            </w:tr>
            <w:tr w14:paraId="42E130B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2" w:hRule="atLeast"/>
                <w:tblHeader/>
                <w:jc w:val="center"/>
              </w:trPr>
              <w:tc>
                <w:tcPr>
                  <w:tcW w:w="244" w:type="pct"/>
                  <w:vMerge w:val="continue"/>
                  <w:tcBorders>
                    <w:tl2br w:val="nil"/>
                    <w:tr2bl w:val="nil"/>
                  </w:tcBorders>
                  <w:noWrap w:val="0"/>
                  <w:vAlign w:val="center"/>
                </w:tcPr>
                <w:p w14:paraId="659E098E">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auto"/>
                      <w:sz w:val="21"/>
                      <w:szCs w:val="21"/>
                      <w:highlight w:val="none"/>
                    </w:rPr>
                  </w:pPr>
                </w:p>
              </w:tc>
              <w:tc>
                <w:tcPr>
                  <w:tcW w:w="265" w:type="pct"/>
                  <w:vMerge w:val="continue"/>
                  <w:tcBorders>
                    <w:tl2br w:val="nil"/>
                    <w:tr2bl w:val="nil"/>
                  </w:tcBorders>
                  <w:noWrap w:val="0"/>
                  <w:vAlign w:val="center"/>
                </w:tcPr>
                <w:p w14:paraId="422D96ED">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auto"/>
                      <w:sz w:val="21"/>
                      <w:szCs w:val="21"/>
                      <w:highlight w:val="none"/>
                    </w:rPr>
                  </w:pPr>
                </w:p>
              </w:tc>
              <w:tc>
                <w:tcPr>
                  <w:tcW w:w="306" w:type="pct"/>
                  <w:vMerge w:val="continue"/>
                  <w:tcBorders>
                    <w:tl2br w:val="nil"/>
                    <w:tr2bl w:val="nil"/>
                  </w:tcBorders>
                  <w:noWrap w:val="0"/>
                  <w:vAlign w:val="center"/>
                </w:tcPr>
                <w:p w14:paraId="52A8D4AD">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auto"/>
                      <w:sz w:val="21"/>
                      <w:szCs w:val="21"/>
                      <w:highlight w:val="none"/>
                    </w:rPr>
                  </w:pPr>
                </w:p>
              </w:tc>
              <w:tc>
                <w:tcPr>
                  <w:tcW w:w="219" w:type="pct"/>
                  <w:vMerge w:val="restart"/>
                  <w:tcBorders>
                    <w:tl2br w:val="nil"/>
                    <w:tr2bl w:val="nil"/>
                  </w:tcBorders>
                  <w:noWrap w:val="0"/>
                  <w:vAlign w:val="center"/>
                </w:tcPr>
                <w:p w14:paraId="23BFC5E9">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收集效率(%)</w:t>
                  </w:r>
                </w:p>
              </w:tc>
              <w:tc>
                <w:tcPr>
                  <w:tcW w:w="408" w:type="pct"/>
                  <w:vMerge w:val="restart"/>
                  <w:tcBorders>
                    <w:tl2br w:val="nil"/>
                    <w:tr2bl w:val="nil"/>
                  </w:tcBorders>
                  <w:noWrap w:val="0"/>
                  <w:vAlign w:val="center"/>
                </w:tcPr>
                <w:p w14:paraId="17C9B984">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治理工艺</w:t>
                  </w:r>
                </w:p>
              </w:tc>
              <w:tc>
                <w:tcPr>
                  <w:tcW w:w="225" w:type="pct"/>
                  <w:vMerge w:val="restart"/>
                  <w:tcBorders>
                    <w:tl2br w:val="nil"/>
                    <w:tr2bl w:val="nil"/>
                  </w:tcBorders>
                  <w:noWrap w:val="0"/>
                  <w:vAlign w:val="center"/>
                </w:tcPr>
                <w:p w14:paraId="62FA0D7C">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去除效率(%)</w:t>
                  </w:r>
                </w:p>
              </w:tc>
              <w:tc>
                <w:tcPr>
                  <w:tcW w:w="1104" w:type="pct"/>
                  <w:gridSpan w:val="4"/>
                  <w:tcBorders>
                    <w:tl2br w:val="nil"/>
                    <w:tr2bl w:val="nil"/>
                  </w:tcBorders>
                  <w:noWrap w:val="0"/>
                  <w:vAlign w:val="center"/>
                </w:tcPr>
                <w:p w14:paraId="181910D2">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有组织</w:t>
                  </w:r>
                </w:p>
              </w:tc>
              <w:tc>
                <w:tcPr>
                  <w:tcW w:w="543" w:type="pct"/>
                  <w:gridSpan w:val="2"/>
                  <w:tcBorders>
                    <w:tl2br w:val="nil"/>
                    <w:tr2bl w:val="nil"/>
                  </w:tcBorders>
                  <w:noWrap w:val="0"/>
                  <w:vAlign w:val="center"/>
                </w:tcPr>
                <w:p w14:paraId="12D802A1">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无组织</w:t>
                  </w:r>
                </w:p>
              </w:tc>
              <w:tc>
                <w:tcPr>
                  <w:tcW w:w="266" w:type="pct"/>
                  <w:vMerge w:val="restart"/>
                  <w:tcBorders>
                    <w:tl2br w:val="nil"/>
                    <w:tr2bl w:val="nil"/>
                  </w:tcBorders>
                  <w:noWrap w:val="0"/>
                  <w:vAlign w:val="center"/>
                </w:tcPr>
                <w:p w14:paraId="6B760C9E">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排放时间</w:t>
                  </w:r>
                </w:p>
              </w:tc>
              <w:tc>
                <w:tcPr>
                  <w:tcW w:w="282" w:type="pct"/>
                  <w:vMerge w:val="restart"/>
                  <w:tcBorders>
                    <w:tl2br w:val="nil"/>
                    <w:tr2bl w:val="nil"/>
                  </w:tcBorders>
                  <w:noWrap w:val="0"/>
                  <w:vAlign w:val="center"/>
                </w:tcPr>
                <w:p w14:paraId="2E3BE7BC">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排气筒编号</w:t>
                  </w:r>
                </w:p>
              </w:tc>
              <w:tc>
                <w:tcPr>
                  <w:tcW w:w="345" w:type="pct"/>
                  <w:vMerge w:val="restart"/>
                  <w:tcBorders>
                    <w:tl2br w:val="nil"/>
                    <w:tr2bl w:val="nil"/>
                  </w:tcBorders>
                  <w:noWrap w:val="0"/>
                  <w:vAlign w:val="center"/>
                </w:tcPr>
                <w:p w14:paraId="3439CE91">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排放口类型</w:t>
                  </w:r>
                </w:p>
              </w:tc>
              <w:tc>
                <w:tcPr>
                  <w:tcW w:w="787" w:type="pct"/>
                  <w:gridSpan w:val="3"/>
                  <w:tcBorders>
                    <w:tl2br w:val="nil"/>
                    <w:tr2bl w:val="nil"/>
                  </w:tcBorders>
                  <w:noWrap w:val="0"/>
                  <w:vAlign w:val="center"/>
                </w:tcPr>
                <w:p w14:paraId="0065221E">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排放标准</w:t>
                  </w:r>
                </w:p>
              </w:tc>
            </w:tr>
            <w:tr w14:paraId="59A77CC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2" w:hRule="atLeast"/>
                <w:tblHeader/>
                <w:jc w:val="center"/>
              </w:trPr>
              <w:tc>
                <w:tcPr>
                  <w:tcW w:w="244" w:type="pct"/>
                  <w:vMerge w:val="continue"/>
                  <w:tcBorders>
                    <w:tl2br w:val="nil"/>
                    <w:tr2bl w:val="nil"/>
                  </w:tcBorders>
                  <w:noWrap w:val="0"/>
                  <w:vAlign w:val="center"/>
                </w:tcPr>
                <w:p w14:paraId="7961E80C">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auto"/>
                      <w:sz w:val="21"/>
                      <w:szCs w:val="21"/>
                      <w:highlight w:val="none"/>
                    </w:rPr>
                  </w:pPr>
                </w:p>
              </w:tc>
              <w:tc>
                <w:tcPr>
                  <w:tcW w:w="265" w:type="pct"/>
                  <w:vMerge w:val="continue"/>
                  <w:tcBorders>
                    <w:tl2br w:val="nil"/>
                    <w:tr2bl w:val="nil"/>
                  </w:tcBorders>
                  <w:noWrap w:val="0"/>
                  <w:vAlign w:val="center"/>
                </w:tcPr>
                <w:p w14:paraId="1EB7A0E7">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auto"/>
                      <w:sz w:val="21"/>
                      <w:szCs w:val="21"/>
                      <w:highlight w:val="none"/>
                    </w:rPr>
                  </w:pPr>
                </w:p>
              </w:tc>
              <w:tc>
                <w:tcPr>
                  <w:tcW w:w="306" w:type="pct"/>
                  <w:vMerge w:val="continue"/>
                  <w:tcBorders>
                    <w:tl2br w:val="nil"/>
                    <w:tr2bl w:val="nil"/>
                  </w:tcBorders>
                  <w:noWrap w:val="0"/>
                  <w:vAlign w:val="center"/>
                </w:tcPr>
                <w:p w14:paraId="1C5C2D44">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auto"/>
                      <w:sz w:val="21"/>
                      <w:szCs w:val="21"/>
                      <w:highlight w:val="none"/>
                    </w:rPr>
                  </w:pPr>
                </w:p>
              </w:tc>
              <w:tc>
                <w:tcPr>
                  <w:tcW w:w="219" w:type="pct"/>
                  <w:vMerge w:val="continue"/>
                  <w:tcBorders>
                    <w:tl2br w:val="nil"/>
                    <w:tr2bl w:val="nil"/>
                  </w:tcBorders>
                  <w:noWrap w:val="0"/>
                  <w:vAlign w:val="center"/>
                </w:tcPr>
                <w:p w14:paraId="03D728C7">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auto"/>
                      <w:sz w:val="21"/>
                      <w:szCs w:val="21"/>
                      <w:highlight w:val="none"/>
                    </w:rPr>
                  </w:pPr>
                </w:p>
              </w:tc>
              <w:tc>
                <w:tcPr>
                  <w:tcW w:w="408" w:type="pct"/>
                  <w:vMerge w:val="continue"/>
                  <w:tcBorders>
                    <w:tl2br w:val="nil"/>
                    <w:tr2bl w:val="nil"/>
                  </w:tcBorders>
                  <w:noWrap w:val="0"/>
                  <w:vAlign w:val="center"/>
                </w:tcPr>
                <w:p w14:paraId="341418FE">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auto"/>
                      <w:sz w:val="21"/>
                      <w:szCs w:val="21"/>
                      <w:highlight w:val="none"/>
                    </w:rPr>
                  </w:pPr>
                </w:p>
              </w:tc>
              <w:tc>
                <w:tcPr>
                  <w:tcW w:w="225" w:type="pct"/>
                  <w:vMerge w:val="continue"/>
                  <w:tcBorders>
                    <w:tl2br w:val="nil"/>
                    <w:tr2bl w:val="nil"/>
                  </w:tcBorders>
                  <w:noWrap w:val="0"/>
                  <w:vAlign w:val="center"/>
                </w:tcPr>
                <w:p w14:paraId="4DE9DF25">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auto"/>
                      <w:sz w:val="21"/>
                      <w:szCs w:val="21"/>
                      <w:highlight w:val="none"/>
                    </w:rPr>
                  </w:pPr>
                </w:p>
              </w:tc>
              <w:tc>
                <w:tcPr>
                  <w:tcW w:w="293" w:type="pct"/>
                  <w:vMerge w:val="restart"/>
                  <w:tcBorders>
                    <w:tl2br w:val="nil"/>
                    <w:tr2bl w:val="nil"/>
                  </w:tcBorders>
                  <w:noWrap w:val="0"/>
                  <w:vAlign w:val="center"/>
                </w:tcPr>
                <w:p w14:paraId="35EDFB24">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废气量(m</w:t>
                  </w:r>
                  <w:r>
                    <w:rPr>
                      <w:rFonts w:hint="default" w:ascii="Times New Roman" w:hAnsi="Times New Roman" w:cs="Times New Roman"/>
                      <w:b/>
                      <w:bCs/>
                      <w:color w:val="auto"/>
                      <w:sz w:val="21"/>
                      <w:szCs w:val="21"/>
                      <w:highlight w:val="none"/>
                      <w:vertAlign w:val="superscript"/>
                    </w:rPr>
                    <w:t>3</w:t>
                  </w:r>
                  <w:r>
                    <w:rPr>
                      <w:rFonts w:hint="default" w:ascii="Times New Roman" w:hAnsi="Times New Roman" w:cs="Times New Roman"/>
                      <w:b/>
                      <w:bCs/>
                      <w:color w:val="auto"/>
                      <w:sz w:val="21"/>
                      <w:szCs w:val="21"/>
                      <w:highlight w:val="none"/>
                    </w:rPr>
                    <w:t>/h)</w:t>
                  </w:r>
                </w:p>
              </w:tc>
              <w:tc>
                <w:tcPr>
                  <w:tcW w:w="319" w:type="pct"/>
                  <w:vMerge w:val="restart"/>
                  <w:tcBorders>
                    <w:tl2br w:val="nil"/>
                    <w:tr2bl w:val="nil"/>
                  </w:tcBorders>
                  <w:noWrap w:val="0"/>
                  <w:vAlign w:val="center"/>
                </w:tcPr>
                <w:p w14:paraId="4A686C30">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浓度(mg/m</w:t>
                  </w:r>
                  <w:r>
                    <w:rPr>
                      <w:rFonts w:hint="default" w:ascii="Times New Roman" w:hAnsi="Times New Roman" w:cs="Times New Roman"/>
                      <w:b/>
                      <w:bCs/>
                      <w:color w:val="auto"/>
                      <w:sz w:val="21"/>
                      <w:szCs w:val="21"/>
                      <w:highlight w:val="none"/>
                      <w:vertAlign w:val="superscript"/>
                    </w:rPr>
                    <w:t>3</w:t>
                  </w:r>
                  <w:r>
                    <w:rPr>
                      <w:rFonts w:hint="default" w:ascii="Times New Roman" w:hAnsi="Times New Roman" w:cs="Times New Roman"/>
                      <w:b/>
                      <w:bCs/>
                      <w:color w:val="auto"/>
                      <w:sz w:val="21"/>
                      <w:szCs w:val="21"/>
                      <w:highlight w:val="none"/>
                    </w:rPr>
                    <w:t>)</w:t>
                  </w:r>
                </w:p>
              </w:tc>
              <w:tc>
                <w:tcPr>
                  <w:tcW w:w="492" w:type="pct"/>
                  <w:gridSpan w:val="2"/>
                  <w:tcBorders>
                    <w:tl2br w:val="nil"/>
                    <w:tr2bl w:val="nil"/>
                  </w:tcBorders>
                  <w:noWrap w:val="0"/>
                  <w:vAlign w:val="center"/>
                </w:tcPr>
                <w:p w14:paraId="50D8A357">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排放量</w:t>
                  </w:r>
                </w:p>
              </w:tc>
              <w:tc>
                <w:tcPr>
                  <w:tcW w:w="543" w:type="pct"/>
                  <w:gridSpan w:val="2"/>
                  <w:tcBorders>
                    <w:tl2br w:val="nil"/>
                    <w:tr2bl w:val="nil"/>
                  </w:tcBorders>
                  <w:noWrap w:val="0"/>
                  <w:vAlign w:val="center"/>
                </w:tcPr>
                <w:p w14:paraId="38698542">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排放量</w:t>
                  </w:r>
                </w:p>
              </w:tc>
              <w:tc>
                <w:tcPr>
                  <w:tcW w:w="266" w:type="pct"/>
                  <w:vMerge w:val="continue"/>
                  <w:tcBorders>
                    <w:tl2br w:val="nil"/>
                    <w:tr2bl w:val="nil"/>
                  </w:tcBorders>
                  <w:noWrap w:val="0"/>
                  <w:vAlign w:val="center"/>
                </w:tcPr>
                <w:p w14:paraId="71962693">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auto"/>
                      <w:sz w:val="21"/>
                      <w:szCs w:val="21"/>
                      <w:highlight w:val="none"/>
                    </w:rPr>
                  </w:pPr>
                </w:p>
              </w:tc>
              <w:tc>
                <w:tcPr>
                  <w:tcW w:w="282" w:type="pct"/>
                  <w:vMerge w:val="continue"/>
                  <w:tcBorders>
                    <w:tl2br w:val="nil"/>
                    <w:tr2bl w:val="nil"/>
                  </w:tcBorders>
                  <w:noWrap w:val="0"/>
                  <w:vAlign w:val="center"/>
                </w:tcPr>
                <w:p w14:paraId="35857675">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auto"/>
                      <w:sz w:val="21"/>
                      <w:szCs w:val="21"/>
                      <w:highlight w:val="none"/>
                    </w:rPr>
                  </w:pPr>
                </w:p>
              </w:tc>
              <w:tc>
                <w:tcPr>
                  <w:tcW w:w="345" w:type="pct"/>
                  <w:vMerge w:val="continue"/>
                  <w:tcBorders>
                    <w:tl2br w:val="nil"/>
                    <w:tr2bl w:val="nil"/>
                  </w:tcBorders>
                  <w:noWrap w:val="0"/>
                  <w:vAlign w:val="center"/>
                </w:tcPr>
                <w:p w14:paraId="52F74BE6">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auto"/>
                      <w:sz w:val="21"/>
                      <w:szCs w:val="21"/>
                      <w:highlight w:val="none"/>
                    </w:rPr>
                  </w:pPr>
                </w:p>
              </w:tc>
              <w:tc>
                <w:tcPr>
                  <w:tcW w:w="486" w:type="pct"/>
                  <w:gridSpan w:val="2"/>
                  <w:tcBorders>
                    <w:tl2br w:val="nil"/>
                    <w:tr2bl w:val="nil"/>
                  </w:tcBorders>
                  <w:noWrap w:val="0"/>
                  <w:vAlign w:val="center"/>
                </w:tcPr>
                <w:p w14:paraId="10230555">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有组织</w:t>
                  </w:r>
                </w:p>
              </w:tc>
              <w:tc>
                <w:tcPr>
                  <w:tcW w:w="301" w:type="pct"/>
                  <w:tcBorders>
                    <w:tl2br w:val="nil"/>
                    <w:tr2bl w:val="nil"/>
                  </w:tcBorders>
                  <w:noWrap w:val="0"/>
                  <w:vAlign w:val="center"/>
                </w:tcPr>
                <w:p w14:paraId="5EAFE3D1">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无组织</w:t>
                  </w:r>
                </w:p>
              </w:tc>
            </w:tr>
            <w:tr w14:paraId="08D46AF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2" w:hRule="atLeast"/>
                <w:tblHeader/>
                <w:jc w:val="center"/>
              </w:trPr>
              <w:tc>
                <w:tcPr>
                  <w:tcW w:w="244" w:type="pct"/>
                  <w:vMerge w:val="continue"/>
                  <w:tcBorders>
                    <w:tl2br w:val="nil"/>
                    <w:tr2bl w:val="nil"/>
                  </w:tcBorders>
                  <w:noWrap w:val="0"/>
                  <w:vAlign w:val="center"/>
                </w:tcPr>
                <w:p w14:paraId="6AFD2C91">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auto"/>
                      <w:sz w:val="21"/>
                      <w:szCs w:val="21"/>
                      <w:highlight w:val="none"/>
                    </w:rPr>
                  </w:pPr>
                </w:p>
              </w:tc>
              <w:tc>
                <w:tcPr>
                  <w:tcW w:w="265" w:type="pct"/>
                  <w:vMerge w:val="continue"/>
                  <w:tcBorders>
                    <w:tl2br w:val="nil"/>
                    <w:tr2bl w:val="nil"/>
                  </w:tcBorders>
                  <w:noWrap w:val="0"/>
                  <w:vAlign w:val="center"/>
                </w:tcPr>
                <w:p w14:paraId="34333755">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auto"/>
                      <w:sz w:val="21"/>
                      <w:szCs w:val="21"/>
                      <w:highlight w:val="none"/>
                    </w:rPr>
                  </w:pPr>
                </w:p>
              </w:tc>
              <w:tc>
                <w:tcPr>
                  <w:tcW w:w="306" w:type="pct"/>
                  <w:vMerge w:val="continue"/>
                  <w:tcBorders>
                    <w:tl2br w:val="nil"/>
                    <w:tr2bl w:val="nil"/>
                  </w:tcBorders>
                  <w:noWrap w:val="0"/>
                  <w:vAlign w:val="center"/>
                </w:tcPr>
                <w:p w14:paraId="7C11454A">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auto"/>
                      <w:sz w:val="21"/>
                      <w:szCs w:val="21"/>
                      <w:highlight w:val="none"/>
                    </w:rPr>
                  </w:pPr>
                </w:p>
              </w:tc>
              <w:tc>
                <w:tcPr>
                  <w:tcW w:w="219" w:type="pct"/>
                  <w:vMerge w:val="continue"/>
                  <w:tcBorders>
                    <w:tl2br w:val="nil"/>
                    <w:tr2bl w:val="nil"/>
                  </w:tcBorders>
                  <w:noWrap w:val="0"/>
                  <w:vAlign w:val="center"/>
                </w:tcPr>
                <w:p w14:paraId="0ED27606">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auto"/>
                      <w:sz w:val="21"/>
                      <w:szCs w:val="21"/>
                      <w:highlight w:val="none"/>
                    </w:rPr>
                  </w:pPr>
                </w:p>
              </w:tc>
              <w:tc>
                <w:tcPr>
                  <w:tcW w:w="408" w:type="pct"/>
                  <w:vMerge w:val="continue"/>
                  <w:tcBorders>
                    <w:tl2br w:val="nil"/>
                    <w:tr2bl w:val="nil"/>
                  </w:tcBorders>
                  <w:noWrap w:val="0"/>
                  <w:vAlign w:val="center"/>
                </w:tcPr>
                <w:p w14:paraId="4975C228">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auto"/>
                      <w:sz w:val="21"/>
                      <w:szCs w:val="21"/>
                      <w:highlight w:val="none"/>
                    </w:rPr>
                  </w:pPr>
                </w:p>
              </w:tc>
              <w:tc>
                <w:tcPr>
                  <w:tcW w:w="225" w:type="pct"/>
                  <w:vMerge w:val="continue"/>
                  <w:tcBorders>
                    <w:tl2br w:val="nil"/>
                    <w:tr2bl w:val="nil"/>
                  </w:tcBorders>
                  <w:noWrap w:val="0"/>
                  <w:vAlign w:val="center"/>
                </w:tcPr>
                <w:p w14:paraId="45848861">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auto"/>
                      <w:sz w:val="21"/>
                      <w:szCs w:val="21"/>
                      <w:highlight w:val="none"/>
                    </w:rPr>
                  </w:pPr>
                </w:p>
              </w:tc>
              <w:tc>
                <w:tcPr>
                  <w:tcW w:w="293" w:type="pct"/>
                  <w:vMerge w:val="continue"/>
                  <w:tcBorders>
                    <w:tl2br w:val="nil"/>
                    <w:tr2bl w:val="nil"/>
                  </w:tcBorders>
                  <w:noWrap w:val="0"/>
                  <w:vAlign w:val="center"/>
                </w:tcPr>
                <w:p w14:paraId="149C51F3">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auto"/>
                      <w:sz w:val="21"/>
                      <w:szCs w:val="21"/>
                      <w:highlight w:val="none"/>
                    </w:rPr>
                  </w:pPr>
                </w:p>
              </w:tc>
              <w:tc>
                <w:tcPr>
                  <w:tcW w:w="319" w:type="pct"/>
                  <w:vMerge w:val="continue"/>
                  <w:tcBorders>
                    <w:tl2br w:val="nil"/>
                    <w:tr2bl w:val="nil"/>
                  </w:tcBorders>
                  <w:noWrap w:val="0"/>
                  <w:vAlign w:val="center"/>
                </w:tcPr>
                <w:p w14:paraId="192D8342">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auto"/>
                      <w:sz w:val="21"/>
                      <w:szCs w:val="21"/>
                      <w:highlight w:val="none"/>
                    </w:rPr>
                  </w:pPr>
                </w:p>
              </w:tc>
              <w:tc>
                <w:tcPr>
                  <w:tcW w:w="234" w:type="pct"/>
                  <w:tcBorders>
                    <w:tl2br w:val="nil"/>
                    <w:tr2bl w:val="nil"/>
                  </w:tcBorders>
                  <w:noWrap w:val="0"/>
                  <w:vAlign w:val="center"/>
                </w:tcPr>
                <w:p w14:paraId="036979A8">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kg/h</w:t>
                  </w:r>
                </w:p>
              </w:tc>
              <w:tc>
                <w:tcPr>
                  <w:tcW w:w="257" w:type="pct"/>
                  <w:tcBorders>
                    <w:tl2br w:val="nil"/>
                    <w:tr2bl w:val="nil"/>
                  </w:tcBorders>
                  <w:noWrap w:val="0"/>
                  <w:vAlign w:val="center"/>
                </w:tcPr>
                <w:p w14:paraId="27745AE9">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t/a</w:t>
                  </w:r>
                </w:p>
              </w:tc>
              <w:tc>
                <w:tcPr>
                  <w:tcW w:w="271" w:type="pct"/>
                  <w:tcBorders>
                    <w:tl2br w:val="nil"/>
                    <w:tr2bl w:val="nil"/>
                  </w:tcBorders>
                  <w:noWrap w:val="0"/>
                  <w:vAlign w:val="center"/>
                </w:tcPr>
                <w:p w14:paraId="7AAAE67A">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kg/h</w:t>
                  </w:r>
                </w:p>
              </w:tc>
              <w:tc>
                <w:tcPr>
                  <w:tcW w:w="272" w:type="pct"/>
                  <w:tcBorders>
                    <w:tl2br w:val="nil"/>
                    <w:tr2bl w:val="nil"/>
                  </w:tcBorders>
                  <w:noWrap w:val="0"/>
                  <w:vAlign w:val="center"/>
                </w:tcPr>
                <w:p w14:paraId="065397CE">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t/a</w:t>
                  </w:r>
                </w:p>
              </w:tc>
              <w:tc>
                <w:tcPr>
                  <w:tcW w:w="266" w:type="pct"/>
                  <w:tcBorders>
                    <w:tl2br w:val="nil"/>
                    <w:tr2bl w:val="nil"/>
                  </w:tcBorders>
                  <w:noWrap w:val="0"/>
                  <w:vAlign w:val="center"/>
                </w:tcPr>
                <w:p w14:paraId="38D3832F">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h</w:t>
                  </w:r>
                </w:p>
              </w:tc>
              <w:tc>
                <w:tcPr>
                  <w:tcW w:w="282" w:type="pct"/>
                  <w:vMerge w:val="continue"/>
                  <w:tcBorders>
                    <w:tl2br w:val="nil"/>
                    <w:tr2bl w:val="nil"/>
                  </w:tcBorders>
                  <w:noWrap w:val="0"/>
                  <w:vAlign w:val="center"/>
                </w:tcPr>
                <w:p w14:paraId="0B40603D">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auto"/>
                      <w:sz w:val="21"/>
                      <w:szCs w:val="21"/>
                      <w:highlight w:val="none"/>
                    </w:rPr>
                  </w:pPr>
                </w:p>
              </w:tc>
              <w:tc>
                <w:tcPr>
                  <w:tcW w:w="345" w:type="pct"/>
                  <w:vMerge w:val="continue"/>
                  <w:tcBorders>
                    <w:tl2br w:val="nil"/>
                    <w:tr2bl w:val="nil"/>
                  </w:tcBorders>
                  <w:noWrap w:val="0"/>
                  <w:vAlign w:val="center"/>
                </w:tcPr>
                <w:p w14:paraId="0DED5DEC">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auto"/>
                      <w:sz w:val="21"/>
                      <w:szCs w:val="21"/>
                      <w:highlight w:val="none"/>
                    </w:rPr>
                  </w:pPr>
                </w:p>
              </w:tc>
              <w:tc>
                <w:tcPr>
                  <w:tcW w:w="214" w:type="pct"/>
                  <w:tcBorders>
                    <w:tl2br w:val="nil"/>
                    <w:tr2bl w:val="nil"/>
                  </w:tcBorders>
                  <w:noWrap w:val="0"/>
                  <w:vAlign w:val="center"/>
                </w:tcPr>
                <w:p w14:paraId="0923303B">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kg/h</w:t>
                  </w:r>
                </w:p>
              </w:tc>
              <w:tc>
                <w:tcPr>
                  <w:tcW w:w="272" w:type="pct"/>
                  <w:tcBorders>
                    <w:tl2br w:val="nil"/>
                    <w:tr2bl w:val="nil"/>
                  </w:tcBorders>
                  <w:noWrap w:val="0"/>
                  <w:vAlign w:val="center"/>
                </w:tcPr>
                <w:p w14:paraId="4ACFC0CA">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mg/m</w:t>
                  </w:r>
                  <w:r>
                    <w:rPr>
                      <w:rFonts w:hint="default" w:ascii="Times New Roman" w:hAnsi="Times New Roman" w:cs="Times New Roman"/>
                      <w:b/>
                      <w:bCs/>
                      <w:color w:val="auto"/>
                      <w:sz w:val="21"/>
                      <w:szCs w:val="21"/>
                      <w:highlight w:val="none"/>
                      <w:vertAlign w:val="superscript"/>
                    </w:rPr>
                    <w:t>3</w:t>
                  </w:r>
                </w:p>
              </w:tc>
              <w:tc>
                <w:tcPr>
                  <w:tcW w:w="301" w:type="pct"/>
                  <w:tcBorders>
                    <w:tl2br w:val="nil"/>
                    <w:tr2bl w:val="nil"/>
                  </w:tcBorders>
                  <w:noWrap w:val="0"/>
                  <w:vAlign w:val="center"/>
                </w:tcPr>
                <w:p w14:paraId="1A54CF28">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mg/m</w:t>
                  </w:r>
                  <w:r>
                    <w:rPr>
                      <w:rFonts w:hint="default" w:ascii="Times New Roman" w:hAnsi="Times New Roman" w:cs="Times New Roman"/>
                      <w:b/>
                      <w:bCs/>
                      <w:color w:val="auto"/>
                      <w:sz w:val="21"/>
                      <w:szCs w:val="21"/>
                      <w:highlight w:val="none"/>
                      <w:vertAlign w:val="superscript"/>
                    </w:rPr>
                    <w:t>3</w:t>
                  </w:r>
                </w:p>
              </w:tc>
            </w:tr>
            <w:tr w14:paraId="50CF7CD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774" w:hRule="atLeast"/>
                <w:jc w:val="center"/>
              </w:trPr>
              <w:tc>
                <w:tcPr>
                  <w:tcW w:w="244" w:type="pct"/>
                  <w:tcBorders>
                    <w:tl2br w:val="nil"/>
                    <w:tr2bl w:val="nil"/>
                  </w:tcBorders>
                  <w:noWrap w:val="0"/>
                  <w:vAlign w:val="center"/>
                </w:tcPr>
                <w:p w14:paraId="400B52A3">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石材加工粉尘</w:t>
                  </w:r>
                </w:p>
              </w:tc>
              <w:tc>
                <w:tcPr>
                  <w:tcW w:w="265" w:type="pct"/>
                  <w:tcBorders>
                    <w:tl2br w:val="nil"/>
                    <w:tr2bl w:val="nil"/>
                  </w:tcBorders>
                  <w:noWrap w:val="0"/>
                  <w:vAlign w:val="center"/>
                </w:tcPr>
                <w:p w14:paraId="0FEE1C00">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颗粒物</w:t>
                  </w:r>
                </w:p>
              </w:tc>
              <w:tc>
                <w:tcPr>
                  <w:tcW w:w="306" w:type="pct"/>
                  <w:tcBorders>
                    <w:tl2br w:val="nil"/>
                    <w:tr2bl w:val="nil"/>
                  </w:tcBorders>
                  <w:noWrap w:val="0"/>
                  <w:vAlign w:val="center"/>
                </w:tcPr>
                <w:p w14:paraId="265EDB2B">
                  <w:pPr>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b w:val="0"/>
                      <w:bCs/>
                      <w:color w:val="auto"/>
                      <w:sz w:val="21"/>
                      <w:szCs w:val="21"/>
                      <w:highlight w:val="none"/>
                      <w:lang w:val="en-US" w:eastAsia="zh-CN"/>
                    </w:rPr>
                    <w:t>20.80</w:t>
                  </w:r>
                </w:p>
              </w:tc>
              <w:tc>
                <w:tcPr>
                  <w:tcW w:w="219" w:type="pct"/>
                  <w:tcBorders>
                    <w:tl2br w:val="nil"/>
                    <w:tr2bl w:val="nil"/>
                  </w:tcBorders>
                  <w:noWrap w:val="0"/>
                  <w:vAlign w:val="center"/>
                </w:tcPr>
                <w:p w14:paraId="021FEC5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w:t>
                  </w:r>
                </w:p>
              </w:tc>
              <w:tc>
                <w:tcPr>
                  <w:tcW w:w="408" w:type="pct"/>
                  <w:tcBorders>
                    <w:tl2br w:val="nil"/>
                    <w:tr2bl w:val="nil"/>
                  </w:tcBorders>
                  <w:noWrap w:val="0"/>
                  <w:vAlign w:val="center"/>
                </w:tcPr>
                <w:p w14:paraId="4D4E175C">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湿法作业</w:t>
                  </w:r>
                  <w:r>
                    <w:rPr>
                      <w:rFonts w:hint="default" w:ascii="Times New Roman" w:hAnsi="Times New Roman" w:eastAsia="宋体" w:cs="Times New Roman"/>
                      <w:color w:val="auto"/>
                      <w:kern w:val="2"/>
                      <w:sz w:val="21"/>
                      <w:szCs w:val="21"/>
                      <w:highlight w:val="none"/>
                      <w:lang w:val="en-US" w:eastAsia="zh-CN" w:bidi="ar-SA"/>
                    </w:rPr>
                    <w:t>+厂房阻隔</w:t>
                  </w:r>
                </w:p>
              </w:tc>
              <w:tc>
                <w:tcPr>
                  <w:tcW w:w="225" w:type="pct"/>
                  <w:tcBorders>
                    <w:tl2br w:val="nil"/>
                    <w:tr2bl w:val="nil"/>
                  </w:tcBorders>
                  <w:noWrap w:val="0"/>
                  <w:vAlign w:val="center"/>
                </w:tcPr>
                <w:p w14:paraId="6FA04A1A">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90</w:t>
                  </w:r>
                </w:p>
              </w:tc>
              <w:tc>
                <w:tcPr>
                  <w:tcW w:w="293" w:type="pct"/>
                  <w:tcBorders>
                    <w:tl2br w:val="nil"/>
                    <w:tr2bl w:val="nil"/>
                  </w:tcBorders>
                  <w:noWrap w:val="0"/>
                  <w:vAlign w:val="center"/>
                </w:tcPr>
                <w:p w14:paraId="73EE57E4">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w:t>
                  </w:r>
                </w:p>
              </w:tc>
              <w:tc>
                <w:tcPr>
                  <w:tcW w:w="319" w:type="pct"/>
                  <w:tcBorders>
                    <w:tl2br w:val="nil"/>
                    <w:tr2bl w:val="nil"/>
                  </w:tcBorders>
                  <w:noWrap w:val="0"/>
                  <w:vAlign w:val="center"/>
                </w:tcPr>
                <w:p w14:paraId="1DC412BF">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w:t>
                  </w:r>
                </w:p>
              </w:tc>
              <w:tc>
                <w:tcPr>
                  <w:tcW w:w="234" w:type="pct"/>
                  <w:tcBorders>
                    <w:tl2br w:val="nil"/>
                    <w:tr2bl w:val="nil"/>
                  </w:tcBorders>
                  <w:noWrap w:val="0"/>
                  <w:vAlign w:val="center"/>
                </w:tcPr>
                <w:p w14:paraId="2283998F">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w:t>
                  </w:r>
                </w:p>
              </w:tc>
              <w:tc>
                <w:tcPr>
                  <w:tcW w:w="257" w:type="pct"/>
                  <w:tcBorders>
                    <w:tl2br w:val="nil"/>
                    <w:tr2bl w:val="nil"/>
                  </w:tcBorders>
                  <w:noWrap w:val="0"/>
                  <w:vAlign w:val="center"/>
                </w:tcPr>
                <w:p w14:paraId="782026EF">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w:t>
                  </w:r>
                </w:p>
              </w:tc>
              <w:tc>
                <w:tcPr>
                  <w:tcW w:w="271" w:type="pct"/>
                  <w:tcBorders>
                    <w:tl2br w:val="nil"/>
                    <w:tr2bl w:val="nil"/>
                  </w:tcBorders>
                  <w:noWrap w:val="0"/>
                  <w:vAlign w:val="center"/>
                </w:tcPr>
                <w:p w14:paraId="28ADFF7F">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0.867</w:t>
                  </w:r>
                </w:p>
              </w:tc>
              <w:tc>
                <w:tcPr>
                  <w:tcW w:w="272" w:type="pct"/>
                  <w:tcBorders>
                    <w:tl2br w:val="nil"/>
                    <w:tr2bl w:val="nil"/>
                  </w:tcBorders>
                  <w:noWrap w:val="0"/>
                  <w:vAlign w:val="center"/>
                </w:tcPr>
                <w:p w14:paraId="0CF22CF6">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2.08</w:t>
                  </w:r>
                </w:p>
              </w:tc>
              <w:tc>
                <w:tcPr>
                  <w:tcW w:w="266" w:type="pct"/>
                  <w:tcBorders>
                    <w:tl2br w:val="nil"/>
                    <w:tr2bl w:val="nil"/>
                  </w:tcBorders>
                  <w:noWrap w:val="0"/>
                  <w:vAlign w:val="center"/>
                </w:tcPr>
                <w:p w14:paraId="28C4BEF3">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2400</w:t>
                  </w:r>
                </w:p>
              </w:tc>
              <w:tc>
                <w:tcPr>
                  <w:tcW w:w="282" w:type="pct"/>
                  <w:tcBorders>
                    <w:tl2br w:val="nil"/>
                    <w:tr2bl w:val="nil"/>
                  </w:tcBorders>
                  <w:noWrap w:val="0"/>
                  <w:vAlign w:val="center"/>
                </w:tcPr>
                <w:p w14:paraId="35752BB5">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345" w:type="pct"/>
                  <w:tcBorders>
                    <w:tl2br w:val="nil"/>
                    <w:tr2bl w:val="nil"/>
                  </w:tcBorders>
                  <w:noWrap w:val="0"/>
                  <w:vAlign w:val="center"/>
                </w:tcPr>
                <w:p w14:paraId="0FCDDE7B">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214" w:type="pct"/>
                  <w:tcBorders>
                    <w:tl2br w:val="nil"/>
                    <w:tr2bl w:val="nil"/>
                  </w:tcBorders>
                  <w:noWrap w:val="0"/>
                  <w:vAlign w:val="center"/>
                </w:tcPr>
                <w:p w14:paraId="5CFC9B92">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272" w:type="pct"/>
                  <w:tcBorders>
                    <w:tl2br w:val="nil"/>
                    <w:tr2bl w:val="nil"/>
                  </w:tcBorders>
                  <w:noWrap w:val="0"/>
                  <w:vAlign w:val="center"/>
                </w:tcPr>
                <w:p w14:paraId="0956BC31">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301" w:type="pct"/>
                  <w:tcBorders>
                    <w:tl2br w:val="nil"/>
                    <w:tr2bl w:val="nil"/>
                  </w:tcBorders>
                  <w:noWrap w:val="0"/>
                  <w:vAlign w:val="center"/>
                </w:tcPr>
                <w:p w14:paraId="6C6C4052">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1.0</w:t>
                  </w:r>
                </w:p>
              </w:tc>
            </w:tr>
            <w:tr w14:paraId="7B85886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1155" w:hRule="atLeast"/>
                <w:jc w:val="center"/>
              </w:trPr>
              <w:tc>
                <w:tcPr>
                  <w:tcW w:w="244" w:type="pct"/>
                  <w:tcBorders>
                    <w:tl2br w:val="nil"/>
                    <w:tr2bl w:val="nil"/>
                  </w:tcBorders>
                  <w:noWrap w:val="0"/>
                  <w:vAlign w:val="center"/>
                </w:tcPr>
                <w:p w14:paraId="7D5CFD31">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cs="Times New Roman"/>
                      <w:color w:val="auto"/>
                      <w:kern w:val="2"/>
                      <w:sz w:val="21"/>
                      <w:szCs w:val="21"/>
                      <w:highlight w:val="none"/>
                      <w:lang w:val="en-US" w:eastAsia="zh-CN" w:bidi="ar-SA"/>
                    </w:rPr>
                  </w:pPr>
                  <w:r>
                    <w:rPr>
                      <w:rFonts w:cs="Times New Roman"/>
                      <w:color w:val="auto"/>
                      <w:sz w:val="21"/>
                      <w:szCs w:val="21"/>
                    </w:rPr>
                    <w:t>石材喷砂粉尘</w:t>
                  </w:r>
                </w:p>
              </w:tc>
              <w:tc>
                <w:tcPr>
                  <w:tcW w:w="265" w:type="pct"/>
                  <w:tcBorders>
                    <w:tl2br w:val="nil"/>
                    <w:tr2bl w:val="nil"/>
                  </w:tcBorders>
                  <w:noWrap w:val="0"/>
                  <w:vAlign w:val="center"/>
                </w:tcPr>
                <w:p w14:paraId="7A9CF25B">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颗粒物</w:t>
                  </w:r>
                </w:p>
              </w:tc>
              <w:tc>
                <w:tcPr>
                  <w:tcW w:w="306" w:type="pct"/>
                  <w:tcBorders>
                    <w:tl2br w:val="nil"/>
                    <w:tr2bl w:val="nil"/>
                  </w:tcBorders>
                  <w:noWrap w:val="0"/>
                  <w:vAlign w:val="center"/>
                </w:tcPr>
                <w:p w14:paraId="1D0C6E23">
                  <w:pPr>
                    <w:jc w:val="center"/>
                    <w:rPr>
                      <w:rFonts w:hint="default"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0.050</w:t>
                  </w:r>
                </w:p>
              </w:tc>
              <w:tc>
                <w:tcPr>
                  <w:tcW w:w="219" w:type="pct"/>
                  <w:tcBorders>
                    <w:tl2br w:val="nil"/>
                    <w:tr2bl w:val="nil"/>
                  </w:tcBorders>
                  <w:noWrap w:val="0"/>
                  <w:vAlign w:val="center"/>
                </w:tcPr>
                <w:p w14:paraId="523141C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90</w:t>
                  </w:r>
                </w:p>
              </w:tc>
              <w:tc>
                <w:tcPr>
                  <w:tcW w:w="408" w:type="pct"/>
                  <w:tcBorders>
                    <w:tl2br w:val="nil"/>
                    <w:tr2bl w:val="nil"/>
                  </w:tcBorders>
                  <w:noWrap w:val="0"/>
                  <w:vAlign w:val="center"/>
                </w:tcPr>
                <w:p w14:paraId="213F3573">
                  <w:pPr>
                    <w:spacing w:line="240" w:lineRule="exact"/>
                    <w:jc w:val="center"/>
                    <w:rPr>
                      <w:rFonts w:hint="eastAsia" w:cs="Times New Roman"/>
                      <w:color w:val="auto"/>
                      <w:kern w:val="2"/>
                      <w:sz w:val="21"/>
                      <w:szCs w:val="21"/>
                      <w:highlight w:val="none"/>
                      <w:lang w:val="en-US" w:eastAsia="zh-CN" w:bidi="ar-SA"/>
                    </w:rPr>
                  </w:pPr>
                  <w:r>
                    <w:rPr>
                      <w:rFonts w:hint="eastAsia" w:cs="Times New Roman"/>
                      <w:color w:val="auto"/>
                      <w:sz w:val="21"/>
                      <w:szCs w:val="21"/>
                    </w:rPr>
                    <w:t>布袋除尘装置+厂</w:t>
                  </w:r>
                  <w:r>
                    <w:rPr>
                      <w:rFonts w:cs="Times New Roman"/>
                      <w:color w:val="auto"/>
                      <w:sz w:val="21"/>
                      <w:szCs w:val="21"/>
                    </w:rPr>
                    <w:t>房阻隔</w:t>
                  </w:r>
                </w:p>
              </w:tc>
              <w:tc>
                <w:tcPr>
                  <w:tcW w:w="225" w:type="pct"/>
                  <w:tcBorders>
                    <w:tl2br w:val="nil"/>
                    <w:tr2bl w:val="nil"/>
                  </w:tcBorders>
                  <w:noWrap w:val="0"/>
                  <w:vAlign w:val="center"/>
                </w:tcPr>
                <w:p w14:paraId="3DCB2CB9">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98</w:t>
                  </w:r>
                </w:p>
              </w:tc>
              <w:tc>
                <w:tcPr>
                  <w:tcW w:w="293" w:type="pct"/>
                  <w:tcBorders>
                    <w:tl2br w:val="nil"/>
                    <w:tr2bl w:val="nil"/>
                  </w:tcBorders>
                  <w:shd w:val="clear" w:color="auto" w:fill="auto"/>
                  <w:noWrap w:val="0"/>
                  <w:vAlign w:val="center"/>
                </w:tcPr>
                <w:p w14:paraId="5112887A">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w:t>
                  </w:r>
                </w:p>
              </w:tc>
              <w:tc>
                <w:tcPr>
                  <w:tcW w:w="319" w:type="pct"/>
                  <w:tcBorders>
                    <w:tl2br w:val="nil"/>
                    <w:tr2bl w:val="nil"/>
                  </w:tcBorders>
                  <w:shd w:val="clear" w:color="auto" w:fill="auto"/>
                  <w:noWrap w:val="0"/>
                  <w:vAlign w:val="center"/>
                </w:tcPr>
                <w:p w14:paraId="5FE594D0">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w:t>
                  </w:r>
                </w:p>
              </w:tc>
              <w:tc>
                <w:tcPr>
                  <w:tcW w:w="234" w:type="pct"/>
                  <w:tcBorders>
                    <w:tl2br w:val="nil"/>
                    <w:tr2bl w:val="nil"/>
                  </w:tcBorders>
                  <w:shd w:val="clear" w:color="auto" w:fill="auto"/>
                  <w:noWrap w:val="0"/>
                  <w:vAlign w:val="center"/>
                </w:tcPr>
                <w:p w14:paraId="1B7FAE50">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w:t>
                  </w:r>
                </w:p>
              </w:tc>
              <w:tc>
                <w:tcPr>
                  <w:tcW w:w="257" w:type="pct"/>
                  <w:tcBorders>
                    <w:tl2br w:val="nil"/>
                    <w:tr2bl w:val="nil"/>
                  </w:tcBorders>
                  <w:shd w:val="clear" w:color="auto" w:fill="auto"/>
                  <w:noWrap w:val="0"/>
                  <w:vAlign w:val="center"/>
                </w:tcPr>
                <w:p w14:paraId="250954AE">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w:t>
                  </w:r>
                </w:p>
              </w:tc>
              <w:tc>
                <w:tcPr>
                  <w:tcW w:w="271" w:type="pct"/>
                  <w:tcBorders>
                    <w:tl2br w:val="nil"/>
                    <w:tr2bl w:val="nil"/>
                  </w:tcBorders>
                  <w:noWrap w:val="0"/>
                  <w:vAlign w:val="center"/>
                </w:tcPr>
                <w:p w14:paraId="5058B9C8">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cs="Times New Roman"/>
                      <w:bCs/>
                      <w:color w:val="auto"/>
                      <w:sz w:val="21"/>
                      <w:szCs w:val="21"/>
                      <w:highlight w:val="none"/>
                      <w:lang w:val="en-US" w:eastAsia="zh-CN"/>
                    </w:rPr>
                  </w:pPr>
                  <w:r>
                    <w:rPr>
                      <w:rFonts w:hint="eastAsia" w:cs="Times New Roman"/>
                      <w:bCs/>
                      <w:color w:val="auto"/>
                      <w:sz w:val="21"/>
                      <w:szCs w:val="21"/>
                      <w:highlight w:val="none"/>
                      <w:lang w:val="en-US" w:eastAsia="zh-CN"/>
                    </w:rPr>
                    <w:t>0.059</w:t>
                  </w:r>
                </w:p>
              </w:tc>
              <w:tc>
                <w:tcPr>
                  <w:tcW w:w="272" w:type="pct"/>
                  <w:tcBorders>
                    <w:tl2br w:val="nil"/>
                    <w:tr2bl w:val="nil"/>
                  </w:tcBorders>
                  <w:noWrap w:val="0"/>
                  <w:vAlign w:val="center"/>
                </w:tcPr>
                <w:p w14:paraId="1FEEF408">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cs="Times New Roman"/>
                      <w:bCs/>
                      <w:color w:val="auto"/>
                      <w:sz w:val="21"/>
                      <w:szCs w:val="21"/>
                      <w:highlight w:val="none"/>
                      <w:lang w:val="en-US" w:eastAsia="zh-CN"/>
                    </w:rPr>
                  </w:pPr>
                  <w:r>
                    <w:rPr>
                      <w:rFonts w:hint="eastAsia" w:cs="Times New Roman"/>
                      <w:bCs/>
                      <w:color w:val="auto"/>
                      <w:sz w:val="21"/>
                      <w:szCs w:val="21"/>
                      <w:highlight w:val="none"/>
                      <w:lang w:val="en-US" w:eastAsia="zh-CN"/>
                    </w:rPr>
                    <w:t>0.0059</w:t>
                  </w:r>
                </w:p>
              </w:tc>
              <w:tc>
                <w:tcPr>
                  <w:tcW w:w="266" w:type="pct"/>
                  <w:tcBorders>
                    <w:tl2br w:val="nil"/>
                    <w:tr2bl w:val="nil"/>
                  </w:tcBorders>
                  <w:noWrap w:val="0"/>
                  <w:vAlign w:val="center"/>
                </w:tcPr>
                <w:p w14:paraId="6DC060F9">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100</w:t>
                  </w:r>
                </w:p>
              </w:tc>
              <w:tc>
                <w:tcPr>
                  <w:tcW w:w="282" w:type="pct"/>
                  <w:tcBorders>
                    <w:tl2br w:val="nil"/>
                    <w:tr2bl w:val="nil"/>
                  </w:tcBorders>
                  <w:shd w:val="clear" w:color="auto" w:fill="auto"/>
                  <w:noWrap w:val="0"/>
                  <w:vAlign w:val="center"/>
                </w:tcPr>
                <w:p w14:paraId="422C99D0">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w:t>
                  </w:r>
                </w:p>
              </w:tc>
              <w:tc>
                <w:tcPr>
                  <w:tcW w:w="345" w:type="pct"/>
                  <w:tcBorders>
                    <w:tl2br w:val="nil"/>
                    <w:tr2bl w:val="nil"/>
                  </w:tcBorders>
                  <w:shd w:val="clear" w:color="auto" w:fill="auto"/>
                  <w:noWrap w:val="0"/>
                  <w:vAlign w:val="center"/>
                </w:tcPr>
                <w:p w14:paraId="5641DE99">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w:t>
                  </w:r>
                </w:p>
              </w:tc>
              <w:tc>
                <w:tcPr>
                  <w:tcW w:w="214" w:type="pct"/>
                  <w:tcBorders>
                    <w:tl2br w:val="nil"/>
                    <w:tr2bl w:val="nil"/>
                  </w:tcBorders>
                  <w:shd w:val="clear" w:color="auto" w:fill="auto"/>
                  <w:noWrap w:val="0"/>
                  <w:vAlign w:val="center"/>
                </w:tcPr>
                <w:p w14:paraId="3432DAA3">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w:t>
                  </w:r>
                </w:p>
              </w:tc>
              <w:tc>
                <w:tcPr>
                  <w:tcW w:w="272" w:type="pct"/>
                  <w:tcBorders>
                    <w:tl2br w:val="nil"/>
                    <w:tr2bl w:val="nil"/>
                  </w:tcBorders>
                  <w:shd w:val="clear" w:color="auto" w:fill="auto"/>
                  <w:noWrap w:val="0"/>
                  <w:vAlign w:val="center"/>
                </w:tcPr>
                <w:p w14:paraId="5A504F11">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w:t>
                  </w:r>
                </w:p>
              </w:tc>
              <w:tc>
                <w:tcPr>
                  <w:tcW w:w="301" w:type="pct"/>
                  <w:tcBorders>
                    <w:tl2br w:val="nil"/>
                    <w:tr2bl w:val="nil"/>
                  </w:tcBorders>
                  <w:shd w:val="clear" w:color="auto" w:fill="auto"/>
                  <w:noWrap w:val="0"/>
                  <w:vAlign w:val="center"/>
                </w:tcPr>
                <w:p w14:paraId="50E059D6">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1.0</w:t>
                  </w:r>
                </w:p>
              </w:tc>
            </w:tr>
            <w:tr w14:paraId="6B1B20F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1148" w:hRule="atLeast"/>
                <w:jc w:val="center"/>
              </w:trPr>
              <w:tc>
                <w:tcPr>
                  <w:tcW w:w="244" w:type="pct"/>
                  <w:tcBorders>
                    <w:tl2br w:val="nil"/>
                    <w:tr2bl w:val="nil"/>
                  </w:tcBorders>
                  <w:noWrap w:val="0"/>
                  <w:vAlign w:val="center"/>
                </w:tcPr>
                <w:p w14:paraId="212BB8A8">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运输扬尘</w:t>
                  </w:r>
                </w:p>
              </w:tc>
              <w:tc>
                <w:tcPr>
                  <w:tcW w:w="265" w:type="pct"/>
                  <w:tcBorders>
                    <w:tl2br w:val="nil"/>
                    <w:tr2bl w:val="nil"/>
                  </w:tcBorders>
                  <w:noWrap w:val="0"/>
                  <w:vAlign w:val="center"/>
                </w:tcPr>
                <w:p w14:paraId="5B6F3255">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颗粒物</w:t>
                  </w:r>
                </w:p>
              </w:tc>
              <w:tc>
                <w:tcPr>
                  <w:tcW w:w="306" w:type="pct"/>
                  <w:tcBorders>
                    <w:tl2br w:val="nil"/>
                    <w:tr2bl w:val="nil"/>
                  </w:tcBorders>
                  <w:noWrap w:val="0"/>
                  <w:vAlign w:val="center"/>
                </w:tcPr>
                <w:p w14:paraId="5D9375AB">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0.119</w:t>
                  </w:r>
                </w:p>
              </w:tc>
              <w:tc>
                <w:tcPr>
                  <w:tcW w:w="219" w:type="pct"/>
                  <w:tcBorders>
                    <w:tl2br w:val="nil"/>
                    <w:tr2bl w:val="nil"/>
                  </w:tcBorders>
                  <w:noWrap w:val="0"/>
                  <w:vAlign w:val="center"/>
                </w:tcPr>
                <w:p w14:paraId="07AF977D">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w:t>
                  </w:r>
                </w:p>
              </w:tc>
              <w:tc>
                <w:tcPr>
                  <w:tcW w:w="408" w:type="pct"/>
                  <w:tcBorders>
                    <w:tl2br w:val="nil"/>
                    <w:tr2bl w:val="nil"/>
                  </w:tcBorders>
                  <w:noWrap w:val="0"/>
                  <w:vAlign w:val="center"/>
                </w:tcPr>
                <w:p w14:paraId="130F6D5B">
                  <w:pPr>
                    <w:spacing w:line="240" w:lineRule="exact"/>
                    <w:jc w:val="center"/>
                    <w:rPr>
                      <w:rFonts w:hint="default" w:ascii="Times New Roman" w:hAnsi="Times New Roman" w:eastAsia="宋体" w:cs="Times New Roman"/>
                      <w:color w:val="auto"/>
                      <w:kern w:val="2"/>
                      <w:sz w:val="21"/>
                      <w:szCs w:val="21"/>
                      <w:highlight w:val="none"/>
                      <w:lang w:val="en-US" w:eastAsia="zh-CN" w:bidi="ar-SA"/>
                    </w:rPr>
                  </w:pPr>
                  <w:r>
                    <w:rPr>
                      <w:rFonts w:cs="Times New Roman"/>
                      <w:color w:val="auto"/>
                      <w:sz w:val="21"/>
                      <w:szCs w:val="21"/>
                    </w:rPr>
                    <w:t>地面硬化</w:t>
                  </w:r>
                  <w:r>
                    <w:rPr>
                      <w:rFonts w:hint="eastAsia" w:cs="Times New Roman"/>
                      <w:color w:val="auto"/>
                      <w:sz w:val="21"/>
                      <w:szCs w:val="21"/>
                      <w:lang w:val="en-US" w:eastAsia="zh-CN"/>
                    </w:rPr>
                    <w:t>+</w:t>
                  </w:r>
                  <w:r>
                    <w:rPr>
                      <w:rFonts w:hint="default" w:ascii="Times New Roman" w:hAnsi="Times New Roman" w:eastAsia="宋体" w:cs="Times New Roman"/>
                      <w:color w:val="auto"/>
                      <w:sz w:val="21"/>
                      <w:szCs w:val="21"/>
                      <w:highlight w:val="none"/>
                    </w:rPr>
                    <w:t>禁止超速、超载</w:t>
                  </w:r>
                  <w:r>
                    <w:rPr>
                      <w:rFonts w:hint="eastAsia"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rPr>
                    <w:t>洒水降尘等</w:t>
                  </w:r>
                </w:p>
              </w:tc>
              <w:tc>
                <w:tcPr>
                  <w:tcW w:w="225" w:type="pct"/>
                  <w:tcBorders>
                    <w:tl2br w:val="nil"/>
                    <w:tr2bl w:val="nil"/>
                  </w:tcBorders>
                  <w:noWrap w:val="0"/>
                  <w:vAlign w:val="center"/>
                </w:tcPr>
                <w:p w14:paraId="456A337B">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80</w:t>
                  </w:r>
                </w:p>
              </w:tc>
              <w:tc>
                <w:tcPr>
                  <w:tcW w:w="293" w:type="pct"/>
                  <w:tcBorders>
                    <w:tl2br w:val="nil"/>
                    <w:tr2bl w:val="nil"/>
                  </w:tcBorders>
                  <w:noWrap w:val="0"/>
                  <w:vAlign w:val="center"/>
                </w:tcPr>
                <w:p w14:paraId="0738B06B">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w:t>
                  </w:r>
                </w:p>
              </w:tc>
              <w:tc>
                <w:tcPr>
                  <w:tcW w:w="319" w:type="pct"/>
                  <w:tcBorders>
                    <w:tl2br w:val="nil"/>
                    <w:tr2bl w:val="nil"/>
                  </w:tcBorders>
                  <w:noWrap w:val="0"/>
                  <w:vAlign w:val="center"/>
                </w:tcPr>
                <w:p w14:paraId="1884B5E9">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w:t>
                  </w:r>
                </w:p>
              </w:tc>
              <w:tc>
                <w:tcPr>
                  <w:tcW w:w="234" w:type="pct"/>
                  <w:tcBorders>
                    <w:tl2br w:val="nil"/>
                    <w:tr2bl w:val="nil"/>
                  </w:tcBorders>
                  <w:noWrap w:val="0"/>
                  <w:vAlign w:val="center"/>
                </w:tcPr>
                <w:p w14:paraId="6AC33366">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w:t>
                  </w:r>
                </w:p>
              </w:tc>
              <w:tc>
                <w:tcPr>
                  <w:tcW w:w="257" w:type="pct"/>
                  <w:tcBorders>
                    <w:tl2br w:val="nil"/>
                    <w:tr2bl w:val="nil"/>
                  </w:tcBorders>
                  <w:noWrap w:val="0"/>
                  <w:vAlign w:val="center"/>
                </w:tcPr>
                <w:p w14:paraId="01309AD0">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w:t>
                  </w:r>
                </w:p>
              </w:tc>
              <w:tc>
                <w:tcPr>
                  <w:tcW w:w="271" w:type="pct"/>
                  <w:tcBorders>
                    <w:tl2br w:val="nil"/>
                    <w:tr2bl w:val="nil"/>
                  </w:tcBorders>
                  <w:noWrap w:val="0"/>
                  <w:vAlign w:val="center"/>
                </w:tcPr>
                <w:p w14:paraId="26601E2F">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0.010</w:t>
                  </w:r>
                </w:p>
              </w:tc>
              <w:tc>
                <w:tcPr>
                  <w:tcW w:w="272" w:type="pct"/>
                  <w:tcBorders>
                    <w:tl2br w:val="nil"/>
                    <w:tr2bl w:val="nil"/>
                  </w:tcBorders>
                  <w:noWrap w:val="0"/>
                  <w:vAlign w:val="center"/>
                </w:tcPr>
                <w:p w14:paraId="0436184E">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0.024</w:t>
                  </w:r>
                </w:p>
              </w:tc>
              <w:tc>
                <w:tcPr>
                  <w:tcW w:w="266" w:type="pct"/>
                  <w:tcBorders>
                    <w:tl2br w:val="nil"/>
                    <w:tr2bl w:val="nil"/>
                  </w:tcBorders>
                  <w:noWrap w:val="0"/>
                  <w:vAlign w:val="center"/>
                </w:tcPr>
                <w:p w14:paraId="1A51FDC1">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2400</w:t>
                  </w:r>
                </w:p>
              </w:tc>
              <w:tc>
                <w:tcPr>
                  <w:tcW w:w="282" w:type="pct"/>
                  <w:tcBorders>
                    <w:tl2br w:val="nil"/>
                    <w:tr2bl w:val="nil"/>
                  </w:tcBorders>
                  <w:noWrap w:val="0"/>
                  <w:vAlign w:val="center"/>
                </w:tcPr>
                <w:p w14:paraId="2390EF04">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w:t>
                  </w:r>
                </w:p>
              </w:tc>
              <w:tc>
                <w:tcPr>
                  <w:tcW w:w="345" w:type="pct"/>
                  <w:tcBorders>
                    <w:tl2br w:val="nil"/>
                    <w:tr2bl w:val="nil"/>
                  </w:tcBorders>
                  <w:noWrap w:val="0"/>
                  <w:vAlign w:val="center"/>
                </w:tcPr>
                <w:p w14:paraId="1E7D5A5E">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w:t>
                  </w:r>
                </w:p>
              </w:tc>
              <w:tc>
                <w:tcPr>
                  <w:tcW w:w="214" w:type="pct"/>
                  <w:tcBorders>
                    <w:tl2br w:val="nil"/>
                    <w:tr2bl w:val="nil"/>
                  </w:tcBorders>
                  <w:noWrap w:val="0"/>
                  <w:vAlign w:val="center"/>
                </w:tcPr>
                <w:p w14:paraId="125918EA">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w:t>
                  </w:r>
                </w:p>
              </w:tc>
              <w:tc>
                <w:tcPr>
                  <w:tcW w:w="272" w:type="pct"/>
                  <w:tcBorders>
                    <w:tl2br w:val="nil"/>
                    <w:tr2bl w:val="nil"/>
                  </w:tcBorders>
                  <w:noWrap w:val="0"/>
                  <w:vAlign w:val="center"/>
                </w:tcPr>
                <w:p w14:paraId="01B70FF6">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w:t>
                  </w:r>
                </w:p>
              </w:tc>
              <w:tc>
                <w:tcPr>
                  <w:tcW w:w="301" w:type="pct"/>
                  <w:tcBorders>
                    <w:tl2br w:val="nil"/>
                    <w:tr2bl w:val="nil"/>
                  </w:tcBorders>
                  <w:noWrap w:val="0"/>
                  <w:vAlign w:val="center"/>
                </w:tcPr>
                <w:p w14:paraId="200539CF">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1.0</w:t>
                  </w:r>
                </w:p>
              </w:tc>
            </w:tr>
            <w:tr w14:paraId="18DAFD9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809" w:hRule="atLeast"/>
                <w:jc w:val="center"/>
              </w:trPr>
              <w:tc>
                <w:tcPr>
                  <w:tcW w:w="244" w:type="pct"/>
                  <w:tcBorders>
                    <w:tl2br w:val="nil"/>
                    <w:tr2bl w:val="nil"/>
                  </w:tcBorders>
                  <w:noWrap w:val="0"/>
                  <w:vAlign w:val="center"/>
                </w:tcPr>
                <w:p w14:paraId="536FA33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食堂油烟</w:t>
                  </w:r>
                </w:p>
              </w:tc>
              <w:tc>
                <w:tcPr>
                  <w:tcW w:w="265" w:type="pct"/>
                  <w:tcBorders>
                    <w:tl2br w:val="nil"/>
                    <w:tr2bl w:val="nil"/>
                  </w:tcBorders>
                  <w:noWrap w:val="0"/>
                  <w:vAlign w:val="center"/>
                </w:tcPr>
                <w:p w14:paraId="0AD54B79">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油烟废气</w:t>
                  </w:r>
                </w:p>
              </w:tc>
              <w:tc>
                <w:tcPr>
                  <w:tcW w:w="306" w:type="pct"/>
                  <w:tcBorders>
                    <w:tl2br w:val="nil"/>
                    <w:tr2bl w:val="nil"/>
                  </w:tcBorders>
                  <w:noWrap w:val="0"/>
                  <w:vAlign w:val="center"/>
                </w:tcPr>
                <w:p w14:paraId="04A2B21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bCs/>
                      <w:color w:val="auto"/>
                      <w:sz w:val="21"/>
                      <w:szCs w:val="21"/>
                      <w:highlight w:val="none"/>
                      <w:lang w:val="en-US" w:eastAsia="zh-CN"/>
                    </w:rPr>
                    <w:t>0.013</w:t>
                  </w:r>
                </w:p>
              </w:tc>
              <w:tc>
                <w:tcPr>
                  <w:tcW w:w="219" w:type="pct"/>
                  <w:tcBorders>
                    <w:tl2br w:val="nil"/>
                    <w:tr2bl w:val="nil"/>
                  </w:tcBorders>
                  <w:noWrap w:val="0"/>
                  <w:vAlign w:val="center"/>
                </w:tcPr>
                <w:p w14:paraId="209B0E30">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rPr>
                    <w:t>/</w:t>
                  </w:r>
                </w:p>
              </w:tc>
              <w:tc>
                <w:tcPr>
                  <w:tcW w:w="408" w:type="pct"/>
                  <w:tcBorders>
                    <w:tl2br w:val="nil"/>
                    <w:tr2bl w:val="nil"/>
                  </w:tcBorders>
                  <w:noWrap w:val="0"/>
                  <w:vAlign w:val="center"/>
                </w:tcPr>
                <w:p w14:paraId="6B1A0D90">
                  <w:pPr>
                    <w:spacing w:line="240" w:lineRule="exact"/>
                    <w:jc w:val="center"/>
                    <w:rPr>
                      <w:rFonts w:hint="eastAsia" w:ascii="Times New Roman" w:hAnsi="Times New Roman" w:eastAsia="宋体" w:cs="Times New Roman"/>
                      <w:color w:val="auto"/>
                      <w:sz w:val="21"/>
                      <w:szCs w:val="21"/>
                      <w:highlight w:val="none"/>
                      <w:lang w:val="en-US" w:eastAsia="zh-CN"/>
                    </w:rPr>
                  </w:pPr>
                  <w:r>
                    <w:rPr>
                      <w:rFonts w:cs="Times New Roman"/>
                      <w:color w:val="auto"/>
                      <w:sz w:val="21"/>
                      <w:szCs w:val="21"/>
                    </w:rPr>
                    <w:t>抽油烟机</w:t>
                  </w:r>
                </w:p>
              </w:tc>
              <w:tc>
                <w:tcPr>
                  <w:tcW w:w="225" w:type="pct"/>
                  <w:tcBorders>
                    <w:tl2br w:val="nil"/>
                    <w:tr2bl w:val="nil"/>
                  </w:tcBorders>
                  <w:noWrap w:val="0"/>
                  <w:vAlign w:val="center"/>
                </w:tcPr>
                <w:p w14:paraId="6B8B6C00">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60</w:t>
                  </w:r>
                </w:p>
              </w:tc>
              <w:tc>
                <w:tcPr>
                  <w:tcW w:w="293" w:type="pct"/>
                  <w:tcBorders>
                    <w:tl2br w:val="nil"/>
                    <w:tr2bl w:val="nil"/>
                  </w:tcBorders>
                  <w:noWrap w:val="0"/>
                  <w:vAlign w:val="center"/>
                </w:tcPr>
                <w:p w14:paraId="14F29546">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1500</w:t>
                  </w:r>
                </w:p>
              </w:tc>
              <w:tc>
                <w:tcPr>
                  <w:tcW w:w="319" w:type="pct"/>
                  <w:tcBorders>
                    <w:tl2br w:val="nil"/>
                    <w:tr2bl w:val="nil"/>
                  </w:tcBorders>
                  <w:noWrap w:val="0"/>
                  <w:vAlign w:val="center"/>
                </w:tcPr>
                <w:p w14:paraId="62F4FF7F">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0.87</w:t>
                  </w:r>
                </w:p>
              </w:tc>
              <w:tc>
                <w:tcPr>
                  <w:tcW w:w="234" w:type="pct"/>
                  <w:tcBorders>
                    <w:tl2br w:val="nil"/>
                    <w:tr2bl w:val="nil"/>
                  </w:tcBorders>
                  <w:noWrap w:val="0"/>
                  <w:vAlign w:val="center"/>
                </w:tcPr>
                <w:p w14:paraId="392CA9E1">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0.0013</w:t>
                  </w:r>
                </w:p>
              </w:tc>
              <w:tc>
                <w:tcPr>
                  <w:tcW w:w="257" w:type="pct"/>
                  <w:tcBorders>
                    <w:tl2br w:val="nil"/>
                    <w:tr2bl w:val="nil"/>
                  </w:tcBorders>
                  <w:noWrap w:val="0"/>
                  <w:vAlign w:val="center"/>
                </w:tcPr>
                <w:p w14:paraId="7D6D47A8">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0.0016</w:t>
                  </w:r>
                </w:p>
              </w:tc>
              <w:tc>
                <w:tcPr>
                  <w:tcW w:w="271" w:type="pct"/>
                  <w:tcBorders>
                    <w:tl2br w:val="nil"/>
                    <w:tr2bl w:val="nil"/>
                  </w:tcBorders>
                  <w:noWrap w:val="0"/>
                  <w:vAlign w:val="center"/>
                </w:tcPr>
                <w:p w14:paraId="0DCCFB48">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w:t>
                  </w:r>
                </w:p>
              </w:tc>
              <w:tc>
                <w:tcPr>
                  <w:tcW w:w="272" w:type="pct"/>
                  <w:tcBorders>
                    <w:tl2br w:val="nil"/>
                    <w:tr2bl w:val="nil"/>
                  </w:tcBorders>
                  <w:noWrap w:val="0"/>
                  <w:vAlign w:val="center"/>
                </w:tcPr>
                <w:p w14:paraId="42441ADE">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w:t>
                  </w:r>
                </w:p>
              </w:tc>
              <w:tc>
                <w:tcPr>
                  <w:tcW w:w="266" w:type="pct"/>
                  <w:tcBorders>
                    <w:tl2br w:val="nil"/>
                    <w:tr2bl w:val="nil"/>
                  </w:tcBorders>
                  <w:noWrap w:val="0"/>
                  <w:vAlign w:val="center"/>
                </w:tcPr>
                <w:p w14:paraId="77EC64CF">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1200</w:t>
                  </w:r>
                </w:p>
              </w:tc>
              <w:tc>
                <w:tcPr>
                  <w:tcW w:w="282" w:type="pct"/>
                  <w:tcBorders>
                    <w:tl2br w:val="nil"/>
                    <w:tr2bl w:val="nil"/>
                  </w:tcBorders>
                  <w:noWrap w:val="0"/>
                  <w:vAlign w:val="center"/>
                </w:tcPr>
                <w:p w14:paraId="61100B98">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w:t>
                  </w:r>
                </w:p>
              </w:tc>
              <w:tc>
                <w:tcPr>
                  <w:tcW w:w="345" w:type="pct"/>
                  <w:tcBorders>
                    <w:tl2br w:val="nil"/>
                    <w:tr2bl w:val="nil"/>
                  </w:tcBorders>
                  <w:noWrap w:val="0"/>
                  <w:vAlign w:val="center"/>
                </w:tcPr>
                <w:p w14:paraId="4314F79C">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w:t>
                  </w:r>
                </w:p>
              </w:tc>
              <w:tc>
                <w:tcPr>
                  <w:tcW w:w="214" w:type="pct"/>
                  <w:tcBorders>
                    <w:tl2br w:val="nil"/>
                    <w:tr2bl w:val="nil"/>
                  </w:tcBorders>
                  <w:noWrap w:val="0"/>
                  <w:vAlign w:val="center"/>
                </w:tcPr>
                <w:p w14:paraId="303DF05B">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272" w:type="pct"/>
                  <w:tcBorders>
                    <w:tl2br w:val="nil"/>
                    <w:tr2bl w:val="nil"/>
                  </w:tcBorders>
                  <w:noWrap w:val="0"/>
                  <w:vAlign w:val="center"/>
                </w:tcPr>
                <w:p w14:paraId="03B16D56">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2.0</w:t>
                  </w:r>
                </w:p>
              </w:tc>
              <w:tc>
                <w:tcPr>
                  <w:tcW w:w="301" w:type="pct"/>
                  <w:tcBorders>
                    <w:tl2br w:val="nil"/>
                    <w:tr2bl w:val="nil"/>
                  </w:tcBorders>
                  <w:noWrap w:val="0"/>
                  <w:vAlign w:val="center"/>
                </w:tcPr>
                <w:p w14:paraId="2F04C917">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w:t>
                  </w:r>
                </w:p>
              </w:tc>
            </w:tr>
          </w:tbl>
          <w:p w14:paraId="759C26E9">
            <w:pPr>
              <w:tabs>
                <w:tab w:val="left" w:pos="1005"/>
              </w:tabs>
              <w:spacing w:line="276" w:lineRule="auto"/>
              <w:ind w:firstLine="420" w:firstLineChars="200"/>
              <w:rPr>
                <w:rFonts w:hint="eastAsia" w:cs="Times New Roman"/>
                <w:color w:val="auto"/>
                <w:szCs w:val="21"/>
                <w:highlight w:val="none"/>
              </w:rPr>
            </w:pPr>
          </w:p>
          <w:p w14:paraId="7D122C18">
            <w:pPr>
              <w:tabs>
                <w:tab w:val="left" w:pos="1005"/>
              </w:tabs>
              <w:spacing w:line="276" w:lineRule="auto"/>
              <w:ind w:firstLine="420" w:firstLineChars="200"/>
              <w:rPr>
                <w:rFonts w:hint="eastAsia" w:cs="Times New Roman"/>
                <w:color w:val="auto"/>
                <w:szCs w:val="21"/>
                <w:highlight w:val="none"/>
              </w:rPr>
            </w:pPr>
          </w:p>
          <w:p w14:paraId="4F8E5C75">
            <w:pPr>
              <w:tabs>
                <w:tab w:val="left" w:pos="2973"/>
              </w:tabs>
              <w:spacing w:line="276" w:lineRule="auto"/>
              <w:ind w:firstLine="420" w:firstLineChars="200"/>
              <w:rPr>
                <w:rFonts w:hint="eastAsia" w:cs="Times New Roman"/>
                <w:color w:val="auto"/>
                <w:szCs w:val="21"/>
                <w:highlight w:val="none"/>
                <w:lang w:eastAsia="zh-CN"/>
              </w:rPr>
            </w:pPr>
          </w:p>
          <w:p w14:paraId="7A8B9B2C">
            <w:pPr>
              <w:tabs>
                <w:tab w:val="left" w:pos="2973"/>
              </w:tabs>
              <w:spacing w:line="276" w:lineRule="auto"/>
              <w:ind w:firstLine="420" w:firstLineChars="200"/>
              <w:rPr>
                <w:rFonts w:hint="eastAsia" w:cs="Times New Roman"/>
                <w:color w:val="auto"/>
                <w:szCs w:val="21"/>
                <w:highlight w:val="none"/>
                <w:lang w:eastAsia="zh-CN"/>
              </w:rPr>
            </w:pPr>
          </w:p>
          <w:p w14:paraId="15485228">
            <w:pPr>
              <w:tabs>
                <w:tab w:val="left" w:pos="2973"/>
              </w:tabs>
              <w:spacing w:line="276" w:lineRule="auto"/>
              <w:ind w:firstLine="420" w:firstLineChars="200"/>
              <w:rPr>
                <w:rFonts w:hint="eastAsia" w:eastAsia="宋体" w:cs="Times New Roman"/>
                <w:color w:val="auto"/>
                <w:szCs w:val="21"/>
                <w:highlight w:val="none"/>
                <w:lang w:eastAsia="zh-CN"/>
              </w:rPr>
            </w:pPr>
          </w:p>
        </w:tc>
      </w:tr>
    </w:tbl>
    <w:p w14:paraId="629AF5BA">
      <w:pPr>
        <w:rPr>
          <w:rFonts w:cs="Times New Roman"/>
          <w:b/>
          <w:color w:val="auto"/>
          <w:sz w:val="28"/>
          <w:szCs w:val="28"/>
        </w:rPr>
        <w:sectPr>
          <w:pgSz w:w="16838" w:h="11906" w:orient="landscape"/>
          <w:pgMar w:top="1417" w:right="1134" w:bottom="1134" w:left="1134" w:header="851" w:footer="992" w:gutter="0"/>
          <w:pgBorders>
            <w:top w:val="none" w:sz="0" w:space="0"/>
            <w:left w:val="none" w:sz="0" w:space="0"/>
            <w:bottom w:val="none" w:sz="0" w:space="0"/>
            <w:right w:val="none" w:sz="0" w:space="0"/>
          </w:pgBorders>
          <w:pgNumType w:fmt="numberInDash"/>
          <w:cols w:space="0" w:num="1"/>
          <w:rtlGutter w:val="0"/>
          <w:docGrid w:type="lines" w:linePitch="322" w:charSpace="0"/>
        </w:sectPr>
      </w:pPr>
    </w:p>
    <w:tbl>
      <w:tblPr>
        <w:tblStyle w:val="24"/>
        <w:tblW w:w="934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4"/>
        <w:gridCol w:w="8645"/>
      </w:tblGrid>
      <w:tr w14:paraId="093C5C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04" w:type="dxa"/>
            <w:vAlign w:val="center"/>
          </w:tcPr>
          <w:p w14:paraId="16B3C86C">
            <w:pPr>
              <w:jc w:val="center"/>
              <w:rPr>
                <w:rFonts w:cs="Times New Roman"/>
                <w:color w:val="auto"/>
                <w:sz w:val="24"/>
                <w:szCs w:val="24"/>
              </w:rPr>
            </w:pPr>
            <w:r>
              <w:rPr>
                <w:rFonts w:cs="Times New Roman"/>
                <w:color w:val="auto"/>
                <w:sz w:val="24"/>
                <w:szCs w:val="24"/>
              </w:rPr>
              <w:t>运营</w:t>
            </w:r>
          </w:p>
          <w:p w14:paraId="76FF1558">
            <w:pPr>
              <w:jc w:val="center"/>
              <w:rPr>
                <w:rFonts w:cs="Times New Roman"/>
                <w:color w:val="auto"/>
                <w:sz w:val="24"/>
                <w:szCs w:val="24"/>
              </w:rPr>
            </w:pPr>
            <w:r>
              <w:rPr>
                <w:rFonts w:cs="Times New Roman"/>
                <w:color w:val="auto"/>
                <w:sz w:val="24"/>
                <w:szCs w:val="24"/>
              </w:rPr>
              <w:t>期环</w:t>
            </w:r>
          </w:p>
          <w:p w14:paraId="2B839397">
            <w:pPr>
              <w:jc w:val="center"/>
              <w:rPr>
                <w:rFonts w:cs="Times New Roman"/>
                <w:color w:val="auto"/>
                <w:sz w:val="24"/>
                <w:szCs w:val="24"/>
              </w:rPr>
            </w:pPr>
            <w:r>
              <w:rPr>
                <w:rFonts w:cs="Times New Roman"/>
                <w:color w:val="auto"/>
                <w:sz w:val="24"/>
                <w:szCs w:val="24"/>
              </w:rPr>
              <w:t>境影</w:t>
            </w:r>
          </w:p>
          <w:p w14:paraId="5954EDD6">
            <w:pPr>
              <w:jc w:val="center"/>
              <w:rPr>
                <w:rFonts w:cs="Times New Roman"/>
                <w:color w:val="auto"/>
                <w:sz w:val="24"/>
                <w:szCs w:val="24"/>
              </w:rPr>
            </w:pPr>
            <w:r>
              <w:rPr>
                <w:rFonts w:cs="Times New Roman"/>
                <w:color w:val="auto"/>
                <w:sz w:val="24"/>
                <w:szCs w:val="24"/>
              </w:rPr>
              <w:t>响和</w:t>
            </w:r>
          </w:p>
          <w:p w14:paraId="4912FA2F">
            <w:pPr>
              <w:jc w:val="center"/>
              <w:rPr>
                <w:rFonts w:cs="Times New Roman"/>
                <w:color w:val="auto"/>
                <w:sz w:val="24"/>
                <w:szCs w:val="24"/>
              </w:rPr>
            </w:pPr>
            <w:r>
              <w:rPr>
                <w:rFonts w:cs="Times New Roman"/>
                <w:color w:val="auto"/>
                <w:sz w:val="24"/>
                <w:szCs w:val="24"/>
              </w:rPr>
              <w:t>保护</w:t>
            </w:r>
          </w:p>
          <w:p w14:paraId="6B64394B">
            <w:pPr>
              <w:jc w:val="center"/>
              <w:rPr>
                <w:rFonts w:cs="Times New Roman"/>
                <w:color w:val="auto"/>
                <w:sz w:val="24"/>
                <w:szCs w:val="24"/>
              </w:rPr>
            </w:pPr>
            <w:r>
              <w:rPr>
                <w:rFonts w:cs="Times New Roman"/>
                <w:color w:val="auto"/>
                <w:sz w:val="24"/>
                <w:szCs w:val="24"/>
              </w:rPr>
              <w:t>措施</w:t>
            </w:r>
          </w:p>
        </w:tc>
        <w:tc>
          <w:tcPr>
            <w:tcW w:w="8645" w:type="dxa"/>
            <w:vAlign w:val="center"/>
          </w:tcPr>
          <w:p w14:paraId="01B0ACB4">
            <w:pPr>
              <w:spacing w:line="360" w:lineRule="auto"/>
              <w:ind w:firstLine="480" w:firstLineChars="200"/>
              <w:rPr>
                <w:rFonts w:cs="Times New Roman"/>
                <w:color w:val="auto"/>
                <w:sz w:val="24"/>
                <w:szCs w:val="24"/>
              </w:rPr>
            </w:pPr>
            <w:r>
              <w:rPr>
                <w:rFonts w:cs="Times New Roman"/>
                <w:color w:val="auto"/>
                <w:sz w:val="24"/>
                <w:szCs w:val="24"/>
              </w:rPr>
              <w:t>本项目废气污染物排放统计表如下：</w:t>
            </w:r>
          </w:p>
          <w:p w14:paraId="3399638B">
            <w:pPr>
              <w:spacing w:line="360" w:lineRule="auto"/>
              <w:jc w:val="center"/>
              <w:rPr>
                <w:rFonts w:cs="Times New Roman"/>
                <w:b/>
                <w:color w:val="auto"/>
                <w:sz w:val="24"/>
                <w:szCs w:val="24"/>
              </w:rPr>
            </w:pPr>
            <w:r>
              <w:rPr>
                <w:rFonts w:cs="Times New Roman"/>
                <w:b/>
                <w:color w:val="auto"/>
                <w:sz w:val="24"/>
                <w:szCs w:val="24"/>
              </w:rPr>
              <w:t>表4-</w:t>
            </w:r>
            <w:r>
              <w:rPr>
                <w:rFonts w:hint="eastAsia" w:cs="Times New Roman"/>
                <w:b/>
                <w:color w:val="auto"/>
                <w:sz w:val="24"/>
                <w:szCs w:val="24"/>
                <w:lang w:val="en-US" w:eastAsia="zh-CN"/>
              </w:rPr>
              <w:t>6</w:t>
            </w:r>
            <w:r>
              <w:rPr>
                <w:rFonts w:cs="Times New Roman"/>
                <w:b/>
                <w:color w:val="auto"/>
                <w:sz w:val="24"/>
                <w:szCs w:val="24"/>
              </w:rPr>
              <w:t xml:space="preserve">  运营期废气污染物排放统计表</w:t>
            </w:r>
          </w:p>
          <w:tbl>
            <w:tblPr>
              <w:tblStyle w:val="25"/>
              <w:tblW w:w="4981" w:type="pct"/>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788"/>
              <w:gridCol w:w="2368"/>
              <w:gridCol w:w="2368"/>
              <w:gridCol w:w="1873"/>
            </w:tblGrid>
            <w:tr w14:paraId="5F3DEC7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1064" w:type="pct"/>
                  <w:tcBorders>
                    <w:tl2br w:val="nil"/>
                    <w:tr2bl w:val="nil"/>
                  </w:tcBorders>
                  <w:vAlign w:val="center"/>
                </w:tcPr>
                <w:p w14:paraId="30DADDCC">
                  <w:pPr>
                    <w:jc w:val="center"/>
                    <w:rPr>
                      <w:rFonts w:cs="Times New Roman"/>
                      <w:b/>
                      <w:bCs/>
                      <w:color w:val="auto"/>
                      <w:szCs w:val="21"/>
                    </w:rPr>
                  </w:pPr>
                  <w:r>
                    <w:rPr>
                      <w:rFonts w:cs="Times New Roman"/>
                      <w:b/>
                      <w:bCs/>
                      <w:color w:val="auto"/>
                      <w:szCs w:val="21"/>
                    </w:rPr>
                    <w:t>污染物</w:t>
                  </w:r>
                </w:p>
              </w:tc>
              <w:tc>
                <w:tcPr>
                  <w:tcW w:w="1410" w:type="pct"/>
                  <w:tcBorders>
                    <w:tl2br w:val="nil"/>
                    <w:tr2bl w:val="nil"/>
                  </w:tcBorders>
                  <w:vAlign w:val="center"/>
                </w:tcPr>
                <w:p w14:paraId="7AD7F442">
                  <w:pPr>
                    <w:jc w:val="center"/>
                    <w:rPr>
                      <w:rFonts w:cs="Times New Roman"/>
                      <w:b/>
                      <w:bCs/>
                      <w:color w:val="auto"/>
                      <w:szCs w:val="21"/>
                    </w:rPr>
                  </w:pPr>
                  <w:r>
                    <w:rPr>
                      <w:rFonts w:cs="Times New Roman"/>
                      <w:b/>
                      <w:bCs/>
                      <w:color w:val="auto"/>
                      <w:szCs w:val="21"/>
                    </w:rPr>
                    <w:t>有组织</w:t>
                  </w:r>
                </w:p>
              </w:tc>
              <w:tc>
                <w:tcPr>
                  <w:tcW w:w="1410" w:type="pct"/>
                  <w:tcBorders>
                    <w:tl2br w:val="nil"/>
                    <w:tr2bl w:val="nil"/>
                  </w:tcBorders>
                  <w:vAlign w:val="center"/>
                </w:tcPr>
                <w:p w14:paraId="7BDBE043">
                  <w:pPr>
                    <w:jc w:val="center"/>
                    <w:rPr>
                      <w:rFonts w:cs="Times New Roman"/>
                      <w:b/>
                      <w:bCs/>
                      <w:color w:val="auto"/>
                      <w:szCs w:val="21"/>
                    </w:rPr>
                  </w:pPr>
                  <w:r>
                    <w:rPr>
                      <w:rFonts w:cs="Times New Roman"/>
                      <w:b/>
                      <w:bCs/>
                      <w:color w:val="auto"/>
                      <w:szCs w:val="21"/>
                    </w:rPr>
                    <w:t>无组织</w:t>
                  </w:r>
                </w:p>
              </w:tc>
              <w:tc>
                <w:tcPr>
                  <w:tcW w:w="1115" w:type="pct"/>
                  <w:tcBorders>
                    <w:tl2br w:val="nil"/>
                    <w:tr2bl w:val="nil"/>
                  </w:tcBorders>
                  <w:vAlign w:val="center"/>
                </w:tcPr>
                <w:p w14:paraId="528712DA">
                  <w:pPr>
                    <w:jc w:val="center"/>
                    <w:rPr>
                      <w:rFonts w:cs="Times New Roman"/>
                      <w:b/>
                      <w:bCs/>
                      <w:color w:val="auto"/>
                      <w:szCs w:val="21"/>
                    </w:rPr>
                  </w:pPr>
                  <w:r>
                    <w:rPr>
                      <w:rFonts w:cs="Times New Roman"/>
                      <w:b/>
                      <w:bCs/>
                      <w:color w:val="auto"/>
                      <w:szCs w:val="21"/>
                    </w:rPr>
                    <w:t>合计</w:t>
                  </w:r>
                </w:p>
              </w:tc>
            </w:tr>
            <w:tr w14:paraId="3AD72C8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1" w:hRule="atLeast"/>
              </w:trPr>
              <w:tc>
                <w:tcPr>
                  <w:tcW w:w="1064" w:type="pct"/>
                  <w:tcBorders>
                    <w:tl2br w:val="nil"/>
                    <w:tr2bl w:val="nil"/>
                  </w:tcBorders>
                  <w:vAlign w:val="center"/>
                </w:tcPr>
                <w:p w14:paraId="183C07AD">
                  <w:pPr>
                    <w:jc w:val="center"/>
                    <w:rPr>
                      <w:rFonts w:cs="Times New Roman"/>
                      <w:color w:val="auto"/>
                      <w:szCs w:val="21"/>
                    </w:rPr>
                  </w:pPr>
                  <w:r>
                    <w:rPr>
                      <w:rFonts w:cs="Times New Roman"/>
                      <w:color w:val="auto"/>
                      <w:szCs w:val="21"/>
                    </w:rPr>
                    <w:t>颗粒物</w:t>
                  </w:r>
                </w:p>
              </w:tc>
              <w:tc>
                <w:tcPr>
                  <w:tcW w:w="1410" w:type="pct"/>
                  <w:tcBorders>
                    <w:tl2br w:val="nil"/>
                    <w:tr2bl w:val="nil"/>
                  </w:tcBorders>
                  <w:vAlign w:val="center"/>
                </w:tcPr>
                <w:p w14:paraId="255DFF5F">
                  <w:pPr>
                    <w:jc w:val="center"/>
                    <w:rPr>
                      <w:rFonts w:cs="Times New Roman"/>
                      <w:color w:val="auto"/>
                      <w:szCs w:val="21"/>
                    </w:rPr>
                  </w:pPr>
                  <w:r>
                    <w:rPr>
                      <w:rFonts w:cs="Times New Roman"/>
                      <w:color w:val="auto"/>
                      <w:szCs w:val="21"/>
                    </w:rPr>
                    <w:t>0</w:t>
                  </w:r>
                </w:p>
              </w:tc>
              <w:tc>
                <w:tcPr>
                  <w:tcW w:w="1410" w:type="pct"/>
                  <w:tcBorders>
                    <w:tl2br w:val="nil"/>
                    <w:tr2bl w:val="nil"/>
                  </w:tcBorders>
                  <w:vAlign w:val="center"/>
                </w:tcPr>
                <w:p w14:paraId="626530EE">
                  <w:pPr>
                    <w:jc w:val="center"/>
                    <w:rPr>
                      <w:rFonts w:hint="default" w:eastAsia="宋体" w:cs="Times New Roman"/>
                      <w:color w:val="auto"/>
                      <w:szCs w:val="21"/>
                      <w:lang w:val="en-US" w:eastAsia="zh-CN"/>
                    </w:rPr>
                  </w:pPr>
                  <w:r>
                    <w:rPr>
                      <w:rFonts w:hint="eastAsia" w:cs="Times New Roman"/>
                      <w:color w:val="auto"/>
                      <w:szCs w:val="21"/>
                      <w:lang w:val="en-US" w:eastAsia="zh-CN"/>
                    </w:rPr>
                    <w:t>2.110</w:t>
                  </w:r>
                </w:p>
              </w:tc>
              <w:tc>
                <w:tcPr>
                  <w:tcW w:w="1115" w:type="pct"/>
                  <w:tcBorders>
                    <w:tl2br w:val="nil"/>
                    <w:tr2bl w:val="nil"/>
                  </w:tcBorders>
                  <w:vAlign w:val="center"/>
                </w:tcPr>
                <w:p w14:paraId="162EAF7F">
                  <w:pPr>
                    <w:jc w:val="center"/>
                    <w:rPr>
                      <w:rFonts w:hint="default" w:eastAsia="宋体" w:cs="Times New Roman"/>
                      <w:color w:val="auto"/>
                      <w:szCs w:val="21"/>
                      <w:lang w:val="en-US" w:eastAsia="zh-CN"/>
                    </w:rPr>
                  </w:pPr>
                  <w:r>
                    <w:rPr>
                      <w:rFonts w:hint="eastAsia" w:cs="Times New Roman"/>
                      <w:color w:val="auto"/>
                      <w:szCs w:val="21"/>
                      <w:lang w:val="en-US" w:eastAsia="zh-CN"/>
                    </w:rPr>
                    <w:t>2.110</w:t>
                  </w:r>
                </w:p>
              </w:tc>
            </w:tr>
          </w:tbl>
          <w:p w14:paraId="0F405146">
            <w:pPr>
              <w:spacing w:line="360" w:lineRule="auto"/>
              <w:ind w:firstLine="361" w:firstLineChars="150"/>
              <w:rPr>
                <w:rFonts w:cs="Times New Roman"/>
                <w:b/>
                <w:color w:val="auto"/>
                <w:sz w:val="24"/>
                <w:szCs w:val="24"/>
              </w:rPr>
            </w:pPr>
            <w:r>
              <w:rPr>
                <w:rFonts w:cs="Times New Roman"/>
                <w:b/>
                <w:color w:val="auto"/>
                <w:sz w:val="24"/>
                <w:szCs w:val="24"/>
              </w:rPr>
              <w:t>（5）监测要求</w:t>
            </w:r>
          </w:p>
          <w:p w14:paraId="5817BD5D">
            <w:pPr>
              <w:spacing w:line="360" w:lineRule="auto"/>
              <w:ind w:firstLine="480" w:firstLineChars="200"/>
              <w:rPr>
                <w:rFonts w:cs="Times New Roman"/>
                <w:color w:val="auto"/>
                <w:sz w:val="24"/>
                <w:szCs w:val="24"/>
              </w:rPr>
            </w:pPr>
            <w:r>
              <w:rPr>
                <w:rFonts w:cs="Times New Roman"/>
                <w:color w:val="auto"/>
                <w:sz w:val="24"/>
                <w:szCs w:val="24"/>
              </w:rPr>
              <w:t>本次环评根据《排污单位自行监测技术指南 总则》（HJ819-2017）提出项目生产运行阶段的污染源监测计划，详见下表：</w:t>
            </w:r>
          </w:p>
          <w:p w14:paraId="2DC3DE42">
            <w:pPr>
              <w:spacing w:line="360" w:lineRule="auto"/>
              <w:jc w:val="center"/>
              <w:rPr>
                <w:rFonts w:cs="Times New Roman"/>
                <w:b/>
                <w:color w:val="auto"/>
                <w:sz w:val="24"/>
                <w:szCs w:val="24"/>
              </w:rPr>
            </w:pPr>
            <w:r>
              <w:rPr>
                <w:rFonts w:cs="Times New Roman"/>
                <w:b/>
                <w:color w:val="auto"/>
                <w:sz w:val="24"/>
                <w:szCs w:val="24"/>
              </w:rPr>
              <w:t>表4-</w:t>
            </w:r>
            <w:r>
              <w:rPr>
                <w:rFonts w:hint="eastAsia" w:cs="Times New Roman"/>
                <w:b/>
                <w:color w:val="auto"/>
                <w:sz w:val="24"/>
                <w:szCs w:val="24"/>
                <w:lang w:val="en-US" w:eastAsia="zh-CN"/>
              </w:rPr>
              <w:t>7</w:t>
            </w:r>
            <w:r>
              <w:rPr>
                <w:rFonts w:cs="Times New Roman"/>
                <w:b/>
                <w:color w:val="auto"/>
                <w:sz w:val="24"/>
                <w:szCs w:val="24"/>
              </w:rPr>
              <w:t xml:space="preserve">  无组织废气监测方案</w:t>
            </w:r>
          </w:p>
          <w:tbl>
            <w:tblPr>
              <w:tblStyle w:val="24"/>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931"/>
              <w:gridCol w:w="1047"/>
              <w:gridCol w:w="1005"/>
              <w:gridCol w:w="3446"/>
            </w:tblGrid>
            <w:tr w14:paraId="09E91CC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38" w:type="pct"/>
                  <w:tcBorders>
                    <w:tl2br w:val="nil"/>
                    <w:tr2bl w:val="nil"/>
                  </w:tcBorders>
                  <w:shd w:val="clear" w:color="auto" w:fill="auto"/>
                  <w:vAlign w:val="center"/>
                </w:tcPr>
                <w:p w14:paraId="310BC542">
                  <w:pPr>
                    <w:jc w:val="center"/>
                    <w:rPr>
                      <w:rFonts w:cs="Times New Roman"/>
                      <w:b/>
                      <w:bCs/>
                      <w:color w:val="auto"/>
                      <w:szCs w:val="21"/>
                    </w:rPr>
                  </w:pPr>
                  <w:r>
                    <w:rPr>
                      <w:rFonts w:cs="Times New Roman"/>
                      <w:b/>
                      <w:bCs/>
                      <w:color w:val="auto"/>
                      <w:szCs w:val="21"/>
                    </w:rPr>
                    <w:t>监测点位</w:t>
                  </w:r>
                </w:p>
              </w:tc>
              <w:tc>
                <w:tcPr>
                  <w:tcW w:w="621" w:type="pct"/>
                  <w:tcBorders>
                    <w:tl2br w:val="nil"/>
                    <w:tr2bl w:val="nil"/>
                  </w:tcBorders>
                  <w:shd w:val="clear" w:color="auto" w:fill="auto"/>
                  <w:vAlign w:val="center"/>
                </w:tcPr>
                <w:p w14:paraId="3BA148F7">
                  <w:pPr>
                    <w:jc w:val="center"/>
                    <w:rPr>
                      <w:rFonts w:cs="Times New Roman"/>
                      <w:b/>
                      <w:bCs/>
                      <w:color w:val="auto"/>
                      <w:szCs w:val="21"/>
                    </w:rPr>
                  </w:pPr>
                  <w:r>
                    <w:rPr>
                      <w:rFonts w:cs="Times New Roman"/>
                      <w:b/>
                      <w:bCs/>
                      <w:color w:val="auto"/>
                      <w:szCs w:val="21"/>
                    </w:rPr>
                    <w:t>监测指标</w:t>
                  </w:r>
                </w:p>
              </w:tc>
              <w:tc>
                <w:tcPr>
                  <w:tcW w:w="596" w:type="pct"/>
                  <w:tcBorders>
                    <w:tl2br w:val="nil"/>
                    <w:tr2bl w:val="nil"/>
                  </w:tcBorders>
                  <w:shd w:val="clear" w:color="auto" w:fill="auto"/>
                  <w:vAlign w:val="center"/>
                </w:tcPr>
                <w:p w14:paraId="6B2AD9CC">
                  <w:pPr>
                    <w:jc w:val="center"/>
                    <w:rPr>
                      <w:rFonts w:cs="Times New Roman"/>
                      <w:b/>
                      <w:bCs/>
                      <w:color w:val="auto"/>
                      <w:szCs w:val="21"/>
                    </w:rPr>
                  </w:pPr>
                  <w:r>
                    <w:rPr>
                      <w:rFonts w:cs="Times New Roman"/>
                      <w:b/>
                      <w:bCs/>
                      <w:color w:val="auto"/>
                      <w:szCs w:val="21"/>
                    </w:rPr>
                    <w:t>监测频次</w:t>
                  </w:r>
                </w:p>
              </w:tc>
              <w:tc>
                <w:tcPr>
                  <w:tcW w:w="2043" w:type="pct"/>
                  <w:tcBorders>
                    <w:tl2br w:val="nil"/>
                    <w:tr2bl w:val="nil"/>
                  </w:tcBorders>
                  <w:vAlign w:val="center"/>
                </w:tcPr>
                <w:p w14:paraId="6C8B0D7E">
                  <w:pPr>
                    <w:jc w:val="center"/>
                    <w:rPr>
                      <w:rFonts w:cs="Times New Roman"/>
                      <w:b/>
                      <w:bCs/>
                      <w:color w:val="auto"/>
                      <w:szCs w:val="21"/>
                    </w:rPr>
                  </w:pPr>
                  <w:r>
                    <w:rPr>
                      <w:rFonts w:cs="Times New Roman"/>
                      <w:b/>
                      <w:bCs/>
                      <w:color w:val="auto"/>
                      <w:szCs w:val="21"/>
                    </w:rPr>
                    <w:t>执行排放标准</w:t>
                  </w:r>
                </w:p>
              </w:tc>
            </w:tr>
            <w:tr w14:paraId="5EA6877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38" w:type="pct"/>
                  <w:tcBorders>
                    <w:tl2br w:val="nil"/>
                    <w:tr2bl w:val="nil"/>
                  </w:tcBorders>
                  <w:shd w:val="clear" w:color="auto" w:fill="auto"/>
                  <w:vAlign w:val="center"/>
                </w:tcPr>
                <w:p w14:paraId="6A869A8B">
                  <w:pPr>
                    <w:jc w:val="center"/>
                    <w:rPr>
                      <w:rFonts w:cs="Times New Roman"/>
                      <w:color w:val="auto"/>
                      <w:szCs w:val="21"/>
                    </w:rPr>
                  </w:pPr>
                  <w:r>
                    <w:rPr>
                      <w:rFonts w:cs="Times New Roman"/>
                      <w:color w:val="auto"/>
                      <w:szCs w:val="21"/>
                    </w:rPr>
                    <w:t>厂界上风向（2-50m范围内）设置1个，下风向（2-50m范围内浓度最高点）设置3个</w:t>
                  </w:r>
                </w:p>
              </w:tc>
              <w:tc>
                <w:tcPr>
                  <w:tcW w:w="621" w:type="pct"/>
                  <w:tcBorders>
                    <w:tl2br w:val="nil"/>
                    <w:tr2bl w:val="nil"/>
                  </w:tcBorders>
                  <w:shd w:val="clear" w:color="auto" w:fill="auto"/>
                  <w:vAlign w:val="center"/>
                </w:tcPr>
                <w:p w14:paraId="37EA0F3C">
                  <w:pPr>
                    <w:jc w:val="center"/>
                    <w:rPr>
                      <w:rFonts w:cs="Times New Roman"/>
                      <w:color w:val="auto"/>
                      <w:szCs w:val="21"/>
                    </w:rPr>
                  </w:pPr>
                  <w:r>
                    <w:rPr>
                      <w:rFonts w:cs="Times New Roman"/>
                      <w:color w:val="auto"/>
                      <w:szCs w:val="21"/>
                    </w:rPr>
                    <w:t>颗粒物</w:t>
                  </w:r>
                </w:p>
              </w:tc>
              <w:tc>
                <w:tcPr>
                  <w:tcW w:w="596" w:type="pct"/>
                  <w:tcBorders>
                    <w:tl2br w:val="nil"/>
                    <w:tr2bl w:val="nil"/>
                  </w:tcBorders>
                  <w:shd w:val="clear" w:color="auto" w:fill="auto"/>
                  <w:vAlign w:val="center"/>
                </w:tcPr>
                <w:p w14:paraId="4CE5D79E">
                  <w:pPr>
                    <w:jc w:val="center"/>
                    <w:rPr>
                      <w:rFonts w:cs="Times New Roman"/>
                      <w:color w:val="auto"/>
                      <w:szCs w:val="21"/>
                    </w:rPr>
                  </w:pPr>
                  <w:r>
                    <w:rPr>
                      <w:rFonts w:cs="Times New Roman"/>
                      <w:color w:val="auto"/>
                      <w:szCs w:val="21"/>
                    </w:rPr>
                    <w:t>1年/次</w:t>
                  </w:r>
                </w:p>
              </w:tc>
              <w:tc>
                <w:tcPr>
                  <w:tcW w:w="2043" w:type="pct"/>
                  <w:tcBorders>
                    <w:tl2br w:val="nil"/>
                    <w:tr2bl w:val="nil"/>
                  </w:tcBorders>
                  <w:vAlign w:val="center"/>
                </w:tcPr>
                <w:p w14:paraId="2A3EEBFB">
                  <w:pPr>
                    <w:jc w:val="center"/>
                    <w:rPr>
                      <w:rFonts w:cs="Times New Roman"/>
                      <w:color w:val="auto"/>
                      <w:szCs w:val="21"/>
                    </w:rPr>
                  </w:pPr>
                  <w:r>
                    <w:rPr>
                      <w:rFonts w:cs="Times New Roman"/>
                      <w:color w:val="auto"/>
                      <w:szCs w:val="21"/>
                    </w:rPr>
                    <w:t>《大气污染物综合排放标准》（GB16297-1996）表2中二级标准</w:t>
                  </w:r>
                </w:p>
              </w:tc>
            </w:tr>
          </w:tbl>
          <w:p w14:paraId="54E133FC">
            <w:pPr>
              <w:spacing w:line="360" w:lineRule="auto"/>
              <w:ind w:firstLine="482" w:firstLineChars="200"/>
              <w:rPr>
                <w:rFonts w:cs="Times New Roman"/>
                <w:b/>
                <w:color w:val="auto"/>
                <w:sz w:val="24"/>
                <w:szCs w:val="24"/>
              </w:rPr>
            </w:pPr>
            <w:r>
              <w:rPr>
                <w:rFonts w:cs="Times New Roman"/>
                <w:b/>
                <w:color w:val="auto"/>
                <w:sz w:val="24"/>
                <w:szCs w:val="24"/>
              </w:rPr>
              <w:t>（6）环境影响结论</w:t>
            </w:r>
          </w:p>
          <w:p w14:paraId="71D505A0">
            <w:pPr>
              <w:spacing w:line="360" w:lineRule="auto"/>
              <w:ind w:firstLine="480" w:firstLineChars="200"/>
              <w:rPr>
                <w:rFonts w:cs="Times New Roman"/>
                <w:color w:val="auto"/>
                <w:sz w:val="24"/>
                <w:szCs w:val="24"/>
              </w:rPr>
            </w:pPr>
            <w:r>
              <w:rPr>
                <w:rFonts w:cs="Times New Roman"/>
                <w:color w:val="auto"/>
                <w:sz w:val="24"/>
                <w:szCs w:val="24"/>
              </w:rPr>
              <w:t>本项目区域为空气质量达标区，项目周边500m范围内环境保护目标分布在厂界周边，运营期外排废气以颗粒物为主，环评要求：项目石材加工粉尘经厂房阻隔和湿法作业后无组织排放；运输扬尘经洒水降尘后无组织排放；食堂油烟经自带油烟净化功能的抽油烟机处理后外排。采取上述治理措施后，运营期废气可实现达标排放，不会对区域大气环境造成不利影响。</w:t>
            </w:r>
          </w:p>
          <w:p w14:paraId="338F4671">
            <w:pPr>
              <w:spacing w:line="360" w:lineRule="auto"/>
              <w:ind w:firstLine="482" w:firstLineChars="200"/>
              <w:rPr>
                <w:rFonts w:cs="Times New Roman"/>
                <w:b/>
                <w:color w:val="auto"/>
                <w:sz w:val="24"/>
                <w:szCs w:val="24"/>
              </w:rPr>
            </w:pPr>
            <w:r>
              <w:rPr>
                <w:rFonts w:cs="Times New Roman"/>
                <w:b/>
                <w:color w:val="auto"/>
                <w:sz w:val="24"/>
                <w:szCs w:val="24"/>
              </w:rPr>
              <w:t>2、废水</w:t>
            </w:r>
          </w:p>
          <w:p w14:paraId="185AB280">
            <w:pPr>
              <w:spacing w:line="360" w:lineRule="auto"/>
              <w:ind w:firstLine="482" w:firstLineChars="200"/>
              <w:rPr>
                <w:rFonts w:cs="Times New Roman"/>
                <w:b/>
                <w:color w:val="auto"/>
                <w:sz w:val="24"/>
                <w:szCs w:val="24"/>
              </w:rPr>
            </w:pPr>
            <w:r>
              <w:rPr>
                <w:rFonts w:cs="Times New Roman"/>
                <w:b/>
                <w:color w:val="auto"/>
                <w:sz w:val="24"/>
                <w:szCs w:val="24"/>
              </w:rPr>
              <w:t>（1）产排污环节、类别、污染物种类、产生量核算</w:t>
            </w:r>
          </w:p>
          <w:p w14:paraId="531184B9">
            <w:pPr>
              <w:spacing w:line="360" w:lineRule="auto"/>
              <w:ind w:firstLine="480" w:firstLineChars="200"/>
              <w:rPr>
                <w:rFonts w:cs="Times New Roman"/>
                <w:color w:val="auto"/>
                <w:sz w:val="24"/>
                <w:szCs w:val="24"/>
              </w:rPr>
            </w:pPr>
            <w:r>
              <w:rPr>
                <w:rFonts w:cs="Times New Roman"/>
                <w:bCs/>
                <w:color w:val="auto"/>
                <w:sz w:val="24"/>
                <w:szCs w:val="24"/>
              </w:rPr>
              <w:t>根据水量平衡分析，运营期厂区路面洒水降尘用水经蒸发损耗，废水主要为</w:t>
            </w:r>
            <w:r>
              <w:rPr>
                <w:rFonts w:cs="Times New Roman"/>
                <w:color w:val="auto"/>
                <w:sz w:val="24"/>
                <w:szCs w:val="24"/>
              </w:rPr>
              <w:t>生产降尘废水、地面冲洗废水</w:t>
            </w:r>
            <w:r>
              <w:rPr>
                <w:rFonts w:cs="Times New Roman"/>
                <w:bCs/>
                <w:color w:val="auto"/>
                <w:sz w:val="24"/>
                <w:szCs w:val="24"/>
              </w:rPr>
              <w:t>和生活污水、食堂用水等，其中：</w:t>
            </w:r>
            <w:r>
              <w:rPr>
                <w:rFonts w:cs="Times New Roman"/>
                <w:color w:val="auto"/>
                <w:sz w:val="24"/>
                <w:szCs w:val="24"/>
              </w:rPr>
              <w:t>生产降尘废水</w:t>
            </w:r>
            <w:r>
              <w:rPr>
                <w:rFonts w:cs="Times New Roman"/>
                <w:bCs/>
                <w:color w:val="auto"/>
                <w:sz w:val="24"/>
                <w:szCs w:val="24"/>
              </w:rPr>
              <w:t>主要为降温和除尘过程中排放的含</w:t>
            </w:r>
            <w:r>
              <w:rPr>
                <w:rFonts w:hint="eastAsia" w:cs="Times New Roman"/>
                <w:bCs/>
                <w:color w:val="auto"/>
                <w:sz w:val="24"/>
                <w:szCs w:val="24"/>
                <w:lang w:eastAsia="zh-CN"/>
              </w:rPr>
              <w:t>石材</w:t>
            </w:r>
            <w:r>
              <w:rPr>
                <w:rFonts w:cs="Times New Roman"/>
                <w:bCs/>
                <w:color w:val="auto"/>
                <w:sz w:val="24"/>
                <w:szCs w:val="24"/>
              </w:rPr>
              <w:t>污水，产生量约</w:t>
            </w:r>
            <w:r>
              <w:rPr>
                <w:rFonts w:hint="eastAsia" w:cs="Times New Roman"/>
                <w:color w:val="auto"/>
                <w:kern w:val="0"/>
                <w:sz w:val="24"/>
                <w:szCs w:val="24"/>
                <w:lang w:val="en-US" w:eastAsia="zh-CN" w:bidi="ar"/>
              </w:rPr>
              <w:t>24.64</w:t>
            </w:r>
            <w:r>
              <w:rPr>
                <w:rFonts w:cs="Times New Roman"/>
                <w:bCs/>
                <w:color w:val="auto"/>
                <w:sz w:val="24"/>
                <w:szCs w:val="24"/>
              </w:rPr>
              <w:t>m</w:t>
            </w:r>
            <w:r>
              <w:rPr>
                <w:rFonts w:cs="Times New Roman"/>
                <w:bCs/>
                <w:color w:val="auto"/>
                <w:sz w:val="24"/>
                <w:szCs w:val="24"/>
                <w:vertAlign w:val="superscript"/>
              </w:rPr>
              <w:t>3</w:t>
            </w:r>
            <w:r>
              <w:rPr>
                <w:rFonts w:cs="Times New Roman"/>
                <w:bCs/>
                <w:color w:val="auto"/>
                <w:sz w:val="24"/>
                <w:szCs w:val="24"/>
              </w:rPr>
              <w:t>/d，</w:t>
            </w:r>
            <w:r>
              <w:rPr>
                <w:rFonts w:cs="Times New Roman"/>
                <w:color w:val="auto"/>
                <w:sz w:val="24"/>
                <w:szCs w:val="24"/>
              </w:rPr>
              <w:t>地面冲洗废水产生量为</w:t>
            </w:r>
            <w:r>
              <w:rPr>
                <w:rFonts w:hint="eastAsia" w:cs="Times New Roman"/>
                <w:color w:val="auto"/>
                <w:sz w:val="24"/>
                <w:szCs w:val="24"/>
                <w:lang w:val="en-US" w:eastAsia="zh-CN"/>
              </w:rPr>
              <w:t>7.67</w:t>
            </w:r>
            <w:r>
              <w:rPr>
                <w:rFonts w:cs="Times New Roman"/>
                <w:bCs/>
                <w:color w:val="auto"/>
                <w:sz w:val="24"/>
                <w:szCs w:val="24"/>
              </w:rPr>
              <w:t>m</w:t>
            </w:r>
            <w:r>
              <w:rPr>
                <w:rFonts w:cs="Times New Roman"/>
                <w:bCs/>
                <w:color w:val="auto"/>
                <w:sz w:val="24"/>
                <w:szCs w:val="24"/>
                <w:vertAlign w:val="superscript"/>
              </w:rPr>
              <w:t>3</w:t>
            </w:r>
            <w:r>
              <w:rPr>
                <w:rFonts w:cs="Times New Roman"/>
                <w:bCs/>
                <w:color w:val="auto"/>
                <w:sz w:val="24"/>
                <w:szCs w:val="24"/>
              </w:rPr>
              <w:t>/d，主要污染物浓度SS：3000mg/L；员工办公生活过程中生活污水和食堂废水产生量约</w:t>
            </w:r>
            <w:r>
              <w:rPr>
                <w:rFonts w:hint="eastAsia" w:cs="Times New Roman"/>
                <w:bCs/>
                <w:color w:val="auto"/>
                <w:sz w:val="24"/>
                <w:szCs w:val="24"/>
                <w:lang w:val="en-US" w:eastAsia="zh-CN"/>
              </w:rPr>
              <w:t>1.56</w:t>
            </w:r>
            <w:r>
              <w:rPr>
                <w:rFonts w:cs="Times New Roman"/>
                <w:bCs/>
                <w:color w:val="auto"/>
                <w:sz w:val="24"/>
                <w:szCs w:val="24"/>
              </w:rPr>
              <w:t>m</w:t>
            </w:r>
            <w:r>
              <w:rPr>
                <w:rFonts w:cs="Times New Roman"/>
                <w:bCs/>
                <w:color w:val="auto"/>
                <w:sz w:val="24"/>
                <w:szCs w:val="24"/>
                <w:vertAlign w:val="superscript"/>
              </w:rPr>
              <w:t>3</w:t>
            </w:r>
            <w:r>
              <w:rPr>
                <w:rFonts w:cs="Times New Roman"/>
                <w:bCs/>
                <w:color w:val="auto"/>
                <w:sz w:val="24"/>
                <w:szCs w:val="24"/>
              </w:rPr>
              <w:t>/d，主要污染物浓度COD：360mg/L、BOD</w:t>
            </w:r>
            <w:r>
              <w:rPr>
                <w:rFonts w:cs="Times New Roman"/>
                <w:bCs/>
                <w:color w:val="auto"/>
                <w:sz w:val="24"/>
                <w:szCs w:val="24"/>
                <w:vertAlign w:val="subscript"/>
              </w:rPr>
              <w:t>5</w:t>
            </w:r>
            <w:r>
              <w:rPr>
                <w:rFonts w:cs="Times New Roman"/>
                <w:bCs/>
                <w:color w:val="auto"/>
                <w:sz w:val="24"/>
                <w:szCs w:val="24"/>
              </w:rPr>
              <w:t>：157mg/L、SS：200mg/L、NH</w:t>
            </w:r>
            <w:r>
              <w:rPr>
                <w:rFonts w:cs="Times New Roman"/>
                <w:bCs/>
                <w:color w:val="auto"/>
                <w:sz w:val="24"/>
                <w:szCs w:val="24"/>
                <w:vertAlign w:val="subscript"/>
              </w:rPr>
              <w:t>3</w:t>
            </w:r>
            <w:r>
              <w:rPr>
                <w:rFonts w:cs="Times New Roman"/>
                <w:bCs/>
                <w:color w:val="auto"/>
                <w:sz w:val="24"/>
                <w:szCs w:val="24"/>
              </w:rPr>
              <w:t>-N：36.2mg/L、TP：4.64mg/L。</w:t>
            </w:r>
          </w:p>
          <w:p w14:paraId="56E545B8">
            <w:pPr>
              <w:pStyle w:val="20"/>
              <w:ind w:left="840" w:hanging="420"/>
              <w:rPr>
                <w:color w:val="auto"/>
              </w:rPr>
            </w:pPr>
          </w:p>
        </w:tc>
      </w:tr>
    </w:tbl>
    <w:p w14:paraId="36E5EA09">
      <w:pPr>
        <w:spacing w:line="360" w:lineRule="auto"/>
        <w:rPr>
          <w:rFonts w:cs="Times New Roman"/>
          <w:b/>
          <w:color w:val="auto"/>
          <w:sz w:val="28"/>
          <w:szCs w:val="28"/>
        </w:rPr>
      </w:pPr>
    </w:p>
    <w:p w14:paraId="603EACB9">
      <w:pPr>
        <w:spacing w:line="360" w:lineRule="auto"/>
        <w:rPr>
          <w:rFonts w:cs="Times New Roman"/>
          <w:b/>
          <w:color w:val="auto"/>
          <w:sz w:val="28"/>
          <w:szCs w:val="28"/>
        </w:rPr>
      </w:pPr>
    </w:p>
    <w:p w14:paraId="4A85FF22">
      <w:pPr>
        <w:spacing w:line="360" w:lineRule="auto"/>
        <w:rPr>
          <w:rFonts w:cs="Times New Roman"/>
          <w:b/>
          <w:color w:val="auto"/>
          <w:sz w:val="28"/>
          <w:szCs w:val="28"/>
        </w:rPr>
        <w:sectPr>
          <w:pgSz w:w="11906" w:h="16838"/>
          <w:pgMar w:top="1134" w:right="1134" w:bottom="1134" w:left="1418" w:header="851" w:footer="992" w:gutter="0"/>
          <w:pgBorders>
            <w:top w:val="none" w:sz="0" w:space="0"/>
            <w:left w:val="none" w:sz="0" w:space="0"/>
            <w:bottom w:val="none" w:sz="0" w:space="0"/>
            <w:right w:val="none" w:sz="0" w:space="0"/>
          </w:pgBorders>
          <w:pgNumType w:fmt="numberInDash"/>
          <w:cols w:space="720" w:num="1"/>
          <w:docGrid w:type="lines" w:linePitch="312" w:charSpace="0"/>
        </w:sectPr>
      </w:pPr>
    </w:p>
    <w:tbl>
      <w:tblPr>
        <w:tblStyle w:val="2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1"/>
        <w:gridCol w:w="8869"/>
      </w:tblGrid>
      <w:tr w14:paraId="1376E5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1" w:type="dxa"/>
            <w:vAlign w:val="center"/>
          </w:tcPr>
          <w:p w14:paraId="005E32DD">
            <w:pPr>
              <w:jc w:val="center"/>
              <w:rPr>
                <w:rFonts w:cs="Times New Roman"/>
                <w:color w:val="auto"/>
                <w:sz w:val="24"/>
                <w:szCs w:val="24"/>
              </w:rPr>
            </w:pPr>
            <w:r>
              <w:rPr>
                <w:rFonts w:cs="Times New Roman"/>
                <w:color w:val="auto"/>
                <w:sz w:val="24"/>
                <w:szCs w:val="24"/>
              </w:rPr>
              <w:t>运营</w:t>
            </w:r>
          </w:p>
          <w:p w14:paraId="3E2FC756">
            <w:pPr>
              <w:jc w:val="center"/>
              <w:rPr>
                <w:rFonts w:cs="Times New Roman"/>
                <w:color w:val="auto"/>
                <w:sz w:val="24"/>
                <w:szCs w:val="24"/>
              </w:rPr>
            </w:pPr>
            <w:r>
              <w:rPr>
                <w:rFonts w:cs="Times New Roman"/>
                <w:color w:val="auto"/>
                <w:sz w:val="24"/>
                <w:szCs w:val="24"/>
              </w:rPr>
              <w:t>期环</w:t>
            </w:r>
          </w:p>
          <w:p w14:paraId="75EC0D66">
            <w:pPr>
              <w:jc w:val="center"/>
              <w:rPr>
                <w:rFonts w:cs="Times New Roman"/>
                <w:color w:val="auto"/>
                <w:sz w:val="24"/>
                <w:szCs w:val="24"/>
              </w:rPr>
            </w:pPr>
            <w:r>
              <w:rPr>
                <w:rFonts w:cs="Times New Roman"/>
                <w:color w:val="auto"/>
                <w:sz w:val="24"/>
                <w:szCs w:val="24"/>
              </w:rPr>
              <w:t>境影</w:t>
            </w:r>
          </w:p>
          <w:p w14:paraId="2A1C6963">
            <w:pPr>
              <w:jc w:val="center"/>
              <w:rPr>
                <w:rFonts w:cs="Times New Roman"/>
                <w:color w:val="auto"/>
                <w:sz w:val="24"/>
                <w:szCs w:val="24"/>
              </w:rPr>
            </w:pPr>
            <w:r>
              <w:rPr>
                <w:rFonts w:cs="Times New Roman"/>
                <w:color w:val="auto"/>
                <w:sz w:val="24"/>
                <w:szCs w:val="24"/>
              </w:rPr>
              <w:t>响和</w:t>
            </w:r>
          </w:p>
          <w:p w14:paraId="44BCED15">
            <w:pPr>
              <w:jc w:val="center"/>
              <w:rPr>
                <w:rFonts w:cs="Times New Roman"/>
                <w:color w:val="auto"/>
                <w:sz w:val="24"/>
                <w:szCs w:val="24"/>
              </w:rPr>
            </w:pPr>
            <w:r>
              <w:rPr>
                <w:rFonts w:cs="Times New Roman"/>
                <w:color w:val="auto"/>
                <w:sz w:val="24"/>
                <w:szCs w:val="24"/>
              </w:rPr>
              <w:t>保护</w:t>
            </w:r>
          </w:p>
          <w:p w14:paraId="76029222">
            <w:pPr>
              <w:tabs>
                <w:tab w:val="left" w:pos="1005"/>
              </w:tabs>
              <w:jc w:val="center"/>
              <w:rPr>
                <w:rFonts w:cs="Times New Roman"/>
                <w:color w:val="auto"/>
                <w:sz w:val="24"/>
                <w:szCs w:val="24"/>
              </w:rPr>
            </w:pPr>
            <w:r>
              <w:rPr>
                <w:rFonts w:cs="Times New Roman"/>
                <w:color w:val="auto"/>
                <w:sz w:val="24"/>
                <w:szCs w:val="24"/>
              </w:rPr>
              <w:t>措施</w:t>
            </w:r>
          </w:p>
        </w:tc>
        <w:tc>
          <w:tcPr>
            <w:tcW w:w="8869" w:type="dxa"/>
            <w:vAlign w:val="center"/>
          </w:tcPr>
          <w:p w14:paraId="03F68FF7">
            <w:pPr>
              <w:spacing w:line="360" w:lineRule="auto"/>
              <w:ind w:firstLine="480" w:firstLineChars="200"/>
              <w:rPr>
                <w:rFonts w:cs="Times New Roman"/>
                <w:bCs/>
                <w:color w:val="auto"/>
                <w:sz w:val="24"/>
                <w:szCs w:val="24"/>
              </w:rPr>
            </w:pPr>
            <w:r>
              <w:rPr>
                <w:rFonts w:cs="Times New Roman"/>
                <w:bCs/>
                <w:color w:val="auto"/>
                <w:sz w:val="24"/>
                <w:szCs w:val="24"/>
              </w:rPr>
              <w:t>综上所述，项目废水产排污环节、类别、污染物种类、产生量见下表：</w:t>
            </w:r>
          </w:p>
          <w:p w14:paraId="766D7CC6">
            <w:pPr>
              <w:spacing w:line="360" w:lineRule="auto"/>
              <w:jc w:val="center"/>
              <w:rPr>
                <w:rFonts w:cs="Times New Roman"/>
                <w:b/>
                <w:color w:val="auto"/>
                <w:sz w:val="24"/>
                <w:szCs w:val="24"/>
              </w:rPr>
            </w:pPr>
            <w:r>
              <w:rPr>
                <w:rFonts w:cs="Times New Roman"/>
                <w:b/>
                <w:color w:val="auto"/>
                <w:sz w:val="24"/>
                <w:szCs w:val="24"/>
              </w:rPr>
              <w:t>表4-</w:t>
            </w:r>
            <w:r>
              <w:rPr>
                <w:rFonts w:hint="eastAsia" w:cs="Times New Roman"/>
                <w:b/>
                <w:color w:val="auto"/>
                <w:sz w:val="24"/>
                <w:szCs w:val="24"/>
                <w:lang w:val="en-US" w:eastAsia="zh-CN"/>
              </w:rPr>
              <w:t>8</w:t>
            </w:r>
            <w:r>
              <w:rPr>
                <w:rFonts w:cs="Times New Roman"/>
                <w:b/>
                <w:color w:val="auto"/>
                <w:sz w:val="24"/>
                <w:szCs w:val="24"/>
              </w:rPr>
              <w:t xml:space="preserve"> 废水产排污环节、类别、污染物种类、产生量表</w:t>
            </w:r>
          </w:p>
          <w:tbl>
            <w:tblPr>
              <w:tblStyle w:val="25"/>
              <w:tblW w:w="4991" w:type="pct"/>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95"/>
              <w:gridCol w:w="1744"/>
              <w:gridCol w:w="1163"/>
              <w:gridCol w:w="1310"/>
              <w:gridCol w:w="1607"/>
              <w:gridCol w:w="1619"/>
            </w:tblGrid>
            <w:tr w14:paraId="19737C2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4" w:hRule="atLeast"/>
              </w:trPr>
              <w:tc>
                <w:tcPr>
                  <w:tcW w:w="691" w:type="pct"/>
                  <w:vMerge w:val="restart"/>
                  <w:tcBorders>
                    <w:tl2br w:val="nil"/>
                    <w:tr2bl w:val="nil"/>
                  </w:tcBorders>
                  <w:vAlign w:val="center"/>
                </w:tcPr>
                <w:p w14:paraId="744FBF64">
                  <w:pPr>
                    <w:jc w:val="center"/>
                    <w:rPr>
                      <w:rFonts w:cs="Times New Roman"/>
                      <w:b/>
                      <w:bCs/>
                      <w:color w:val="auto"/>
                      <w:szCs w:val="21"/>
                    </w:rPr>
                  </w:pPr>
                  <w:r>
                    <w:rPr>
                      <w:rFonts w:cs="Times New Roman"/>
                      <w:b/>
                      <w:bCs/>
                      <w:color w:val="auto"/>
                      <w:szCs w:val="21"/>
                    </w:rPr>
                    <w:t>废水产污环节</w:t>
                  </w:r>
                </w:p>
              </w:tc>
              <w:tc>
                <w:tcPr>
                  <w:tcW w:w="1009" w:type="pct"/>
                  <w:vMerge w:val="restart"/>
                  <w:tcBorders>
                    <w:tl2br w:val="nil"/>
                    <w:tr2bl w:val="nil"/>
                  </w:tcBorders>
                  <w:vAlign w:val="center"/>
                </w:tcPr>
                <w:p w14:paraId="6C3F722A">
                  <w:pPr>
                    <w:jc w:val="center"/>
                    <w:rPr>
                      <w:rFonts w:cs="Times New Roman"/>
                      <w:b/>
                      <w:bCs/>
                      <w:color w:val="auto"/>
                      <w:szCs w:val="21"/>
                    </w:rPr>
                  </w:pPr>
                  <w:r>
                    <w:rPr>
                      <w:rFonts w:cs="Times New Roman"/>
                      <w:b/>
                      <w:bCs/>
                      <w:color w:val="auto"/>
                      <w:szCs w:val="21"/>
                    </w:rPr>
                    <w:t>废水类别</w:t>
                  </w:r>
                </w:p>
              </w:tc>
              <w:tc>
                <w:tcPr>
                  <w:tcW w:w="673" w:type="pct"/>
                  <w:vMerge w:val="restart"/>
                  <w:tcBorders>
                    <w:tl2br w:val="nil"/>
                    <w:tr2bl w:val="nil"/>
                  </w:tcBorders>
                  <w:vAlign w:val="center"/>
                </w:tcPr>
                <w:p w14:paraId="0F012B68">
                  <w:pPr>
                    <w:jc w:val="center"/>
                    <w:rPr>
                      <w:rFonts w:cs="Times New Roman"/>
                      <w:b/>
                      <w:bCs/>
                      <w:color w:val="auto"/>
                      <w:szCs w:val="21"/>
                    </w:rPr>
                  </w:pPr>
                  <w:r>
                    <w:rPr>
                      <w:rFonts w:cs="Times New Roman"/>
                      <w:b/>
                      <w:bCs/>
                      <w:color w:val="auto"/>
                      <w:szCs w:val="21"/>
                    </w:rPr>
                    <w:t>废水量（m</w:t>
                  </w:r>
                  <w:r>
                    <w:rPr>
                      <w:rFonts w:cs="Times New Roman"/>
                      <w:b/>
                      <w:bCs/>
                      <w:color w:val="auto"/>
                      <w:szCs w:val="21"/>
                      <w:vertAlign w:val="superscript"/>
                    </w:rPr>
                    <w:t>3</w:t>
                  </w:r>
                  <w:r>
                    <w:rPr>
                      <w:rFonts w:cs="Times New Roman"/>
                      <w:b/>
                      <w:bCs/>
                      <w:color w:val="auto"/>
                      <w:szCs w:val="21"/>
                    </w:rPr>
                    <w:t>/d）</w:t>
                  </w:r>
                </w:p>
              </w:tc>
              <w:tc>
                <w:tcPr>
                  <w:tcW w:w="758" w:type="pct"/>
                  <w:vMerge w:val="restart"/>
                  <w:tcBorders>
                    <w:tl2br w:val="nil"/>
                    <w:tr2bl w:val="nil"/>
                  </w:tcBorders>
                  <w:vAlign w:val="center"/>
                </w:tcPr>
                <w:p w14:paraId="7B92F8A6">
                  <w:pPr>
                    <w:jc w:val="center"/>
                    <w:rPr>
                      <w:rFonts w:cs="Times New Roman"/>
                      <w:b/>
                      <w:bCs/>
                      <w:color w:val="auto"/>
                      <w:szCs w:val="21"/>
                    </w:rPr>
                  </w:pPr>
                  <w:r>
                    <w:rPr>
                      <w:rFonts w:cs="Times New Roman"/>
                      <w:b/>
                      <w:bCs/>
                      <w:color w:val="auto"/>
                      <w:szCs w:val="21"/>
                    </w:rPr>
                    <w:t>污染物种类</w:t>
                  </w:r>
                </w:p>
              </w:tc>
              <w:tc>
                <w:tcPr>
                  <w:tcW w:w="1867" w:type="pct"/>
                  <w:gridSpan w:val="2"/>
                  <w:tcBorders>
                    <w:tl2br w:val="nil"/>
                    <w:tr2bl w:val="nil"/>
                  </w:tcBorders>
                  <w:vAlign w:val="center"/>
                </w:tcPr>
                <w:p w14:paraId="61F080B9">
                  <w:pPr>
                    <w:jc w:val="center"/>
                    <w:rPr>
                      <w:rFonts w:cs="Times New Roman"/>
                      <w:b/>
                      <w:bCs/>
                      <w:color w:val="auto"/>
                      <w:szCs w:val="21"/>
                    </w:rPr>
                  </w:pPr>
                  <w:r>
                    <w:rPr>
                      <w:rFonts w:cs="Times New Roman"/>
                      <w:b/>
                      <w:bCs/>
                      <w:color w:val="auto"/>
                      <w:szCs w:val="21"/>
                    </w:rPr>
                    <w:t>污染物产生量</w:t>
                  </w:r>
                </w:p>
              </w:tc>
            </w:tr>
            <w:tr w14:paraId="3B6F40F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691" w:type="pct"/>
                  <w:vMerge w:val="continue"/>
                  <w:tcBorders>
                    <w:tl2br w:val="nil"/>
                    <w:tr2bl w:val="nil"/>
                  </w:tcBorders>
                  <w:vAlign w:val="center"/>
                </w:tcPr>
                <w:p w14:paraId="68BBF7B9">
                  <w:pPr>
                    <w:jc w:val="center"/>
                    <w:rPr>
                      <w:rFonts w:cs="Times New Roman"/>
                      <w:b/>
                      <w:bCs/>
                      <w:color w:val="auto"/>
                      <w:szCs w:val="21"/>
                    </w:rPr>
                  </w:pPr>
                </w:p>
              </w:tc>
              <w:tc>
                <w:tcPr>
                  <w:tcW w:w="1009" w:type="pct"/>
                  <w:vMerge w:val="continue"/>
                  <w:tcBorders>
                    <w:tl2br w:val="nil"/>
                    <w:tr2bl w:val="nil"/>
                  </w:tcBorders>
                  <w:vAlign w:val="center"/>
                </w:tcPr>
                <w:p w14:paraId="1A7B15C4">
                  <w:pPr>
                    <w:jc w:val="center"/>
                    <w:rPr>
                      <w:rFonts w:cs="Times New Roman"/>
                      <w:b/>
                      <w:bCs/>
                      <w:color w:val="auto"/>
                      <w:szCs w:val="21"/>
                    </w:rPr>
                  </w:pPr>
                </w:p>
              </w:tc>
              <w:tc>
                <w:tcPr>
                  <w:tcW w:w="673" w:type="pct"/>
                  <w:vMerge w:val="continue"/>
                  <w:tcBorders>
                    <w:tl2br w:val="nil"/>
                    <w:tr2bl w:val="nil"/>
                  </w:tcBorders>
                  <w:vAlign w:val="center"/>
                </w:tcPr>
                <w:p w14:paraId="764E82C3">
                  <w:pPr>
                    <w:jc w:val="center"/>
                    <w:rPr>
                      <w:rFonts w:cs="Times New Roman"/>
                      <w:b/>
                      <w:bCs/>
                      <w:color w:val="auto"/>
                      <w:szCs w:val="21"/>
                    </w:rPr>
                  </w:pPr>
                </w:p>
              </w:tc>
              <w:tc>
                <w:tcPr>
                  <w:tcW w:w="758" w:type="pct"/>
                  <w:vMerge w:val="continue"/>
                  <w:tcBorders>
                    <w:tl2br w:val="nil"/>
                    <w:tr2bl w:val="nil"/>
                  </w:tcBorders>
                  <w:vAlign w:val="center"/>
                </w:tcPr>
                <w:p w14:paraId="4C960550">
                  <w:pPr>
                    <w:jc w:val="center"/>
                    <w:rPr>
                      <w:rFonts w:cs="Times New Roman"/>
                      <w:b/>
                      <w:bCs/>
                      <w:color w:val="auto"/>
                      <w:szCs w:val="21"/>
                    </w:rPr>
                  </w:pPr>
                </w:p>
              </w:tc>
              <w:tc>
                <w:tcPr>
                  <w:tcW w:w="930" w:type="pct"/>
                  <w:tcBorders>
                    <w:tl2br w:val="nil"/>
                    <w:tr2bl w:val="nil"/>
                  </w:tcBorders>
                  <w:vAlign w:val="center"/>
                </w:tcPr>
                <w:p w14:paraId="6E9EB9FE">
                  <w:pPr>
                    <w:jc w:val="center"/>
                    <w:rPr>
                      <w:rFonts w:cs="Times New Roman"/>
                      <w:b/>
                      <w:bCs/>
                      <w:color w:val="auto"/>
                      <w:szCs w:val="21"/>
                    </w:rPr>
                  </w:pPr>
                  <w:r>
                    <w:rPr>
                      <w:rFonts w:cs="Times New Roman"/>
                      <w:b/>
                      <w:bCs/>
                      <w:color w:val="auto"/>
                      <w:szCs w:val="21"/>
                    </w:rPr>
                    <w:t>浓度（mg/L）</w:t>
                  </w:r>
                </w:p>
              </w:tc>
              <w:tc>
                <w:tcPr>
                  <w:tcW w:w="937" w:type="pct"/>
                  <w:tcBorders>
                    <w:tl2br w:val="nil"/>
                    <w:tr2bl w:val="nil"/>
                  </w:tcBorders>
                  <w:vAlign w:val="center"/>
                </w:tcPr>
                <w:p w14:paraId="4F8B008B">
                  <w:pPr>
                    <w:jc w:val="center"/>
                    <w:rPr>
                      <w:rFonts w:cs="Times New Roman"/>
                      <w:b/>
                      <w:bCs/>
                      <w:color w:val="auto"/>
                      <w:szCs w:val="21"/>
                    </w:rPr>
                  </w:pPr>
                  <w:r>
                    <w:rPr>
                      <w:rFonts w:cs="Times New Roman"/>
                      <w:b/>
                      <w:bCs/>
                      <w:color w:val="auto"/>
                      <w:szCs w:val="21"/>
                    </w:rPr>
                    <w:t>产生量（t/a）</w:t>
                  </w:r>
                </w:p>
              </w:tc>
            </w:tr>
            <w:tr w14:paraId="71D7FE0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691" w:type="pct"/>
                  <w:tcBorders>
                    <w:tl2br w:val="nil"/>
                    <w:tr2bl w:val="nil"/>
                  </w:tcBorders>
                  <w:vAlign w:val="center"/>
                </w:tcPr>
                <w:p w14:paraId="68339946">
                  <w:pPr>
                    <w:jc w:val="center"/>
                    <w:rPr>
                      <w:rFonts w:cs="Times New Roman"/>
                      <w:color w:val="auto"/>
                      <w:szCs w:val="21"/>
                    </w:rPr>
                  </w:pPr>
                  <w:r>
                    <w:rPr>
                      <w:rFonts w:cs="Times New Roman"/>
                      <w:color w:val="auto"/>
                      <w:szCs w:val="21"/>
                    </w:rPr>
                    <w:t>石材加工</w:t>
                  </w:r>
                </w:p>
              </w:tc>
              <w:tc>
                <w:tcPr>
                  <w:tcW w:w="1009" w:type="pct"/>
                  <w:tcBorders>
                    <w:tl2br w:val="nil"/>
                    <w:tr2bl w:val="nil"/>
                  </w:tcBorders>
                  <w:vAlign w:val="center"/>
                </w:tcPr>
                <w:p w14:paraId="34840119">
                  <w:pPr>
                    <w:jc w:val="center"/>
                    <w:rPr>
                      <w:rFonts w:cs="Times New Roman"/>
                      <w:color w:val="auto"/>
                      <w:szCs w:val="21"/>
                    </w:rPr>
                  </w:pPr>
                  <w:r>
                    <w:rPr>
                      <w:rFonts w:cs="Times New Roman"/>
                      <w:color w:val="auto"/>
                      <w:szCs w:val="21"/>
                    </w:rPr>
                    <w:t>生产降尘废水</w:t>
                  </w:r>
                </w:p>
              </w:tc>
              <w:tc>
                <w:tcPr>
                  <w:tcW w:w="673" w:type="pct"/>
                  <w:tcBorders>
                    <w:tl2br w:val="nil"/>
                    <w:tr2bl w:val="nil"/>
                  </w:tcBorders>
                  <w:vAlign w:val="center"/>
                </w:tcPr>
                <w:p w14:paraId="798B1EE9">
                  <w:pPr>
                    <w:widowControl/>
                    <w:jc w:val="center"/>
                    <w:textAlignment w:val="center"/>
                    <w:rPr>
                      <w:rFonts w:hint="default" w:eastAsia="宋体" w:cs="Times New Roman"/>
                      <w:color w:val="auto"/>
                      <w:szCs w:val="21"/>
                      <w:lang w:val="en-US" w:eastAsia="zh-CN"/>
                    </w:rPr>
                  </w:pPr>
                  <w:r>
                    <w:rPr>
                      <w:rFonts w:hint="eastAsia" w:cs="Times New Roman"/>
                      <w:color w:val="auto"/>
                      <w:szCs w:val="21"/>
                      <w:lang w:val="en-US" w:eastAsia="zh-CN"/>
                    </w:rPr>
                    <w:t>24.64</w:t>
                  </w:r>
                </w:p>
              </w:tc>
              <w:tc>
                <w:tcPr>
                  <w:tcW w:w="758" w:type="pct"/>
                  <w:tcBorders>
                    <w:tl2br w:val="nil"/>
                    <w:tr2bl w:val="nil"/>
                  </w:tcBorders>
                  <w:vAlign w:val="center"/>
                </w:tcPr>
                <w:p w14:paraId="2B4CE5FC">
                  <w:pPr>
                    <w:jc w:val="center"/>
                    <w:rPr>
                      <w:rFonts w:cs="Times New Roman"/>
                      <w:color w:val="auto"/>
                      <w:szCs w:val="21"/>
                    </w:rPr>
                  </w:pPr>
                  <w:r>
                    <w:rPr>
                      <w:rFonts w:cs="Times New Roman"/>
                      <w:color w:val="auto"/>
                      <w:szCs w:val="21"/>
                    </w:rPr>
                    <w:t>SS</w:t>
                  </w:r>
                </w:p>
              </w:tc>
              <w:tc>
                <w:tcPr>
                  <w:tcW w:w="930" w:type="pct"/>
                  <w:tcBorders>
                    <w:tl2br w:val="nil"/>
                    <w:tr2bl w:val="nil"/>
                  </w:tcBorders>
                  <w:vAlign w:val="center"/>
                </w:tcPr>
                <w:p w14:paraId="3EA05A14">
                  <w:pPr>
                    <w:jc w:val="center"/>
                    <w:rPr>
                      <w:rFonts w:cs="Times New Roman"/>
                      <w:color w:val="auto"/>
                      <w:szCs w:val="21"/>
                    </w:rPr>
                  </w:pPr>
                  <w:r>
                    <w:rPr>
                      <w:rFonts w:cs="Times New Roman"/>
                      <w:color w:val="auto"/>
                      <w:szCs w:val="21"/>
                    </w:rPr>
                    <w:t>3000</w:t>
                  </w:r>
                </w:p>
              </w:tc>
              <w:tc>
                <w:tcPr>
                  <w:tcW w:w="937" w:type="pct"/>
                  <w:tcBorders>
                    <w:tl2br w:val="nil"/>
                    <w:tr2bl w:val="nil"/>
                  </w:tcBorders>
                  <w:vAlign w:val="center"/>
                </w:tcPr>
                <w:p w14:paraId="7322EFF4">
                  <w:pPr>
                    <w:widowControl/>
                    <w:jc w:val="center"/>
                    <w:textAlignment w:val="center"/>
                    <w:rPr>
                      <w:rFonts w:hint="default" w:eastAsia="宋体" w:cs="Times New Roman"/>
                      <w:color w:val="auto"/>
                      <w:szCs w:val="21"/>
                      <w:lang w:val="en-US" w:eastAsia="zh-CN"/>
                    </w:rPr>
                  </w:pPr>
                  <w:r>
                    <w:rPr>
                      <w:rFonts w:hint="eastAsia" w:cs="Times New Roman"/>
                      <w:color w:val="auto"/>
                      <w:szCs w:val="21"/>
                      <w:lang w:val="en-US" w:eastAsia="zh-CN"/>
                    </w:rPr>
                    <w:t>22.176</w:t>
                  </w:r>
                </w:p>
              </w:tc>
            </w:tr>
            <w:tr w14:paraId="62F9560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691" w:type="pct"/>
                  <w:tcBorders>
                    <w:tl2br w:val="nil"/>
                    <w:tr2bl w:val="nil"/>
                  </w:tcBorders>
                  <w:vAlign w:val="center"/>
                </w:tcPr>
                <w:p w14:paraId="4CB9BB96">
                  <w:pPr>
                    <w:jc w:val="center"/>
                    <w:rPr>
                      <w:rFonts w:cs="Times New Roman"/>
                      <w:color w:val="auto"/>
                      <w:szCs w:val="21"/>
                    </w:rPr>
                  </w:pPr>
                  <w:r>
                    <w:rPr>
                      <w:rFonts w:cs="Times New Roman"/>
                      <w:color w:val="auto"/>
                      <w:szCs w:val="21"/>
                    </w:rPr>
                    <w:t>厂区降尘</w:t>
                  </w:r>
                </w:p>
              </w:tc>
              <w:tc>
                <w:tcPr>
                  <w:tcW w:w="1009" w:type="pct"/>
                  <w:tcBorders>
                    <w:tl2br w:val="nil"/>
                    <w:tr2bl w:val="nil"/>
                  </w:tcBorders>
                  <w:vAlign w:val="center"/>
                </w:tcPr>
                <w:p w14:paraId="0C64665E">
                  <w:pPr>
                    <w:jc w:val="center"/>
                    <w:rPr>
                      <w:rFonts w:cs="Times New Roman"/>
                      <w:color w:val="auto"/>
                      <w:szCs w:val="21"/>
                    </w:rPr>
                  </w:pPr>
                  <w:r>
                    <w:rPr>
                      <w:rFonts w:cs="Times New Roman"/>
                      <w:color w:val="auto"/>
                      <w:szCs w:val="21"/>
                    </w:rPr>
                    <w:t>地面冲洗废水</w:t>
                  </w:r>
                </w:p>
              </w:tc>
              <w:tc>
                <w:tcPr>
                  <w:tcW w:w="673" w:type="pct"/>
                  <w:tcBorders>
                    <w:tl2br w:val="nil"/>
                    <w:tr2bl w:val="nil"/>
                  </w:tcBorders>
                  <w:vAlign w:val="center"/>
                </w:tcPr>
                <w:p w14:paraId="1215F492">
                  <w:pPr>
                    <w:widowControl/>
                    <w:jc w:val="center"/>
                    <w:textAlignment w:val="center"/>
                    <w:rPr>
                      <w:rFonts w:hint="default" w:eastAsia="宋体" w:cs="Times New Roman"/>
                      <w:color w:val="auto"/>
                      <w:szCs w:val="21"/>
                      <w:lang w:val="en-US" w:eastAsia="zh-CN"/>
                    </w:rPr>
                  </w:pPr>
                  <w:r>
                    <w:rPr>
                      <w:rFonts w:hint="eastAsia" w:cs="Times New Roman"/>
                      <w:color w:val="auto"/>
                      <w:szCs w:val="21"/>
                      <w:lang w:val="en-US" w:eastAsia="zh-CN"/>
                    </w:rPr>
                    <w:t>7.67</w:t>
                  </w:r>
                </w:p>
              </w:tc>
              <w:tc>
                <w:tcPr>
                  <w:tcW w:w="758" w:type="pct"/>
                  <w:tcBorders>
                    <w:tl2br w:val="nil"/>
                    <w:tr2bl w:val="nil"/>
                  </w:tcBorders>
                  <w:vAlign w:val="center"/>
                </w:tcPr>
                <w:p w14:paraId="137E0C89">
                  <w:pPr>
                    <w:jc w:val="center"/>
                    <w:rPr>
                      <w:rFonts w:cs="Times New Roman"/>
                      <w:color w:val="auto"/>
                      <w:szCs w:val="21"/>
                    </w:rPr>
                  </w:pPr>
                  <w:r>
                    <w:rPr>
                      <w:rFonts w:cs="Times New Roman"/>
                      <w:color w:val="auto"/>
                      <w:szCs w:val="21"/>
                    </w:rPr>
                    <w:t>SS</w:t>
                  </w:r>
                </w:p>
              </w:tc>
              <w:tc>
                <w:tcPr>
                  <w:tcW w:w="930" w:type="pct"/>
                  <w:tcBorders>
                    <w:tl2br w:val="nil"/>
                    <w:tr2bl w:val="nil"/>
                  </w:tcBorders>
                  <w:vAlign w:val="center"/>
                </w:tcPr>
                <w:p w14:paraId="47608F6A">
                  <w:pPr>
                    <w:jc w:val="center"/>
                    <w:rPr>
                      <w:rFonts w:cs="Times New Roman"/>
                      <w:color w:val="auto"/>
                      <w:szCs w:val="21"/>
                    </w:rPr>
                  </w:pPr>
                  <w:r>
                    <w:rPr>
                      <w:rFonts w:cs="Times New Roman"/>
                      <w:color w:val="auto"/>
                      <w:szCs w:val="21"/>
                    </w:rPr>
                    <w:t>3000</w:t>
                  </w:r>
                </w:p>
              </w:tc>
              <w:tc>
                <w:tcPr>
                  <w:tcW w:w="937" w:type="pct"/>
                  <w:tcBorders>
                    <w:tl2br w:val="nil"/>
                    <w:tr2bl w:val="nil"/>
                  </w:tcBorders>
                  <w:vAlign w:val="center"/>
                </w:tcPr>
                <w:p w14:paraId="1DCCF52E">
                  <w:pPr>
                    <w:widowControl/>
                    <w:jc w:val="center"/>
                    <w:textAlignment w:val="center"/>
                    <w:rPr>
                      <w:rFonts w:hint="default" w:eastAsia="宋体" w:cs="Times New Roman"/>
                      <w:color w:val="auto"/>
                      <w:kern w:val="0"/>
                      <w:szCs w:val="21"/>
                      <w:lang w:val="en-US" w:eastAsia="zh-CN" w:bidi="ar"/>
                    </w:rPr>
                  </w:pPr>
                  <w:r>
                    <w:rPr>
                      <w:rFonts w:hint="eastAsia" w:cs="Times New Roman"/>
                      <w:color w:val="auto"/>
                      <w:kern w:val="0"/>
                      <w:szCs w:val="21"/>
                      <w:lang w:val="en-US" w:eastAsia="zh-CN" w:bidi="ar"/>
                    </w:rPr>
                    <w:t>6.903</w:t>
                  </w:r>
                </w:p>
              </w:tc>
            </w:tr>
            <w:tr w14:paraId="6569DF5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691" w:type="pct"/>
                  <w:vMerge w:val="restart"/>
                  <w:tcBorders>
                    <w:tl2br w:val="nil"/>
                    <w:tr2bl w:val="nil"/>
                  </w:tcBorders>
                  <w:vAlign w:val="center"/>
                </w:tcPr>
                <w:p w14:paraId="208B9013">
                  <w:pPr>
                    <w:jc w:val="center"/>
                    <w:rPr>
                      <w:rFonts w:cs="Times New Roman"/>
                      <w:color w:val="auto"/>
                      <w:szCs w:val="21"/>
                    </w:rPr>
                  </w:pPr>
                  <w:r>
                    <w:rPr>
                      <w:rFonts w:cs="Times New Roman"/>
                      <w:color w:val="auto"/>
                      <w:szCs w:val="21"/>
                    </w:rPr>
                    <w:t>厂区员工</w:t>
                  </w:r>
                </w:p>
              </w:tc>
              <w:tc>
                <w:tcPr>
                  <w:tcW w:w="1009" w:type="pct"/>
                  <w:vMerge w:val="restart"/>
                  <w:tcBorders>
                    <w:tl2br w:val="nil"/>
                    <w:tr2bl w:val="nil"/>
                  </w:tcBorders>
                  <w:vAlign w:val="center"/>
                </w:tcPr>
                <w:p w14:paraId="221FE035">
                  <w:pPr>
                    <w:jc w:val="center"/>
                    <w:rPr>
                      <w:rFonts w:cs="Times New Roman"/>
                      <w:color w:val="auto"/>
                      <w:szCs w:val="21"/>
                    </w:rPr>
                  </w:pPr>
                  <w:r>
                    <w:rPr>
                      <w:rFonts w:cs="Times New Roman"/>
                      <w:color w:val="auto"/>
                      <w:szCs w:val="21"/>
                    </w:rPr>
                    <w:t>生活污水、食堂废水</w:t>
                  </w:r>
                </w:p>
              </w:tc>
              <w:tc>
                <w:tcPr>
                  <w:tcW w:w="673" w:type="pct"/>
                  <w:vMerge w:val="restart"/>
                  <w:tcBorders>
                    <w:tl2br w:val="nil"/>
                    <w:tr2bl w:val="nil"/>
                  </w:tcBorders>
                  <w:vAlign w:val="center"/>
                </w:tcPr>
                <w:p w14:paraId="45CEA5C1">
                  <w:pPr>
                    <w:widowControl/>
                    <w:jc w:val="center"/>
                    <w:textAlignment w:val="center"/>
                    <w:rPr>
                      <w:rFonts w:hint="default" w:eastAsia="宋体" w:cs="Times New Roman"/>
                      <w:color w:val="auto"/>
                      <w:szCs w:val="21"/>
                      <w:lang w:val="en-US" w:eastAsia="zh-CN"/>
                    </w:rPr>
                  </w:pPr>
                  <w:r>
                    <w:rPr>
                      <w:rFonts w:hint="eastAsia" w:cs="Times New Roman"/>
                      <w:color w:val="auto"/>
                      <w:szCs w:val="21"/>
                      <w:lang w:val="en-US" w:eastAsia="zh-CN"/>
                    </w:rPr>
                    <w:t>1.56</w:t>
                  </w:r>
                </w:p>
              </w:tc>
              <w:tc>
                <w:tcPr>
                  <w:tcW w:w="758" w:type="pct"/>
                  <w:tcBorders>
                    <w:tl2br w:val="nil"/>
                    <w:tr2bl w:val="nil"/>
                  </w:tcBorders>
                  <w:vAlign w:val="center"/>
                </w:tcPr>
                <w:p w14:paraId="4F9069B7">
                  <w:pPr>
                    <w:jc w:val="center"/>
                    <w:rPr>
                      <w:rFonts w:cs="Times New Roman"/>
                      <w:color w:val="auto"/>
                      <w:szCs w:val="21"/>
                    </w:rPr>
                  </w:pPr>
                  <w:r>
                    <w:rPr>
                      <w:rFonts w:cs="Times New Roman"/>
                      <w:color w:val="auto"/>
                      <w:szCs w:val="21"/>
                    </w:rPr>
                    <w:t>COD</w:t>
                  </w:r>
                </w:p>
              </w:tc>
              <w:tc>
                <w:tcPr>
                  <w:tcW w:w="930" w:type="pct"/>
                  <w:tcBorders>
                    <w:tl2br w:val="nil"/>
                    <w:tr2bl w:val="nil"/>
                  </w:tcBorders>
                  <w:vAlign w:val="center"/>
                </w:tcPr>
                <w:p w14:paraId="15C9250C">
                  <w:pPr>
                    <w:widowControl/>
                    <w:jc w:val="center"/>
                    <w:rPr>
                      <w:rFonts w:cs="Times New Roman"/>
                      <w:color w:val="auto"/>
                      <w:kern w:val="0"/>
                      <w:szCs w:val="21"/>
                    </w:rPr>
                  </w:pPr>
                  <w:r>
                    <w:rPr>
                      <w:rFonts w:cs="Times New Roman"/>
                      <w:color w:val="auto"/>
                      <w:szCs w:val="21"/>
                    </w:rPr>
                    <w:t>360</w:t>
                  </w:r>
                </w:p>
              </w:tc>
              <w:tc>
                <w:tcPr>
                  <w:tcW w:w="937" w:type="pct"/>
                  <w:tcBorders>
                    <w:tl2br w:val="nil"/>
                    <w:tr2bl w:val="nil"/>
                  </w:tcBorders>
                  <w:vAlign w:val="center"/>
                </w:tcPr>
                <w:p w14:paraId="73AEF0EC">
                  <w:pPr>
                    <w:widowControl/>
                    <w:jc w:val="center"/>
                    <w:textAlignment w:val="center"/>
                    <w:rPr>
                      <w:rFonts w:hint="default" w:eastAsia="宋体" w:cs="Times New Roman"/>
                      <w:color w:val="auto"/>
                      <w:szCs w:val="21"/>
                      <w:lang w:val="en-US" w:eastAsia="zh-CN"/>
                    </w:rPr>
                  </w:pPr>
                  <w:r>
                    <w:rPr>
                      <w:rFonts w:hint="eastAsia" w:cs="Times New Roman"/>
                      <w:color w:val="auto"/>
                      <w:szCs w:val="21"/>
                      <w:lang w:val="en-US" w:eastAsia="zh-CN"/>
                    </w:rPr>
                    <w:t>0.168</w:t>
                  </w:r>
                </w:p>
              </w:tc>
            </w:tr>
            <w:tr w14:paraId="6FBA9BC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691" w:type="pct"/>
                  <w:vMerge w:val="continue"/>
                  <w:tcBorders>
                    <w:tl2br w:val="nil"/>
                    <w:tr2bl w:val="nil"/>
                  </w:tcBorders>
                  <w:vAlign w:val="center"/>
                </w:tcPr>
                <w:p w14:paraId="1664B496">
                  <w:pPr>
                    <w:jc w:val="center"/>
                    <w:rPr>
                      <w:rFonts w:cs="Times New Roman"/>
                      <w:color w:val="auto"/>
                      <w:szCs w:val="21"/>
                    </w:rPr>
                  </w:pPr>
                </w:p>
              </w:tc>
              <w:tc>
                <w:tcPr>
                  <w:tcW w:w="1009" w:type="pct"/>
                  <w:vMerge w:val="continue"/>
                  <w:tcBorders>
                    <w:tl2br w:val="nil"/>
                    <w:tr2bl w:val="nil"/>
                  </w:tcBorders>
                  <w:vAlign w:val="center"/>
                </w:tcPr>
                <w:p w14:paraId="486F125A">
                  <w:pPr>
                    <w:jc w:val="center"/>
                    <w:rPr>
                      <w:rFonts w:cs="Times New Roman"/>
                      <w:color w:val="auto"/>
                      <w:szCs w:val="21"/>
                    </w:rPr>
                  </w:pPr>
                </w:p>
              </w:tc>
              <w:tc>
                <w:tcPr>
                  <w:tcW w:w="673" w:type="pct"/>
                  <w:vMerge w:val="continue"/>
                  <w:tcBorders>
                    <w:tl2br w:val="nil"/>
                    <w:tr2bl w:val="nil"/>
                  </w:tcBorders>
                  <w:vAlign w:val="center"/>
                </w:tcPr>
                <w:p w14:paraId="7AF52513">
                  <w:pPr>
                    <w:jc w:val="center"/>
                    <w:rPr>
                      <w:rFonts w:cs="Times New Roman"/>
                      <w:color w:val="auto"/>
                      <w:szCs w:val="21"/>
                    </w:rPr>
                  </w:pPr>
                </w:p>
              </w:tc>
              <w:tc>
                <w:tcPr>
                  <w:tcW w:w="758" w:type="pct"/>
                  <w:tcBorders>
                    <w:tl2br w:val="nil"/>
                    <w:tr2bl w:val="nil"/>
                  </w:tcBorders>
                  <w:vAlign w:val="center"/>
                </w:tcPr>
                <w:p w14:paraId="3208705C">
                  <w:pPr>
                    <w:jc w:val="center"/>
                    <w:rPr>
                      <w:rFonts w:cs="Times New Roman"/>
                      <w:color w:val="auto"/>
                      <w:szCs w:val="21"/>
                    </w:rPr>
                  </w:pPr>
                  <w:r>
                    <w:rPr>
                      <w:rFonts w:cs="Times New Roman"/>
                      <w:color w:val="auto"/>
                      <w:szCs w:val="21"/>
                    </w:rPr>
                    <w:t>BOD</w:t>
                  </w:r>
                  <w:r>
                    <w:rPr>
                      <w:rFonts w:cs="Times New Roman"/>
                      <w:color w:val="auto"/>
                      <w:szCs w:val="21"/>
                      <w:vertAlign w:val="subscript"/>
                    </w:rPr>
                    <w:t>5</w:t>
                  </w:r>
                </w:p>
              </w:tc>
              <w:tc>
                <w:tcPr>
                  <w:tcW w:w="930" w:type="pct"/>
                  <w:tcBorders>
                    <w:tl2br w:val="nil"/>
                    <w:tr2bl w:val="nil"/>
                  </w:tcBorders>
                  <w:vAlign w:val="center"/>
                </w:tcPr>
                <w:p w14:paraId="5A31A6FF">
                  <w:pPr>
                    <w:jc w:val="center"/>
                    <w:rPr>
                      <w:rFonts w:cs="Times New Roman"/>
                      <w:color w:val="auto"/>
                      <w:szCs w:val="21"/>
                    </w:rPr>
                  </w:pPr>
                  <w:r>
                    <w:rPr>
                      <w:rFonts w:cs="Times New Roman"/>
                      <w:color w:val="auto"/>
                      <w:szCs w:val="21"/>
                    </w:rPr>
                    <w:t>157</w:t>
                  </w:r>
                </w:p>
              </w:tc>
              <w:tc>
                <w:tcPr>
                  <w:tcW w:w="937" w:type="pct"/>
                  <w:tcBorders>
                    <w:tl2br w:val="nil"/>
                    <w:tr2bl w:val="nil"/>
                  </w:tcBorders>
                  <w:vAlign w:val="center"/>
                </w:tcPr>
                <w:p w14:paraId="62664151">
                  <w:pPr>
                    <w:widowControl/>
                    <w:jc w:val="center"/>
                    <w:textAlignment w:val="center"/>
                    <w:rPr>
                      <w:rFonts w:hint="default" w:eastAsia="宋体" w:cs="Times New Roman"/>
                      <w:color w:val="auto"/>
                      <w:szCs w:val="21"/>
                      <w:lang w:val="en-US" w:eastAsia="zh-CN"/>
                    </w:rPr>
                  </w:pPr>
                  <w:r>
                    <w:rPr>
                      <w:rFonts w:hint="eastAsia" w:cs="Times New Roman"/>
                      <w:color w:val="auto"/>
                      <w:szCs w:val="21"/>
                      <w:lang w:val="en-US" w:eastAsia="zh-CN"/>
                    </w:rPr>
                    <w:t>0073</w:t>
                  </w:r>
                </w:p>
              </w:tc>
            </w:tr>
            <w:tr w14:paraId="0412C60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691" w:type="pct"/>
                  <w:vMerge w:val="continue"/>
                  <w:tcBorders>
                    <w:tl2br w:val="nil"/>
                    <w:tr2bl w:val="nil"/>
                  </w:tcBorders>
                  <w:vAlign w:val="center"/>
                </w:tcPr>
                <w:p w14:paraId="3A5F12F7">
                  <w:pPr>
                    <w:jc w:val="center"/>
                    <w:rPr>
                      <w:rFonts w:cs="Times New Roman"/>
                      <w:color w:val="auto"/>
                      <w:szCs w:val="21"/>
                    </w:rPr>
                  </w:pPr>
                </w:p>
              </w:tc>
              <w:tc>
                <w:tcPr>
                  <w:tcW w:w="1009" w:type="pct"/>
                  <w:vMerge w:val="continue"/>
                  <w:tcBorders>
                    <w:tl2br w:val="nil"/>
                    <w:tr2bl w:val="nil"/>
                  </w:tcBorders>
                  <w:vAlign w:val="center"/>
                </w:tcPr>
                <w:p w14:paraId="05979A01">
                  <w:pPr>
                    <w:jc w:val="center"/>
                    <w:rPr>
                      <w:rFonts w:cs="Times New Roman"/>
                      <w:color w:val="auto"/>
                      <w:szCs w:val="21"/>
                    </w:rPr>
                  </w:pPr>
                </w:p>
              </w:tc>
              <w:tc>
                <w:tcPr>
                  <w:tcW w:w="673" w:type="pct"/>
                  <w:vMerge w:val="continue"/>
                  <w:tcBorders>
                    <w:tl2br w:val="nil"/>
                    <w:tr2bl w:val="nil"/>
                  </w:tcBorders>
                  <w:vAlign w:val="center"/>
                </w:tcPr>
                <w:p w14:paraId="4382AE7C">
                  <w:pPr>
                    <w:jc w:val="center"/>
                    <w:rPr>
                      <w:rFonts w:cs="Times New Roman"/>
                      <w:color w:val="auto"/>
                      <w:szCs w:val="21"/>
                    </w:rPr>
                  </w:pPr>
                </w:p>
              </w:tc>
              <w:tc>
                <w:tcPr>
                  <w:tcW w:w="758" w:type="pct"/>
                  <w:tcBorders>
                    <w:tl2br w:val="nil"/>
                    <w:tr2bl w:val="nil"/>
                  </w:tcBorders>
                  <w:vAlign w:val="center"/>
                </w:tcPr>
                <w:p w14:paraId="0532A78F">
                  <w:pPr>
                    <w:jc w:val="center"/>
                    <w:rPr>
                      <w:rFonts w:cs="Times New Roman"/>
                      <w:color w:val="auto"/>
                      <w:szCs w:val="21"/>
                    </w:rPr>
                  </w:pPr>
                  <w:r>
                    <w:rPr>
                      <w:rFonts w:cs="Times New Roman"/>
                      <w:color w:val="auto"/>
                      <w:szCs w:val="21"/>
                    </w:rPr>
                    <w:t>SS</w:t>
                  </w:r>
                </w:p>
              </w:tc>
              <w:tc>
                <w:tcPr>
                  <w:tcW w:w="930" w:type="pct"/>
                  <w:tcBorders>
                    <w:tl2br w:val="nil"/>
                    <w:tr2bl w:val="nil"/>
                  </w:tcBorders>
                  <w:vAlign w:val="center"/>
                </w:tcPr>
                <w:p w14:paraId="401DAB77">
                  <w:pPr>
                    <w:jc w:val="center"/>
                    <w:rPr>
                      <w:rFonts w:cs="Times New Roman"/>
                      <w:color w:val="auto"/>
                      <w:szCs w:val="21"/>
                    </w:rPr>
                  </w:pPr>
                  <w:r>
                    <w:rPr>
                      <w:rFonts w:cs="Times New Roman"/>
                      <w:color w:val="auto"/>
                      <w:szCs w:val="21"/>
                    </w:rPr>
                    <w:t>200</w:t>
                  </w:r>
                </w:p>
              </w:tc>
              <w:tc>
                <w:tcPr>
                  <w:tcW w:w="937" w:type="pct"/>
                  <w:tcBorders>
                    <w:tl2br w:val="nil"/>
                    <w:tr2bl w:val="nil"/>
                  </w:tcBorders>
                  <w:vAlign w:val="center"/>
                </w:tcPr>
                <w:p w14:paraId="09CCFE22">
                  <w:pPr>
                    <w:widowControl/>
                    <w:jc w:val="center"/>
                    <w:textAlignment w:val="center"/>
                    <w:rPr>
                      <w:rFonts w:hint="default" w:eastAsia="宋体" w:cs="Times New Roman"/>
                      <w:color w:val="auto"/>
                      <w:szCs w:val="21"/>
                      <w:lang w:val="en-US" w:eastAsia="zh-CN"/>
                    </w:rPr>
                  </w:pPr>
                  <w:r>
                    <w:rPr>
                      <w:rFonts w:hint="eastAsia" w:cs="Times New Roman"/>
                      <w:color w:val="auto"/>
                      <w:szCs w:val="21"/>
                      <w:lang w:val="en-US" w:eastAsia="zh-CN"/>
                    </w:rPr>
                    <w:t>0.094</w:t>
                  </w:r>
                </w:p>
              </w:tc>
            </w:tr>
            <w:tr w14:paraId="4F93313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691" w:type="pct"/>
                  <w:vMerge w:val="continue"/>
                  <w:tcBorders>
                    <w:tl2br w:val="nil"/>
                    <w:tr2bl w:val="nil"/>
                  </w:tcBorders>
                  <w:vAlign w:val="center"/>
                </w:tcPr>
                <w:p w14:paraId="357B4A64">
                  <w:pPr>
                    <w:jc w:val="center"/>
                    <w:rPr>
                      <w:rFonts w:cs="Times New Roman"/>
                      <w:color w:val="auto"/>
                      <w:szCs w:val="21"/>
                    </w:rPr>
                  </w:pPr>
                </w:p>
              </w:tc>
              <w:tc>
                <w:tcPr>
                  <w:tcW w:w="1009" w:type="pct"/>
                  <w:vMerge w:val="continue"/>
                  <w:tcBorders>
                    <w:tl2br w:val="nil"/>
                    <w:tr2bl w:val="nil"/>
                  </w:tcBorders>
                  <w:vAlign w:val="center"/>
                </w:tcPr>
                <w:p w14:paraId="3689E791">
                  <w:pPr>
                    <w:jc w:val="center"/>
                    <w:rPr>
                      <w:rFonts w:cs="Times New Roman"/>
                      <w:color w:val="auto"/>
                      <w:szCs w:val="21"/>
                    </w:rPr>
                  </w:pPr>
                </w:p>
              </w:tc>
              <w:tc>
                <w:tcPr>
                  <w:tcW w:w="673" w:type="pct"/>
                  <w:vMerge w:val="continue"/>
                  <w:tcBorders>
                    <w:tl2br w:val="nil"/>
                    <w:tr2bl w:val="nil"/>
                  </w:tcBorders>
                  <w:vAlign w:val="center"/>
                </w:tcPr>
                <w:p w14:paraId="4B81A9F8">
                  <w:pPr>
                    <w:jc w:val="center"/>
                    <w:rPr>
                      <w:rFonts w:cs="Times New Roman"/>
                      <w:color w:val="auto"/>
                      <w:szCs w:val="21"/>
                    </w:rPr>
                  </w:pPr>
                </w:p>
              </w:tc>
              <w:tc>
                <w:tcPr>
                  <w:tcW w:w="758" w:type="pct"/>
                  <w:tcBorders>
                    <w:tl2br w:val="nil"/>
                    <w:tr2bl w:val="nil"/>
                  </w:tcBorders>
                  <w:vAlign w:val="center"/>
                </w:tcPr>
                <w:p w14:paraId="218D36EC">
                  <w:pPr>
                    <w:jc w:val="center"/>
                    <w:rPr>
                      <w:rFonts w:cs="Times New Roman"/>
                      <w:color w:val="auto"/>
                      <w:szCs w:val="21"/>
                    </w:rPr>
                  </w:pPr>
                  <w:r>
                    <w:rPr>
                      <w:rFonts w:cs="Times New Roman"/>
                      <w:color w:val="auto"/>
                      <w:szCs w:val="21"/>
                    </w:rPr>
                    <w:t>NH</w:t>
                  </w:r>
                  <w:r>
                    <w:rPr>
                      <w:rFonts w:cs="Times New Roman"/>
                      <w:color w:val="auto"/>
                      <w:szCs w:val="21"/>
                      <w:vertAlign w:val="subscript"/>
                    </w:rPr>
                    <w:t>3</w:t>
                  </w:r>
                  <w:r>
                    <w:rPr>
                      <w:rFonts w:cs="Times New Roman"/>
                      <w:color w:val="auto"/>
                      <w:szCs w:val="21"/>
                    </w:rPr>
                    <w:t>-N</w:t>
                  </w:r>
                </w:p>
              </w:tc>
              <w:tc>
                <w:tcPr>
                  <w:tcW w:w="930" w:type="pct"/>
                  <w:tcBorders>
                    <w:tl2br w:val="nil"/>
                    <w:tr2bl w:val="nil"/>
                  </w:tcBorders>
                  <w:vAlign w:val="center"/>
                </w:tcPr>
                <w:p w14:paraId="04622733">
                  <w:pPr>
                    <w:jc w:val="center"/>
                    <w:rPr>
                      <w:rFonts w:cs="Times New Roman"/>
                      <w:color w:val="auto"/>
                      <w:szCs w:val="21"/>
                    </w:rPr>
                  </w:pPr>
                  <w:r>
                    <w:rPr>
                      <w:rFonts w:cs="Times New Roman"/>
                      <w:color w:val="auto"/>
                      <w:szCs w:val="21"/>
                    </w:rPr>
                    <w:t>36.2</w:t>
                  </w:r>
                </w:p>
              </w:tc>
              <w:tc>
                <w:tcPr>
                  <w:tcW w:w="937" w:type="pct"/>
                  <w:tcBorders>
                    <w:tl2br w:val="nil"/>
                    <w:tr2bl w:val="nil"/>
                  </w:tcBorders>
                  <w:vAlign w:val="center"/>
                </w:tcPr>
                <w:p w14:paraId="7B7E9C8A">
                  <w:pPr>
                    <w:widowControl/>
                    <w:jc w:val="center"/>
                    <w:textAlignment w:val="center"/>
                    <w:rPr>
                      <w:rFonts w:hint="default" w:eastAsia="宋体" w:cs="Times New Roman"/>
                      <w:color w:val="auto"/>
                      <w:szCs w:val="21"/>
                      <w:lang w:val="en-US" w:eastAsia="zh-CN"/>
                    </w:rPr>
                  </w:pPr>
                  <w:r>
                    <w:rPr>
                      <w:rFonts w:cs="Times New Roman"/>
                      <w:color w:val="auto"/>
                      <w:szCs w:val="21"/>
                    </w:rPr>
                    <w:t>0.0</w:t>
                  </w:r>
                  <w:r>
                    <w:rPr>
                      <w:rFonts w:hint="eastAsia" w:cs="Times New Roman"/>
                      <w:color w:val="auto"/>
                      <w:szCs w:val="21"/>
                      <w:lang w:val="en-US" w:eastAsia="zh-CN"/>
                    </w:rPr>
                    <w:t>17</w:t>
                  </w:r>
                </w:p>
              </w:tc>
            </w:tr>
            <w:tr w14:paraId="2C2701A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6" w:hRule="atLeast"/>
              </w:trPr>
              <w:tc>
                <w:tcPr>
                  <w:tcW w:w="691" w:type="pct"/>
                  <w:vMerge w:val="continue"/>
                  <w:tcBorders>
                    <w:tl2br w:val="nil"/>
                    <w:tr2bl w:val="nil"/>
                  </w:tcBorders>
                  <w:vAlign w:val="center"/>
                </w:tcPr>
                <w:p w14:paraId="5C8A9179">
                  <w:pPr>
                    <w:jc w:val="center"/>
                    <w:rPr>
                      <w:rFonts w:cs="Times New Roman"/>
                      <w:color w:val="auto"/>
                      <w:szCs w:val="21"/>
                    </w:rPr>
                  </w:pPr>
                </w:p>
              </w:tc>
              <w:tc>
                <w:tcPr>
                  <w:tcW w:w="1009" w:type="pct"/>
                  <w:vMerge w:val="continue"/>
                  <w:tcBorders>
                    <w:tl2br w:val="nil"/>
                    <w:tr2bl w:val="nil"/>
                  </w:tcBorders>
                  <w:vAlign w:val="center"/>
                </w:tcPr>
                <w:p w14:paraId="64B27F85">
                  <w:pPr>
                    <w:jc w:val="center"/>
                    <w:rPr>
                      <w:rFonts w:cs="Times New Roman"/>
                      <w:color w:val="auto"/>
                      <w:szCs w:val="21"/>
                    </w:rPr>
                  </w:pPr>
                </w:p>
              </w:tc>
              <w:tc>
                <w:tcPr>
                  <w:tcW w:w="673" w:type="pct"/>
                  <w:vMerge w:val="continue"/>
                  <w:tcBorders>
                    <w:tl2br w:val="nil"/>
                    <w:tr2bl w:val="nil"/>
                  </w:tcBorders>
                  <w:vAlign w:val="center"/>
                </w:tcPr>
                <w:p w14:paraId="5FCED7A0">
                  <w:pPr>
                    <w:jc w:val="center"/>
                    <w:rPr>
                      <w:rFonts w:cs="Times New Roman"/>
                      <w:color w:val="auto"/>
                      <w:szCs w:val="21"/>
                    </w:rPr>
                  </w:pPr>
                </w:p>
              </w:tc>
              <w:tc>
                <w:tcPr>
                  <w:tcW w:w="758" w:type="pct"/>
                  <w:tcBorders>
                    <w:tl2br w:val="nil"/>
                    <w:tr2bl w:val="nil"/>
                  </w:tcBorders>
                  <w:vAlign w:val="center"/>
                </w:tcPr>
                <w:p w14:paraId="44F7F6E6">
                  <w:pPr>
                    <w:jc w:val="center"/>
                    <w:rPr>
                      <w:rFonts w:cs="Times New Roman"/>
                      <w:color w:val="auto"/>
                      <w:szCs w:val="21"/>
                    </w:rPr>
                  </w:pPr>
                  <w:r>
                    <w:rPr>
                      <w:rFonts w:cs="Times New Roman"/>
                      <w:color w:val="auto"/>
                      <w:szCs w:val="21"/>
                    </w:rPr>
                    <w:t>TP</w:t>
                  </w:r>
                </w:p>
              </w:tc>
              <w:tc>
                <w:tcPr>
                  <w:tcW w:w="930" w:type="pct"/>
                  <w:tcBorders>
                    <w:tl2br w:val="nil"/>
                    <w:tr2bl w:val="nil"/>
                  </w:tcBorders>
                  <w:vAlign w:val="center"/>
                </w:tcPr>
                <w:p w14:paraId="517DADA5">
                  <w:pPr>
                    <w:jc w:val="center"/>
                    <w:rPr>
                      <w:rFonts w:cs="Times New Roman"/>
                      <w:color w:val="auto"/>
                      <w:szCs w:val="21"/>
                    </w:rPr>
                  </w:pPr>
                  <w:r>
                    <w:rPr>
                      <w:rFonts w:cs="Times New Roman"/>
                      <w:color w:val="auto"/>
                      <w:szCs w:val="21"/>
                    </w:rPr>
                    <w:t>4.64</w:t>
                  </w:r>
                </w:p>
              </w:tc>
              <w:tc>
                <w:tcPr>
                  <w:tcW w:w="937" w:type="pct"/>
                  <w:tcBorders>
                    <w:tl2br w:val="nil"/>
                    <w:tr2bl w:val="nil"/>
                  </w:tcBorders>
                  <w:vAlign w:val="center"/>
                </w:tcPr>
                <w:p w14:paraId="6FE4C016">
                  <w:pPr>
                    <w:widowControl/>
                    <w:jc w:val="center"/>
                    <w:textAlignment w:val="center"/>
                    <w:rPr>
                      <w:rFonts w:hint="eastAsia" w:eastAsia="宋体" w:cs="Times New Roman"/>
                      <w:color w:val="auto"/>
                      <w:szCs w:val="21"/>
                      <w:lang w:eastAsia="zh-CN"/>
                    </w:rPr>
                  </w:pPr>
                  <w:r>
                    <w:rPr>
                      <w:rFonts w:cs="Times New Roman"/>
                      <w:color w:val="auto"/>
                      <w:szCs w:val="21"/>
                    </w:rPr>
                    <w:t>0.00</w:t>
                  </w:r>
                  <w:r>
                    <w:rPr>
                      <w:rFonts w:hint="eastAsia" w:cs="Times New Roman"/>
                      <w:color w:val="auto"/>
                      <w:szCs w:val="21"/>
                      <w:lang w:val="en-US" w:eastAsia="zh-CN"/>
                    </w:rPr>
                    <w:t>2</w:t>
                  </w:r>
                </w:p>
              </w:tc>
            </w:tr>
          </w:tbl>
          <w:p w14:paraId="598345D9">
            <w:pPr>
              <w:spacing w:line="360" w:lineRule="auto"/>
              <w:ind w:firstLine="482" w:firstLineChars="200"/>
              <w:rPr>
                <w:rFonts w:cs="Times New Roman"/>
                <w:b/>
                <w:color w:val="auto"/>
                <w:sz w:val="24"/>
                <w:szCs w:val="24"/>
              </w:rPr>
            </w:pPr>
            <w:r>
              <w:rPr>
                <w:rFonts w:cs="Times New Roman"/>
                <w:b/>
                <w:color w:val="auto"/>
                <w:sz w:val="24"/>
                <w:szCs w:val="24"/>
              </w:rPr>
              <w:t>（2）治理设施、排放方式、排放口基本信息</w:t>
            </w:r>
          </w:p>
          <w:p w14:paraId="1D8F38CC">
            <w:pPr>
              <w:spacing w:line="360" w:lineRule="auto"/>
              <w:ind w:firstLine="482" w:firstLineChars="200"/>
              <w:rPr>
                <w:rFonts w:cs="Times New Roman"/>
                <w:color w:val="auto"/>
                <w:sz w:val="24"/>
                <w:szCs w:val="24"/>
                <w:highlight w:val="none"/>
              </w:rPr>
            </w:pPr>
            <w:r>
              <w:rPr>
                <w:rFonts w:cs="Times New Roman"/>
                <w:b/>
                <w:color w:val="auto"/>
                <w:sz w:val="24"/>
                <w:szCs w:val="24"/>
                <w:highlight w:val="none"/>
              </w:rPr>
              <w:t>①治理措施</w:t>
            </w:r>
          </w:p>
          <w:p w14:paraId="23813F0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olor w:val="auto"/>
                <w:sz w:val="24"/>
                <w:szCs w:val="24"/>
                <w:highlight w:val="none"/>
                <w:lang w:val="en-US" w:eastAsia="zh-CN"/>
              </w:rPr>
            </w:pPr>
            <w:r>
              <w:rPr>
                <w:rFonts w:hint="eastAsia"/>
                <w:color w:val="auto"/>
                <w:sz w:val="24"/>
                <w:szCs w:val="24"/>
                <w:highlight w:val="none"/>
              </w:rPr>
              <w:t>本项目排水采用雨、污分流制，</w:t>
            </w:r>
            <w:r>
              <w:rPr>
                <w:rFonts w:hint="eastAsia"/>
                <w:color w:val="auto"/>
                <w:sz w:val="24"/>
                <w:szCs w:val="24"/>
                <w:highlight w:val="none"/>
                <w:lang w:val="en-US" w:eastAsia="zh-CN"/>
              </w:rPr>
              <w:t>初期雨水进入三级沉淀池中，用于生产用水</w:t>
            </w:r>
            <w:r>
              <w:rPr>
                <w:rFonts w:hint="eastAsia" w:ascii="Times New Roman" w:hAnsi="Times New Roman" w:eastAsia="宋体"/>
                <w:color w:val="auto"/>
                <w:sz w:val="24"/>
                <w:szCs w:val="24"/>
                <w:highlight w:val="none"/>
                <w:lang w:val="en-US" w:eastAsia="zh-CN"/>
              </w:rPr>
              <w:t>。</w:t>
            </w:r>
          </w:p>
          <w:p w14:paraId="595EC52F">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eastAsia="宋体"/>
                <w:color w:val="auto"/>
                <w:sz w:val="24"/>
                <w:szCs w:val="24"/>
                <w:highlight w:val="none"/>
                <w:lang w:val="en-US" w:eastAsia="zh-CN"/>
              </w:rPr>
            </w:pPr>
            <w:r>
              <w:rPr>
                <w:rFonts w:hint="eastAsia"/>
                <w:b/>
                <w:color w:val="auto"/>
                <w:sz w:val="24"/>
                <w:szCs w:val="24"/>
                <w:highlight w:val="none"/>
              </w:rPr>
              <w:t>生活污水：</w:t>
            </w:r>
            <w:r>
              <w:rPr>
                <w:rFonts w:hint="eastAsia"/>
                <w:color w:val="auto"/>
                <w:kern w:val="24"/>
                <w:sz w:val="24"/>
                <w:szCs w:val="24"/>
                <w:highlight w:val="none"/>
              </w:rPr>
              <w:t>主要污染物为COD、BOD</w:t>
            </w:r>
            <w:r>
              <w:rPr>
                <w:rFonts w:hint="eastAsia"/>
                <w:color w:val="auto"/>
                <w:kern w:val="24"/>
                <w:sz w:val="24"/>
                <w:szCs w:val="24"/>
                <w:highlight w:val="none"/>
                <w:vertAlign w:val="subscript"/>
              </w:rPr>
              <w:t>5</w:t>
            </w:r>
            <w:r>
              <w:rPr>
                <w:rFonts w:hint="eastAsia"/>
                <w:color w:val="auto"/>
                <w:kern w:val="24"/>
                <w:sz w:val="24"/>
                <w:szCs w:val="24"/>
                <w:highlight w:val="none"/>
              </w:rPr>
              <w:t>、SS、NH</w:t>
            </w:r>
            <w:r>
              <w:rPr>
                <w:rFonts w:hint="eastAsia"/>
                <w:color w:val="auto"/>
                <w:kern w:val="24"/>
                <w:sz w:val="24"/>
                <w:szCs w:val="24"/>
                <w:highlight w:val="none"/>
                <w:vertAlign w:val="subscript"/>
              </w:rPr>
              <w:t>3</w:t>
            </w:r>
            <w:r>
              <w:rPr>
                <w:rFonts w:hint="eastAsia"/>
                <w:color w:val="auto"/>
                <w:kern w:val="24"/>
                <w:sz w:val="24"/>
                <w:szCs w:val="24"/>
                <w:highlight w:val="none"/>
              </w:rPr>
              <w:t>-N、动植物油，项目食堂废水经隔油处理后</w:t>
            </w:r>
            <w:r>
              <w:rPr>
                <w:rFonts w:hint="eastAsia" w:cs="Times New Roman"/>
                <w:color w:val="auto"/>
                <w:sz w:val="24"/>
                <w:szCs w:val="24"/>
                <w:highlight w:val="none"/>
                <w:lang w:eastAsia="zh-CN"/>
              </w:rPr>
              <w:t>进入租用厂房（天宇车业）已建的化粪池，</w:t>
            </w:r>
            <w:r>
              <w:rPr>
                <w:rFonts w:hint="eastAsia" w:cs="Times New Roman"/>
                <w:color w:val="auto"/>
                <w:sz w:val="24"/>
                <w:szCs w:val="24"/>
                <w:highlight w:val="none"/>
                <w:lang w:val="en-US" w:eastAsia="zh-CN"/>
              </w:rPr>
              <w:t>定期经罐车拉运至东岳镇生活污水处理厂处理达《城镇污水处理厂污染物排放标准》（GB18918-2002）一级 A 标准后通过污水管网排入双龙河，待东岳镇污水处理厂及配套管网建成后，通过市政污水管网排入东岳镇工业园区污水处理厂处理</w:t>
            </w:r>
            <w:r>
              <w:rPr>
                <w:rFonts w:hint="eastAsia" w:cs="Times New Roman"/>
                <w:color w:val="auto"/>
                <w:sz w:val="24"/>
                <w:szCs w:val="24"/>
                <w:highlight w:val="none"/>
                <w:lang w:eastAsia="zh-CN"/>
              </w:rPr>
              <w:t>。</w:t>
            </w:r>
          </w:p>
          <w:p w14:paraId="20EE0BBA">
            <w:pPr>
              <w:spacing w:line="360" w:lineRule="auto"/>
              <w:ind w:firstLine="482" w:firstLineChars="200"/>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lang w:val="en-US" w:eastAsia="zh-CN"/>
              </w:rPr>
              <w:t>生产废水：</w:t>
            </w:r>
            <w:r>
              <w:rPr>
                <w:rFonts w:hint="eastAsia" w:ascii="宋体" w:hAnsi="宋体" w:eastAsia="宋体" w:cs="宋体"/>
                <w:color w:val="auto"/>
                <w:sz w:val="24"/>
                <w:szCs w:val="24"/>
                <w:highlight w:val="none"/>
                <w:lang w:val="zh-CN" w:eastAsia="zh-CN"/>
              </w:rPr>
              <w:t>项目生产废水</w:t>
            </w:r>
            <w:r>
              <w:rPr>
                <w:rFonts w:hint="eastAsia" w:ascii="宋体" w:hAnsi="宋体" w:eastAsia="宋体" w:cs="宋体"/>
                <w:color w:val="auto"/>
                <w:sz w:val="24"/>
                <w:szCs w:val="24"/>
                <w:highlight w:val="none"/>
                <w:lang w:val="en-US" w:eastAsia="zh-CN"/>
              </w:rPr>
              <w:t>通过加工区内的排水沟收集，进入沉砂池（</w:t>
            </w:r>
            <w:r>
              <w:rPr>
                <w:rFonts w:hint="eastAsia" w:ascii="宋体" w:hAnsi="宋体" w:eastAsia="宋体" w:cs="宋体"/>
                <w:color w:val="auto"/>
                <w:kern w:val="2"/>
                <w:sz w:val="24"/>
                <w:szCs w:val="24"/>
                <w:highlight w:val="none"/>
                <w:lang w:val="en-US" w:eastAsia="zh-CN" w:bidi="ar-SA"/>
              </w:rPr>
              <w:t>容积</w:t>
            </w:r>
            <w:r>
              <w:rPr>
                <w:rFonts w:hint="eastAsia" w:ascii="宋体" w:hAnsi="宋体" w:eastAsia="宋体" w:cs="宋体"/>
                <w:color w:val="auto"/>
                <w:kern w:val="24"/>
                <w:sz w:val="24"/>
                <w:szCs w:val="24"/>
                <w:highlight w:val="none"/>
                <w:lang w:val="en-US" w:eastAsia="zh-CN"/>
              </w:rPr>
              <w:t>10m</w:t>
            </w:r>
            <w:r>
              <w:rPr>
                <w:rFonts w:hint="eastAsia" w:ascii="宋体" w:hAnsi="宋体" w:eastAsia="宋体" w:cs="宋体"/>
                <w:color w:val="auto"/>
                <w:kern w:val="24"/>
                <w:sz w:val="24"/>
                <w:szCs w:val="24"/>
                <w:highlight w:val="none"/>
                <w:vertAlign w:val="superscript"/>
                <w:lang w:val="en-US" w:eastAsia="zh-CN"/>
              </w:rPr>
              <w:t>3</w:t>
            </w:r>
            <w:r>
              <w:rPr>
                <w:rFonts w:hint="eastAsia" w:ascii="宋体" w:hAnsi="宋体" w:eastAsia="宋体" w:cs="宋体"/>
                <w:color w:val="auto"/>
                <w:sz w:val="24"/>
                <w:szCs w:val="24"/>
                <w:highlight w:val="none"/>
                <w:lang w:val="en-US" w:eastAsia="zh-CN"/>
              </w:rPr>
              <w:t>），经螺旋绞砂机将</w:t>
            </w:r>
            <w:r>
              <w:rPr>
                <w:rFonts w:hint="eastAsia" w:ascii="宋体" w:hAnsi="宋体" w:eastAsia="宋体" w:cs="宋体"/>
                <w:color w:val="auto"/>
                <w:sz w:val="24"/>
                <w:szCs w:val="24"/>
                <w:highlight w:val="none"/>
                <w:vertAlign w:val="baseline"/>
                <w:lang w:val="en-US" w:eastAsia="zh-CN"/>
              </w:rPr>
              <w:t>粗砂进行</w:t>
            </w:r>
            <w:r>
              <w:rPr>
                <w:rFonts w:hint="eastAsia" w:ascii="宋体" w:hAnsi="宋体" w:eastAsia="宋体" w:cs="宋体"/>
                <w:color w:val="auto"/>
                <w:sz w:val="24"/>
                <w:szCs w:val="24"/>
                <w:highlight w:val="none"/>
                <w:lang w:val="en-US" w:eastAsia="zh-CN"/>
              </w:rPr>
              <w:t>处理后，废水进入三级沉淀池处理（</w:t>
            </w:r>
            <w:r>
              <w:rPr>
                <w:rFonts w:hint="eastAsia" w:ascii="宋体" w:hAnsi="宋体" w:eastAsia="宋体" w:cs="宋体"/>
                <w:color w:val="auto"/>
                <w:kern w:val="2"/>
                <w:sz w:val="24"/>
                <w:szCs w:val="24"/>
                <w:highlight w:val="none"/>
                <w:lang w:val="en-US" w:eastAsia="zh-CN" w:bidi="ar-SA"/>
              </w:rPr>
              <w:t>容积</w:t>
            </w:r>
            <w:r>
              <w:rPr>
                <w:rFonts w:hint="eastAsia" w:ascii="宋体" w:hAnsi="宋体" w:eastAsia="宋体" w:cs="宋体"/>
                <w:color w:val="auto"/>
                <w:kern w:val="24"/>
                <w:sz w:val="24"/>
                <w:szCs w:val="24"/>
                <w:highlight w:val="none"/>
                <w:lang w:val="en-US" w:eastAsia="zh-CN"/>
              </w:rPr>
              <w:t>405m</w:t>
            </w:r>
            <w:r>
              <w:rPr>
                <w:rFonts w:hint="eastAsia" w:ascii="宋体" w:hAnsi="宋体" w:eastAsia="宋体" w:cs="宋体"/>
                <w:color w:val="auto"/>
                <w:kern w:val="24"/>
                <w:sz w:val="24"/>
                <w:szCs w:val="24"/>
                <w:highlight w:val="none"/>
                <w:vertAlign w:val="superscript"/>
                <w:lang w:val="en-US" w:eastAsia="zh-CN"/>
              </w:rPr>
              <w:t>3</w:t>
            </w:r>
            <w:r>
              <w:rPr>
                <w:rFonts w:hint="eastAsia" w:ascii="宋体" w:hAnsi="宋体" w:eastAsia="宋体" w:cs="宋体"/>
                <w:color w:val="auto"/>
                <w:sz w:val="24"/>
                <w:szCs w:val="24"/>
                <w:highlight w:val="none"/>
                <w:lang w:val="en-US" w:eastAsia="zh-CN"/>
              </w:rPr>
              <w:t>），剩余底泥经板框压滤机（1台）压成泥饼，废水处理后全部循环使用，不外排。</w:t>
            </w:r>
            <w:r>
              <w:rPr>
                <w:rFonts w:hint="eastAsia" w:ascii="宋体" w:hAnsi="宋体" w:eastAsia="宋体" w:cs="宋体"/>
                <w:color w:val="auto"/>
                <w:sz w:val="24"/>
                <w:szCs w:val="24"/>
                <w:highlight w:val="none"/>
              </w:rPr>
              <w:t>各排水沟及池体均采取混凝土结构，</w:t>
            </w:r>
            <w:r>
              <w:rPr>
                <w:rFonts w:hint="eastAsia" w:ascii="宋体" w:hAnsi="宋体" w:eastAsia="宋体" w:cs="宋体"/>
                <w:color w:val="auto"/>
                <w:sz w:val="24"/>
                <w:szCs w:val="24"/>
                <w:highlight w:val="none"/>
                <w:lang w:eastAsia="zh-CN"/>
              </w:rPr>
              <w:t>顶部</w:t>
            </w:r>
            <w:r>
              <w:rPr>
                <w:rFonts w:hint="eastAsia" w:ascii="宋体" w:hAnsi="宋体" w:eastAsia="宋体" w:cs="宋体"/>
                <w:color w:val="auto"/>
                <w:sz w:val="24"/>
                <w:szCs w:val="24"/>
                <w:highlight w:val="none"/>
              </w:rPr>
              <w:t>设置顶棚防止雨水进入。</w:t>
            </w:r>
          </w:p>
          <w:p w14:paraId="18D75085">
            <w:pPr>
              <w:spacing w:line="360" w:lineRule="auto"/>
              <w:ind w:firstLine="482" w:firstLineChars="200"/>
              <w:rPr>
                <w:rFonts w:cs="Times New Roman"/>
                <w:color w:val="auto"/>
                <w:sz w:val="24"/>
                <w:szCs w:val="24"/>
              </w:rPr>
            </w:pPr>
            <w:r>
              <w:rPr>
                <w:rFonts w:cs="Times New Roman"/>
                <w:b/>
                <w:color w:val="auto"/>
                <w:sz w:val="24"/>
                <w:szCs w:val="24"/>
              </w:rPr>
              <w:t xml:space="preserve">②废水治理设施、排放口基本信息表 </w:t>
            </w:r>
          </w:p>
          <w:p w14:paraId="4ECBD43E">
            <w:pPr>
              <w:spacing w:line="360" w:lineRule="auto"/>
              <w:ind w:firstLine="480" w:firstLineChars="200"/>
              <w:rPr>
                <w:rFonts w:cs="Times New Roman"/>
                <w:color w:val="auto"/>
                <w:sz w:val="24"/>
                <w:szCs w:val="24"/>
              </w:rPr>
            </w:pPr>
            <w:r>
              <w:rPr>
                <w:rFonts w:cs="Times New Roman"/>
                <w:color w:val="auto"/>
                <w:sz w:val="24"/>
                <w:szCs w:val="24"/>
              </w:rPr>
              <w:t>本项目废水治理设施、排放口基本信息见下表：</w:t>
            </w:r>
          </w:p>
          <w:p w14:paraId="4CFDD78F">
            <w:pPr>
              <w:spacing w:line="360" w:lineRule="auto"/>
              <w:jc w:val="center"/>
              <w:rPr>
                <w:rFonts w:cs="Times New Roman"/>
                <w:b/>
                <w:color w:val="auto"/>
                <w:sz w:val="24"/>
                <w:szCs w:val="24"/>
              </w:rPr>
            </w:pPr>
            <w:r>
              <w:rPr>
                <w:rFonts w:cs="Times New Roman"/>
                <w:b/>
                <w:color w:val="auto"/>
                <w:sz w:val="24"/>
                <w:szCs w:val="24"/>
              </w:rPr>
              <w:t>表4-</w:t>
            </w:r>
            <w:r>
              <w:rPr>
                <w:rFonts w:hint="eastAsia" w:cs="Times New Roman"/>
                <w:b/>
                <w:color w:val="auto"/>
                <w:sz w:val="24"/>
                <w:szCs w:val="24"/>
                <w:lang w:val="en-US" w:eastAsia="zh-CN"/>
              </w:rPr>
              <w:t>9</w:t>
            </w:r>
            <w:r>
              <w:rPr>
                <w:rFonts w:cs="Times New Roman"/>
                <w:b/>
                <w:color w:val="auto"/>
                <w:sz w:val="24"/>
                <w:szCs w:val="24"/>
              </w:rPr>
              <w:t xml:space="preserve"> 废水治理设施信息表</w:t>
            </w:r>
          </w:p>
          <w:tbl>
            <w:tblPr>
              <w:tblStyle w:val="24"/>
              <w:tblW w:w="8584"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
            <w:tblGrid>
              <w:gridCol w:w="1260"/>
              <w:gridCol w:w="1286"/>
              <w:gridCol w:w="1353"/>
              <w:gridCol w:w="955"/>
              <w:gridCol w:w="837"/>
              <w:gridCol w:w="1002"/>
              <w:gridCol w:w="842"/>
              <w:gridCol w:w="1049"/>
            </w:tblGrid>
            <w:tr w14:paraId="43ED616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5" w:hRule="atLeast"/>
                <w:jc w:val="center"/>
              </w:trPr>
              <w:tc>
                <w:tcPr>
                  <w:tcW w:w="733" w:type="pct"/>
                  <w:vMerge w:val="restart"/>
                  <w:tcBorders>
                    <w:tl2br w:val="nil"/>
                    <w:tr2bl w:val="nil"/>
                  </w:tcBorders>
                  <w:shd w:val="clear" w:color="000000" w:fill="auto"/>
                  <w:vAlign w:val="center"/>
                </w:tcPr>
                <w:p w14:paraId="69D92C53">
                  <w:pPr>
                    <w:jc w:val="center"/>
                    <w:rPr>
                      <w:rFonts w:cs="Times New Roman"/>
                      <w:b/>
                      <w:bCs/>
                      <w:color w:val="auto"/>
                      <w:szCs w:val="21"/>
                    </w:rPr>
                  </w:pPr>
                  <w:r>
                    <w:rPr>
                      <w:rFonts w:cs="Times New Roman"/>
                      <w:b/>
                      <w:bCs/>
                      <w:color w:val="auto"/>
                      <w:szCs w:val="21"/>
                    </w:rPr>
                    <w:t>废水类别</w:t>
                  </w:r>
                </w:p>
              </w:tc>
              <w:tc>
                <w:tcPr>
                  <w:tcW w:w="749" w:type="pct"/>
                  <w:vMerge w:val="restart"/>
                  <w:tcBorders>
                    <w:tl2br w:val="nil"/>
                    <w:tr2bl w:val="nil"/>
                  </w:tcBorders>
                  <w:shd w:val="clear" w:color="000000" w:fill="auto"/>
                  <w:vAlign w:val="center"/>
                </w:tcPr>
                <w:p w14:paraId="74565AB5">
                  <w:pPr>
                    <w:jc w:val="center"/>
                    <w:rPr>
                      <w:rFonts w:cs="Times New Roman"/>
                      <w:b/>
                      <w:bCs/>
                      <w:color w:val="auto"/>
                      <w:szCs w:val="21"/>
                    </w:rPr>
                  </w:pPr>
                  <w:r>
                    <w:rPr>
                      <w:rFonts w:cs="Times New Roman"/>
                      <w:b/>
                      <w:bCs/>
                      <w:color w:val="auto"/>
                      <w:szCs w:val="21"/>
                    </w:rPr>
                    <w:t>污染物种类</w:t>
                  </w:r>
                </w:p>
              </w:tc>
              <w:tc>
                <w:tcPr>
                  <w:tcW w:w="2415" w:type="pct"/>
                  <w:gridSpan w:val="4"/>
                  <w:tcBorders>
                    <w:tl2br w:val="nil"/>
                    <w:tr2bl w:val="nil"/>
                  </w:tcBorders>
                  <w:shd w:val="clear" w:color="000000" w:fill="auto"/>
                  <w:vAlign w:val="center"/>
                </w:tcPr>
                <w:p w14:paraId="0E075D95">
                  <w:pPr>
                    <w:jc w:val="center"/>
                    <w:rPr>
                      <w:rFonts w:cs="Times New Roman"/>
                      <w:b/>
                      <w:bCs/>
                      <w:color w:val="auto"/>
                      <w:szCs w:val="21"/>
                    </w:rPr>
                  </w:pPr>
                  <w:r>
                    <w:rPr>
                      <w:rFonts w:cs="Times New Roman"/>
                      <w:b/>
                      <w:bCs/>
                      <w:color w:val="auto"/>
                      <w:szCs w:val="21"/>
                    </w:rPr>
                    <w:t>污染治理设施</w:t>
                  </w:r>
                </w:p>
              </w:tc>
              <w:tc>
                <w:tcPr>
                  <w:tcW w:w="490" w:type="pct"/>
                  <w:vMerge w:val="restart"/>
                  <w:tcBorders>
                    <w:tl2br w:val="nil"/>
                    <w:tr2bl w:val="nil"/>
                  </w:tcBorders>
                  <w:shd w:val="clear" w:color="000000" w:fill="auto"/>
                  <w:vAlign w:val="center"/>
                </w:tcPr>
                <w:p w14:paraId="70BE558E">
                  <w:pPr>
                    <w:jc w:val="center"/>
                    <w:rPr>
                      <w:rFonts w:cs="Times New Roman"/>
                      <w:b/>
                      <w:bCs/>
                      <w:color w:val="auto"/>
                      <w:szCs w:val="21"/>
                    </w:rPr>
                  </w:pPr>
                  <w:r>
                    <w:rPr>
                      <w:rFonts w:cs="Times New Roman"/>
                      <w:b/>
                      <w:bCs/>
                      <w:color w:val="auto"/>
                      <w:szCs w:val="21"/>
                    </w:rPr>
                    <w:t>排放</w:t>
                  </w:r>
                </w:p>
                <w:p w14:paraId="7B5E9B45">
                  <w:pPr>
                    <w:jc w:val="center"/>
                    <w:rPr>
                      <w:rFonts w:cs="Times New Roman"/>
                      <w:b/>
                      <w:bCs/>
                      <w:color w:val="auto"/>
                      <w:szCs w:val="21"/>
                    </w:rPr>
                  </w:pPr>
                  <w:r>
                    <w:rPr>
                      <w:rFonts w:cs="Times New Roman"/>
                      <w:b/>
                      <w:bCs/>
                      <w:color w:val="auto"/>
                      <w:szCs w:val="21"/>
                    </w:rPr>
                    <w:t>方式</w:t>
                  </w:r>
                </w:p>
              </w:tc>
              <w:tc>
                <w:tcPr>
                  <w:tcW w:w="611" w:type="pct"/>
                  <w:vMerge w:val="restart"/>
                  <w:tcBorders>
                    <w:tl2br w:val="nil"/>
                    <w:tr2bl w:val="nil"/>
                  </w:tcBorders>
                  <w:shd w:val="clear" w:color="000000" w:fill="auto"/>
                  <w:vAlign w:val="center"/>
                </w:tcPr>
                <w:p w14:paraId="554BAEA2">
                  <w:pPr>
                    <w:jc w:val="center"/>
                    <w:rPr>
                      <w:rFonts w:cs="Times New Roman"/>
                      <w:b/>
                      <w:bCs/>
                      <w:color w:val="auto"/>
                      <w:szCs w:val="21"/>
                    </w:rPr>
                  </w:pPr>
                  <w:r>
                    <w:rPr>
                      <w:rFonts w:cs="Times New Roman"/>
                      <w:b/>
                      <w:bCs/>
                      <w:color w:val="auto"/>
                      <w:szCs w:val="21"/>
                    </w:rPr>
                    <w:t>排放</w:t>
                  </w:r>
                </w:p>
                <w:p w14:paraId="2373C9C3">
                  <w:pPr>
                    <w:jc w:val="center"/>
                    <w:rPr>
                      <w:rFonts w:cs="Times New Roman"/>
                      <w:b/>
                      <w:bCs/>
                      <w:color w:val="auto"/>
                      <w:szCs w:val="21"/>
                    </w:rPr>
                  </w:pPr>
                  <w:r>
                    <w:rPr>
                      <w:rFonts w:cs="Times New Roman"/>
                      <w:b/>
                      <w:bCs/>
                      <w:color w:val="auto"/>
                      <w:szCs w:val="21"/>
                    </w:rPr>
                    <w:t>去向</w:t>
                  </w:r>
                </w:p>
              </w:tc>
            </w:tr>
            <w:tr w14:paraId="4DB9DC6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83" w:hRule="atLeast"/>
                <w:jc w:val="center"/>
              </w:trPr>
              <w:tc>
                <w:tcPr>
                  <w:tcW w:w="733" w:type="pct"/>
                  <w:vMerge w:val="continue"/>
                  <w:tcBorders>
                    <w:tl2br w:val="nil"/>
                    <w:tr2bl w:val="nil"/>
                  </w:tcBorders>
                  <w:shd w:val="clear" w:color="auto" w:fill="auto"/>
                  <w:vAlign w:val="center"/>
                </w:tcPr>
                <w:p w14:paraId="5A4BFC69">
                  <w:pPr>
                    <w:jc w:val="center"/>
                    <w:rPr>
                      <w:rFonts w:cs="Times New Roman"/>
                      <w:color w:val="auto"/>
                      <w:szCs w:val="21"/>
                    </w:rPr>
                  </w:pPr>
                </w:p>
              </w:tc>
              <w:tc>
                <w:tcPr>
                  <w:tcW w:w="749" w:type="pct"/>
                  <w:vMerge w:val="continue"/>
                  <w:tcBorders>
                    <w:tl2br w:val="nil"/>
                    <w:tr2bl w:val="nil"/>
                  </w:tcBorders>
                  <w:shd w:val="clear" w:color="auto" w:fill="auto"/>
                  <w:vAlign w:val="center"/>
                </w:tcPr>
                <w:p w14:paraId="133A9855">
                  <w:pPr>
                    <w:jc w:val="center"/>
                    <w:rPr>
                      <w:rFonts w:cs="Times New Roman"/>
                      <w:color w:val="auto"/>
                      <w:szCs w:val="21"/>
                    </w:rPr>
                  </w:pPr>
                </w:p>
              </w:tc>
              <w:tc>
                <w:tcPr>
                  <w:tcW w:w="788" w:type="pct"/>
                  <w:tcBorders>
                    <w:tl2br w:val="nil"/>
                    <w:tr2bl w:val="nil"/>
                  </w:tcBorders>
                  <w:shd w:val="clear" w:color="000000" w:fill="auto"/>
                  <w:vAlign w:val="center"/>
                </w:tcPr>
                <w:p w14:paraId="04D0F95D">
                  <w:pPr>
                    <w:jc w:val="center"/>
                    <w:rPr>
                      <w:rFonts w:cs="Times New Roman"/>
                      <w:b/>
                      <w:bCs/>
                      <w:color w:val="auto"/>
                      <w:szCs w:val="21"/>
                    </w:rPr>
                  </w:pPr>
                  <w:r>
                    <w:rPr>
                      <w:rFonts w:cs="Times New Roman"/>
                      <w:b/>
                      <w:bCs/>
                      <w:color w:val="auto"/>
                      <w:szCs w:val="21"/>
                    </w:rPr>
                    <w:t>名称</w:t>
                  </w:r>
                </w:p>
              </w:tc>
              <w:tc>
                <w:tcPr>
                  <w:tcW w:w="556" w:type="pct"/>
                  <w:tcBorders>
                    <w:tl2br w:val="nil"/>
                    <w:tr2bl w:val="nil"/>
                  </w:tcBorders>
                  <w:shd w:val="clear" w:color="000000" w:fill="auto"/>
                  <w:vAlign w:val="center"/>
                </w:tcPr>
                <w:p w14:paraId="27DEB1C7">
                  <w:pPr>
                    <w:jc w:val="center"/>
                    <w:rPr>
                      <w:rFonts w:cs="Times New Roman"/>
                      <w:b/>
                      <w:bCs/>
                      <w:color w:val="auto"/>
                      <w:szCs w:val="21"/>
                    </w:rPr>
                  </w:pPr>
                  <w:r>
                    <w:rPr>
                      <w:rFonts w:cs="Times New Roman"/>
                      <w:b/>
                      <w:bCs/>
                      <w:color w:val="auto"/>
                      <w:szCs w:val="21"/>
                    </w:rPr>
                    <w:t>处理能力（t/d）</w:t>
                  </w:r>
                </w:p>
              </w:tc>
              <w:tc>
                <w:tcPr>
                  <w:tcW w:w="487" w:type="pct"/>
                  <w:tcBorders>
                    <w:tl2br w:val="nil"/>
                    <w:tr2bl w:val="nil"/>
                  </w:tcBorders>
                  <w:shd w:val="clear" w:color="000000" w:fill="auto"/>
                  <w:vAlign w:val="center"/>
                </w:tcPr>
                <w:p w14:paraId="684329BA">
                  <w:pPr>
                    <w:jc w:val="center"/>
                    <w:rPr>
                      <w:rFonts w:cs="Times New Roman"/>
                      <w:b/>
                      <w:bCs/>
                      <w:color w:val="auto"/>
                      <w:szCs w:val="21"/>
                    </w:rPr>
                  </w:pPr>
                  <w:r>
                    <w:rPr>
                      <w:rFonts w:cs="Times New Roman"/>
                      <w:b/>
                      <w:bCs/>
                      <w:color w:val="auto"/>
                      <w:szCs w:val="21"/>
                    </w:rPr>
                    <w:t>治理</w:t>
                  </w:r>
                </w:p>
                <w:p w14:paraId="3A668E1D">
                  <w:pPr>
                    <w:jc w:val="center"/>
                    <w:rPr>
                      <w:rFonts w:cs="Times New Roman"/>
                      <w:b/>
                      <w:bCs/>
                      <w:color w:val="auto"/>
                      <w:szCs w:val="21"/>
                    </w:rPr>
                  </w:pPr>
                  <w:r>
                    <w:rPr>
                      <w:rFonts w:cs="Times New Roman"/>
                      <w:b/>
                      <w:bCs/>
                      <w:color w:val="auto"/>
                      <w:szCs w:val="21"/>
                    </w:rPr>
                    <w:t>工艺</w:t>
                  </w:r>
                </w:p>
              </w:tc>
              <w:tc>
                <w:tcPr>
                  <w:tcW w:w="583" w:type="pct"/>
                  <w:tcBorders>
                    <w:tl2br w:val="nil"/>
                    <w:tr2bl w:val="nil"/>
                  </w:tcBorders>
                  <w:shd w:val="clear" w:color="000000" w:fill="auto"/>
                  <w:vAlign w:val="center"/>
                </w:tcPr>
                <w:p w14:paraId="7E6A372B">
                  <w:pPr>
                    <w:jc w:val="center"/>
                    <w:rPr>
                      <w:rFonts w:cs="Times New Roman"/>
                      <w:b/>
                      <w:bCs/>
                      <w:color w:val="auto"/>
                      <w:szCs w:val="21"/>
                    </w:rPr>
                  </w:pPr>
                  <w:r>
                    <w:rPr>
                      <w:rFonts w:cs="Times New Roman"/>
                      <w:b/>
                      <w:bCs/>
                      <w:color w:val="auto"/>
                      <w:szCs w:val="21"/>
                    </w:rPr>
                    <w:t>是否为可行性技术</w:t>
                  </w:r>
                </w:p>
              </w:tc>
              <w:tc>
                <w:tcPr>
                  <w:tcW w:w="490" w:type="pct"/>
                  <w:vMerge w:val="continue"/>
                  <w:tcBorders>
                    <w:tl2br w:val="nil"/>
                    <w:tr2bl w:val="nil"/>
                  </w:tcBorders>
                  <w:vAlign w:val="center"/>
                </w:tcPr>
                <w:p w14:paraId="42060456">
                  <w:pPr>
                    <w:jc w:val="center"/>
                    <w:rPr>
                      <w:rFonts w:cs="Times New Roman"/>
                      <w:color w:val="auto"/>
                      <w:szCs w:val="21"/>
                    </w:rPr>
                  </w:pPr>
                </w:p>
              </w:tc>
              <w:tc>
                <w:tcPr>
                  <w:tcW w:w="611" w:type="pct"/>
                  <w:vMerge w:val="continue"/>
                  <w:tcBorders>
                    <w:tl2br w:val="nil"/>
                    <w:tr2bl w:val="nil"/>
                  </w:tcBorders>
                  <w:vAlign w:val="center"/>
                </w:tcPr>
                <w:p w14:paraId="46FA5E5F">
                  <w:pPr>
                    <w:jc w:val="center"/>
                    <w:rPr>
                      <w:rFonts w:cs="Times New Roman"/>
                      <w:color w:val="auto"/>
                      <w:szCs w:val="21"/>
                    </w:rPr>
                  </w:pPr>
                </w:p>
              </w:tc>
            </w:tr>
            <w:tr w14:paraId="30B9C95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760" w:hRule="atLeast"/>
                <w:jc w:val="center"/>
              </w:trPr>
              <w:tc>
                <w:tcPr>
                  <w:tcW w:w="733" w:type="pct"/>
                  <w:tcBorders>
                    <w:tl2br w:val="nil"/>
                    <w:tr2bl w:val="nil"/>
                  </w:tcBorders>
                  <w:vAlign w:val="center"/>
                </w:tcPr>
                <w:p w14:paraId="41E710CD">
                  <w:pPr>
                    <w:jc w:val="center"/>
                    <w:rPr>
                      <w:rFonts w:cs="Times New Roman"/>
                      <w:color w:val="auto"/>
                      <w:szCs w:val="21"/>
                    </w:rPr>
                  </w:pPr>
                  <w:r>
                    <w:rPr>
                      <w:rFonts w:cs="Times New Roman"/>
                      <w:color w:val="auto"/>
                      <w:szCs w:val="21"/>
                    </w:rPr>
                    <w:t>生产降尘废水及地面冲洗废水</w:t>
                  </w:r>
                </w:p>
              </w:tc>
              <w:tc>
                <w:tcPr>
                  <w:tcW w:w="749" w:type="pct"/>
                  <w:tcBorders>
                    <w:tl2br w:val="nil"/>
                    <w:tr2bl w:val="nil"/>
                  </w:tcBorders>
                  <w:vAlign w:val="center"/>
                </w:tcPr>
                <w:p w14:paraId="24D3E275">
                  <w:pPr>
                    <w:jc w:val="center"/>
                    <w:rPr>
                      <w:rFonts w:cs="Times New Roman"/>
                      <w:color w:val="auto"/>
                      <w:szCs w:val="21"/>
                    </w:rPr>
                  </w:pPr>
                  <w:r>
                    <w:rPr>
                      <w:rFonts w:cs="Times New Roman"/>
                      <w:color w:val="auto"/>
                      <w:szCs w:val="21"/>
                    </w:rPr>
                    <w:t>SS</w:t>
                  </w:r>
                </w:p>
              </w:tc>
              <w:tc>
                <w:tcPr>
                  <w:tcW w:w="788" w:type="pct"/>
                  <w:tcBorders>
                    <w:tl2br w:val="nil"/>
                    <w:tr2bl w:val="nil"/>
                  </w:tcBorders>
                  <w:vAlign w:val="center"/>
                </w:tcPr>
                <w:p w14:paraId="54218A8F">
                  <w:pPr>
                    <w:jc w:val="center"/>
                    <w:rPr>
                      <w:rFonts w:cs="Times New Roman"/>
                      <w:color w:val="auto"/>
                      <w:szCs w:val="21"/>
                    </w:rPr>
                  </w:pPr>
                  <w:r>
                    <w:rPr>
                      <w:rFonts w:hint="eastAsia" w:cs="Times New Roman"/>
                      <w:color w:val="auto"/>
                      <w:szCs w:val="21"/>
                      <w:lang w:val="en-US" w:eastAsia="zh-CN"/>
                    </w:rPr>
                    <w:t>螺旋制砂机+三级沉淀池+板框压滤机</w:t>
                  </w:r>
                </w:p>
              </w:tc>
              <w:tc>
                <w:tcPr>
                  <w:tcW w:w="556" w:type="pct"/>
                  <w:tcBorders>
                    <w:tl2br w:val="nil"/>
                    <w:tr2bl w:val="nil"/>
                  </w:tcBorders>
                  <w:vAlign w:val="center"/>
                </w:tcPr>
                <w:p w14:paraId="704F65FC">
                  <w:pPr>
                    <w:jc w:val="center"/>
                    <w:rPr>
                      <w:rFonts w:hint="default" w:eastAsia="宋体" w:cs="Times New Roman"/>
                      <w:color w:val="auto"/>
                      <w:szCs w:val="21"/>
                      <w:lang w:val="en-US" w:eastAsia="zh-CN"/>
                    </w:rPr>
                  </w:pPr>
                  <w:r>
                    <w:rPr>
                      <w:rFonts w:hint="eastAsia" w:cs="Times New Roman"/>
                      <w:color w:val="auto"/>
                      <w:szCs w:val="21"/>
                      <w:lang w:val="en-US" w:eastAsia="zh-CN"/>
                    </w:rPr>
                    <w:t>50</w:t>
                  </w:r>
                </w:p>
              </w:tc>
              <w:tc>
                <w:tcPr>
                  <w:tcW w:w="487" w:type="pct"/>
                  <w:tcBorders>
                    <w:tl2br w:val="nil"/>
                    <w:tr2bl w:val="nil"/>
                  </w:tcBorders>
                  <w:vAlign w:val="center"/>
                </w:tcPr>
                <w:p w14:paraId="1F3289E6">
                  <w:pPr>
                    <w:jc w:val="center"/>
                    <w:rPr>
                      <w:rFonts w:cs="Times New Roman"/>
                      <w:color w:val="auto"/>
                      <w:szCs w:val="21"/>
                    </w:rPr>
                  </w:pPr>
                  <w:r>
                    <w:rPr>
                      <w:rFonts w:cs="Times New Roman"/>
                      <w:color w:val="auto"/>
                      <w:szCs w:val="21"/>
                    </w:rPr>
                    <w:t>絮凝</w:t>
                  </w:r>
                </w:p>
                <w:p w14:paraId="4389494E">
                  <w:pPr>
                    <w:jc w:val="center"/>
                    <w:rPr>
                      <w:rFonts w:cs="Times New Roman"/>
                      <w:color w:val="auto"/>
                      <w:szCs w:val="21"/>
                    </w:rPr>
                  </w:pPr>
                  <w:r>
                    <w:rPr>
                      <w:rFonts w:cs="Times New Roman"/>
                      <w:color w:val="auto"/>
                      <w:szCs w:val="21"/>
                    </w:rPr>
                    <w:t>沉淀</w:t>
                  </w:r>
                </w:p>
              </w:tc>
              <w:tc>
                <w:tcPr>
                  <w:tcW w:w="583" w:type="pct"/>
                  <w:tcBorders>
                    <w:tl2br w:val="nil"/>
                    <w:tr2bl w:val="nil"/>
                  </w:tcBorders>
                  <w:vAlign w:val="center"/>
                </w:tcPr>
                <w:p w14:paraId="5928F79A">
                  <w:pPr>
                    <w:jc w:val="center"/>
                    <w:rPr>
                      <w:rFonts w:cs="Times New Roman"/>
                      <w:color w:val="auto"/>
                      <w:szCs w:val="21"/>
                    </w:rPr>
                  </w:pPr>
                  <w:r>
                    <w:rPr>
                      <w:rFonts w:cs="Times New Roman"/>
                      <w:color w:val="auto"/>
                      <w:szCs w:val="21"/>
                    </w:rPr>
                    <w:t>是</w:t>
                  </w:r>
                </w:p>
              </w:tc>
              <w:tc>
                <w:tcPr>
                  <w:tcW w:w="490" w:type="pct"/>
                  <w:tcBorders>
                    <w:tl2br w:val="nil"/>
                    <w:tr2bl w:val="nil"/>
                  </w:tcBorders>
                  <w:vAlign w:val="center"/>
                </w:tcPr>
                <w:p w14:paraId="79118905">
                  <w:pPr>
                    <w:jc w:val="center"/>
                    <w:rPr>
                      <w:rFonts w:cs="Times New Roman"/>
                      <w:color w:val="auto"/>
                      <w:szCs w:val="21"/>
                    </w:rPr>
                  </w:pPr>
                  <w:r>
                    <w:rPr>
                      <w:rFonts w:cs="Times New Roman"/>
                      <w:color w:val="auto"/>
                      <w:szCs w:val="21"/>
                    </w:rPr>
                    <w:t>不外排</w:t>
                  </w:r>
                </w:p>
              </w:tc>
              <w:tc>
                <w:tcPr>
                  <w:tcW w:w="611" w:type="pct"/>
                  <w:tcBorders>
                    <w:tl2br w:val="nil"/>
                    <w:tr2bl w:val="nil"/>
                  </w:tcBorders>
                  <w:vAlign w:val="center"/>
                </w:tcPr>
                <w:p w14:paraId="5BB46A8C">
                  <w:pPr>
                    <w:jc w:val="center"/>
                    <w:rPr>
                      <w:rFonts w:cs="Times New Roman"/>
                      <w:color w:val="auto"/>
                      <w:szCs w:val="21"/>
                    </w:rPr>
                  </w:pPr>
                  <w:r>
                    <w:rPr>
                      <w:rFonts w:cs="Times New Roman"/>
                      <w:color w:val="auto"/>
                      <w:szCs w:val="21"/>
                    </w:rPr>
                    <w:t>回用</w:t>
                  </w:r>
                </w:p>
              </w:tc>
            </w:tr>
            <w:tr w14:paraId="6405549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591" w:hRule="atLeast"/>
                <w:jc w:val="center"/>
              </w:trPr>
              <w:tc>
                <w:tcPr>
                  <w:tcW w:w="733" w:type="pct"/>
                  <w:shd w:val="clear" w:color="auto" w:fill="auto"/>
                  <w:vAlign w:val="center"/>
                </w:tcPr>
                <w:p w14:paraId="0DA616EA">
                  <w:pPr>
                    <w:spacing w:line="240" w:lineRule="auto"/>
                    <w:jc w:val="center"/>
                    <w:rPr>
                      <w:rFonts w:ascii="Times New Roman" w:hAnsi="Times New Roman" w:eastAsia="宋体" w:cs="黑体"/>
                      <w:color w:val="auto"/>
                      <w:kern w:val="2"/>
                      <w:sz w:val="21"/>
                      <w:szCs w:val="21"/>
                      <w:highlight w:val="none"/>
                      <w:lang w:val="en-US" w:eastAsia="zh-CN" w:bidi="ar-SA"/>
                    </w:rPr>
                  </w:pPr>
                  <w:r>
                    <w:rPr>
                      <w:color w:val="auto"/>
                      <w:sz w:val="21"/>
                      <w:szCs w:val="21"/>
                      <w:highlight w:val="none"/>
                    </w:rPr>
                    <w:t>生活污水</w:t>
                  </w:r>
                </w:p>
              </w:tc>
              <w:tc>
                <w:tcPr>
                  <w:tcW w:w="749" w:type="pct"/>
                  <w:vMerge w:val="restart"/>
                  <w:vAlign w:val="center"/>
                </w:tcPr>
                <w:p w14:paraId="0D00144D">
                  <w:pPr>
                    <w:jc w:val="center"/>
                    <w:rPr>
                      <w:rFonts w:cs="Times New Roman"/>
                      <w:color w:val="auto"/>
                      <w:szCs w:val="21"/>
                    </w:rPr>
                  </w:pPr>
                  <w:r>
                    <w:rPr>
                      <w:rFonts w:hint="eastAsia"/>
                      <w:color w:val="auto"/>
                      <w:sz w:val="21"/>
                      <w:szCs w:val="21"/>
                      <w:highlight w:val="none"/>
                    </w:rPr>
                    <w:t>pH、COD、BOD</w:t>
                  </w:r>
                  <w:r>
                    <w:rPr>
                      <w:rFonts w:hint="eastAsia"/>
                      <w:color w:val="auto"/>
                      <w:sz w:val="21"/>
                      <w:szCs w:val="21"/>
                      <w:highlight w:val="none"/>
                      <w:vertAlign w:val="subscript"/>
                    </w:rPr>
                    <w:t>5</w:t>
                  </w:r>
                  <w:r>
                    <w:rPr>
                      <w:rFonts w:hint="eastAsia"/>
                      <w:color w:val="auto"/>
                      <w:sz w:val="21"/>
                      <w:szCs w:val="21"/>
                      <w:highlight w:val="none"/>
                    </w:rPr>
                    <w:t>、SS、NH</w:t>
                  </w:r>
                  <w:r>
                    <w:rPr>
                      <w:rFonts w:hint="eastAsia"/>
                      <w:color w:val="auto"/>
                      <w:sz w:val="21"/>
                      <w:szCs w:val="21"/>
                      <w:highlight w:val="none"/>
                      <w:vertAlign w:val="subscript"/>
                    </w:rPr>
                    <w:t>3</w:t>
                  </w:r>
                  <w:r>
                    <w:rPr>
                      <w:rFonts w:hint="eastAsia"/>
                      <w:color w:val="auto"/>
                      <w:sz w:val="21"/>
                      <w:szCs w:val="21"/>
                      <w:highlight w:val="none"/>
                    </w:rPr>
                    <w:t>-N、TP、动植物油</w:t>
                  </w:r>
                </w:p>
              </w:tc>
              <w:tc>
                <w:tcPr>
                  <w:tcW w:w="788" w:type="pct"/>
                  <w:shd w:val="clear" w:color="auto" w:fill="auto"/>
                  <w:vAlign w:val="center"/>
                </w:tcPr>
                <w:p w14:paraId="50C6E8EA">
                  <w:pPr>
                    <w:spacing w:line="240" w:lineRule="auto"/>
                    <w:jc w:val="center"/>
                    <w:rPr>
                      <w:rFonts w:hint="eastAsia" w:ascii="Times New Roman" w:hAnsi="Times New Roman" w:eastAsia="宋体" w:cs="黑体"/>
                      <w:color w:val="auto"/>
                      <w:kern w:val="2"/>
                      <w:sz w:val="21"/>
                      <w:szCs w:val="21"/>
                      <w:highlight w:val="none"/>
                      <w:lang w:val="en-US" w:eastAsia="zh-CN" w:bidi="ar-SA"/>
                    </w:rPr>
                  </w:pPr>
                  <w:r>
                    <w:rPr>
                      <w:rFonts w:hint="eastAsia"/>
                      <w:color w:val="auto"/>
                      <w:sz w:val="21"/>
                      <w:szCs w:val="21"/>
                      <w:highlight w:val="none"/>
                      <w:lang w:val="en-US" w:eastAsia="zh-CN"/>
                    </w:rPr>
                    <w:t>化粪池</w:t>
                  </w:r>
                </w:p>
              </w:tc>
              <w:tc>
                <w:tcPr>
                  <w:tcW w:w="556" w:type="pct"/>
                  <w:shd w:val="clear" w:color="auto" w:fill="auto"/>
                  <w:vAlign w:val="center"/>
                </w:tcPr>
                <w:p w14:paraId="5B87D200">
                  <w:pPr>
                    <w:spacing w:line="240" w:lineRule="auto"/>
                    <w:jc w:val="center"/>
                    <w:rPr>
                      <w:rFonts w:hint="default" w:ascii="Times New Roman" w:hAnsi="Times New Roman" w:eastAsia="宋体" w:cs="黑体"/>
                      <w:color w:val="auto"/>
                      <w:kern w:val="2"/>
                      <w:sz w:val="21"/>
                      <w:szCs w:val="21"/>
                      <w:highlight w:val="none"/>
                      <w:lang w:val="en-US" w:eastAsia="zh-CN" w:bidi="ar-SA"/>
                    </w:rPr>
                  </w:pPr>
                  <w:r>
                    <w:rPr>
                      <w:rFonts w:hint="eastAsia"/>
                      <w:color w:val="auto"/>
                      <w:sz w:val="21"/>
                      <w:szCs w:val="21"/>
                      <w:highlight w:val="none"/>
                      <w:lang w:val="en-US" w:eastAsia="zh-CN"/>
                    </w:rPr>
                    <w:t>5</w:t>
                  </w:r>
                </w:p>
              </w:tc>
              <w:tc>
                <w:tcPr>
                  <w:tcW w:w="487" w:type="pct"/>
                  <w:shd w:val="clear" w:color="auto" w:fill="auto"/>
                  <w:vAlign w:val="center"/>
                </w:tcPr>
                <w:p w14:paraId="298D6012">
                  <w:pPr>
                    <w:spacing w:line="240" w:lineRule="auto"/>
                    <w:jc w:val="center"/>
                    <w:rPr>
                      <w:rFonts w:hint="eastAsia" w:ascii="Times New Roman" w:hAnsi="Times New Roman" w:eastAsia="宋体" w:cs="黑体"/>
                      <w:color w:val="auto"/>
                      <w:kern w:val="2"/>
                      <w:sz w:val="21"/>
                      <w:szCs w:val="21"/>
                      <w:highlight w:val="none"/>
                      <w:lang w:val="en-US" w:eastAsia="zh-CN" w:bidi="ar-SA"/>
                    </w:rPr>
                  </w:pPr>
                  <w:r>
                    <w:rPr>
                      <w:rFonts w:hint="eastAsia"/>
                      <w:color w:val="auto"/>
                      <w:sz w:val="21"/>
                      <w:szCs w:val="21"/>
                      <w:highlight w:val="none"/>
                      <w:lang w:val="en-US" w:eastAsia="zh-CN"/>
                    </w:rPr>
                    <w:t>厌氧</w:t>
                  </w:r>
                </w:p>
              </w:tc>
              <w:tc>
                <w:tcPr>
                  <w:tcW w:w="583" w:type="pct"/>
                  <w:shd w:val="clear" w:color="auto" w:fill="auto"/>
                  <w:vAlign w:val="center"/>
                </w:tcPr>
                <w:p w14:paraId="01B309FF">
                  <w:pPr>
                    <w:spacing w:line="240" w:lineRule="auto"/>
                    <w:jc w:val="center"/>
                    <w:rPr>
                      <w:rFonts w:ascii="Times New Roman" w:hAnsi="Times New Roman" w:eastAsia="宋体" w:cs="黑体"/>
                      <w:color w:val="auto"/>
                      <w:kern w:val="2"/>
                      <w:sz w:val="21"/>
                      <w:szCs w:val="21"/>
                      <w:highlight w:val="none"/>
                      <w:lang w:val="en-US" w:eastAsia="zh-CN" w:bidi="ar-SA"/>
                    </w:rPr>
                  </w:pPr>
                  <w:r>
                    <w:rPr>
                      <w:color w:val="auto"/>
                      <w:sz w:val="21"/>
                      <w:szCs w:val="21"/>
                      <w:highlight w:val="none"/>
                    </w:rPr>
                    <w:t>是</w:t>
                  </w:r>
                </w:p>
              </w:tc>
              <w:tc>
                <w:tcPr>
                  <w:tcW w:w="490" w:type="pct"/>
                  <w:vMerge w:val="restart"/>
                  <w:shd w:val="clear" w:color="auto" w:fill="auto"/>
                  <w:vAlign w:val="center"/>
                </w:tcPr>
                <w:p w14:paraId="5AB6B8AA">
                  <w:pPr>
                    <w:spacing w:line="240" w:lineRule="auto"/>
                    <w:jc w:val="center"/>
                    <w:rPr>
                      <w:rFonts w:ascii="Times New Roman" w:hAnsi="Times New Roman" w:eastAsia="宋体" w:cs="黑体"/>
                      <w:color w:val="auto"/>
                      <w:kern w:val="2"/>
                      <w:sz w:val="21"/>
                      <w:szCs w:val="21"/>
                      <w:highlight w:val="none"/>
                      <w:lang w:val="en-US" w:eastAsia="zh-CN" w:bidi="ar-SA"/>
                    </w:rPr>
                  </w:pPr>
                  <w:r>
                    <w:rPr>
                      <w:rFonts w:hint="eastAsia" w:cs="黑体"/>
                      <w:color w:val="auto"/>
                      <w:kern w:val="2"/>
                      <w:sz w:val="21"/>
                      <w:szCs w:val="21"/>
                      <w:highlight w:val="none"/>
                      <w:lang w:val="en-US" w:eastAsia="zh-CN" w:bidi="ar-SA"/>
                    </w:rPr>
                    <w:t>间接排放</w:t>
                  </w:r>
                </w:p>
              </w:tc>
              <w:tc>
                <w:tcPr>
                  <w:tcW w:w="611" w:type="pct"/>
                  <w:vMerge w:val="restart"/>
                  <w:vAlign w:val="center"/>
                </w:tcPr>
                <w:p w14:paraId="69628D48">
                  <w:pPr>
                    <w:jc w:val="center"/>
                    <w:rPr>
                      <w:rFonts w:hint="eastAsia" w:eastAsia="宋体" w:cs="Times New Roman"/>
                      <w:color w:val="auto"/>
                      <w:szCs w:val="21"/>
                      <w:lang w:eastAsia="zh-CN"/>
                    </w:rPr>
                  </w:pPr>
                  <w:r>
                    <w:rPr>
                      <w:rFonts w:hint="eastAsia" w:cs="Times New Roman"/>
                      <w:color w:val="auto"/>
                      <w:szCs w:val="21"/>
                      <w:lang w:eastAsia="zh-CN"/>
                    </w:rPr>
                    <w:t>东岳场镇污水处理厂</w:t>
                  </w:r>
                </w:p>
              </w:tc>
            </w:tr>
            <w:tr w14:paraId="5F45CCE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01" w:hRule="atLeast"/>
                <w:jc w:val="center"/>
              </w:trPr>
              <w:tc>
                <w:tcPr>
                  <w:tcW w:w="733" w:type="pct"/>
                  <w:shd w:val="clear" w:color="auto" w:fill="auto"/>
                  <w:vAlign w:val="center"/>
                </w:tcPr>
                <w:p w14:paraId="0D815A86">
                  <w:pPr>
                    <w:spacing w:line="240" w:lineRule="auto"/>
                    <w:jc w:val="center"/>
                    <w:rPr>
                      <w:rFonts w:ascii="Times New Roman" w:hAnsi="Times New Roman" w:eastAsia="宋体" w:cs="黑体"/>
                      <w:color w:val="auto"/>
                      <w:kern w:val="2"/>
                      <w:sz w:val="21"/>
                      <w:szCs w:val="21"/>
                      <w:highlight w:val="none"/>
                      <w:lang w:val="en-US" w:eastAsia="zh-CN" w:bidi="ar-SA"/>
                    </w:rPr>
                  </w:pPr>
                  <w:r>
                    <w:rPr>
                      <w:rFonts w:hint="eastAsia"/>
                      <w:color w:val="auto"/>
                      <w:sz w:val="21"/>
                      <w:szCs w:val="21"/>
                      <w:highlight w:val="none"/>
                    </w:rPr>
                    <w:t>食堂废水</w:t>
                  </w:r>
                </w:p>
              </w:tc>
              <w:tc>
                <w:tcPr>
                  <w:tcW w:w="749" w:type="pct"/>
                  <w:vMerge w:val="continue"/>
                  <w:vAlign w:val="center"/>
                </w:tcPr>
                <w:p w14:paraId="09677109">
                  <w:pPr>
                    <w:jc w:val="center"/>
                    <w:rPr>
                      <w:rFonts w:cs="Times New Roman"/>
                      <w:color w:val="auto"/>
                      <w:szCs w:val="21"/>
                    </w:rPr>
                  </w:pPr>
                </w:p>
              </w:tc>
              <w:tc>
                <w:tcPr>
                  <w:tcW w:w="788" w:type="pct"/>
                  <w:shd w:val="clear" w:color="auto" w:fill="auto"/>
                  <w:vAlign w:val="center"/>
                </w:tcPr>
                <w:p w14:paraId="4E9836FD">
                  <w:pPr>
                    <w:spacing w:line="240" w:lineRule="auto"/>
                    <w:jc w:val="center"/>
                    <w:rPr>
                      <w:rFonts w:ascii="Times New Roman" w:hAnsi="Times New Roman" w:eastAsia="宋体" w:cs="黑体"/>
                      <w:color w:val="auto"/>
                      <w:kern w:val="2"/>
                      <w:sz w:val="21"/>
                      <w:szCs w:val="21"/>
                      <w:highlight w:val="none"/>
                      <w:lang w:val="en-US" w:eastAsia="zh-CN" w:bidi="ar-SA"/>
                    </w:rPr>
                  </w:pPr>
                  <w:r>
                    <w:rPr>
                      <w:rFonts w:hint="eastAsia" w:cs="Times New Roman"/>
                      <w:color w:val="auto"/>
                      <w:sz w:val="21"/>
                      <w:szCs w:val="21"/>
                      <w:highlight w:val="none"/>
                      <w:lang w:val="en-US" w:eastAsia="zh-CN"/>
                    </w:rPr>
                    <w:t>油水分离器</w:t>
                  </w:r>
                </w:p>
              </w:tc>
              <w:tc>
                <w:tcPr>
                  <w:tcW w:w="556" w:type="pct"/>
                  <w:shd w:val="clear" w:color="auto" w:fill="auto"/>
                  <w:vAlign w:val="center"/>
                </w:tcPr>
                <w:p w14:paraId="4D237481">
                  <w:pPr>
                    <w:spacing w:line="240" w:lineRule="auto"/>
                    <w:jc w:val="center"/>
                    <w:rPr>
                      <w:rFonts w:hint="default" w:ascii="Times New Roman" w:hAnsi="Times New Roman" w:eastAsia="宋体" w:cs="黑体"/>
                      <w:color w:val="auto"/>
                      <w:kern w:val="2"/>
                      <w:sz w:val="21"/>
                      <w:szCs w:val="21"/>
                      <w:highlight w:val="none"/>
                      <w:lang w:val="en-US" w:eastAsia="zh-CN" w:bidi="ar-SA"/>
                    </w:rPr>
                  </w:pPr>
                  <w:r>
                    <w:rPr>
                      <w:rFonts w:hint="eastAsia"/>
                      <w:color w:val="auto"/>
                      <w:sz w:val="21"/>
                      <w:szCs w:val="21"/>
                      <w:highlight w:val="none"/>
                      <w:lang w:val="en-US" w:eastAsia="zh-CN"/>
                    </w:rPr>
                    <w:t>/</w:t>
                  </w:r>
                </w:p>
              </w:tc>
              <w:tc>
                <w:tcPr>
                  <w:tcW w:w="487" w:type="pct"/>
                  <w:shd w:val="clear" w:color="auto" w:fill="auto"/>
                  <w:vAlign w:val="center"/>
                </w:tcPr>
                <w:p w14:paraId="3B33FA5A">
                  <w:pPr>
                    <w:spacing w:line="240" w:lineRule="auto"/>
                    <w:jc w:val="center"/>
                    <w:rPr>
                      <w:rFonts w:ascii="Times New Roman" w:hAnsi="Times New Roman" w:eastAsia="宋体" w:cs="黑体"/>
                      <w:color w:val="auto"/>
                      <w:kern w:val="2"/>
                      <w:sz w:val="21"/>
                      <w:szCs w:val="21"/>
                      <w:highlight w:val="none"/>
                      <w:lang w:val="en-US" w:eastAsia="zh-CN" w:bidi="ar-SA"/>
                    </w:rPr>
                  </w:pPr>
                  <w:r>
                    <w:rPr>
                      <w:rFonts w:hint="eastAsia"/>
                      <w:color w:val="auto"/>
                      <w:kern w:val="24"/>
                      <w:sz w:val="21"/>
                      <w:szCs w:val="21"/>
                      <w:highlight w:val="none"/>
                      <w:lang w:val="en-US" w:eastAsia="zh-CN"/>
                    </w:rPr>
                    <w:t>隔油</w:t>
                  </w:r>
                </w:p>
              </w:tc>
              <w:tc>
                <w:tcPr>
                  <w:tcW w:w="583" w:type="pct"/>
                  <w:shd w:val="clear" w:color="auto" w:fill="auto"/>
                  <w:vAlign w:val="center"/>
                </w:tcPr>
                <w:p w14:paraId="40462F70">
                  <w:pPr>
                    <w:spacing w:line="240" w:lineRule="auto"/>
                    <w:jc w:val="center"/>
                    <w:rPr>
                      <w:rFonts w:ascii="Times New Roman" w:hAnsi="Times New Roman" w:eastAsia="宋体" w:cs="黑体"/>
                      <w:color w:val="auto"/>
                      <w:kern w:val="2"/>
                      <w:sz w:val="21"/>
                      <w:szCs w:val="21"/>
                      <w:highlight w:val="none"/>
                      <w:lang w:val="en-US" w:eastAsia="zh-CN" w:bidi="ar-SA"/>
                    </w:rPr>
                  </w:pPr>
                  <w:r>
                    <w:rPr>
                      <w:color w:val="auto"/>
                      <w:sz w:val="21"/>
                      <w:szCs w:val="21"/>
                      <w:highlight w:val="none"/>
                    </w:rPr>
                    <w:t>是</w:t>
                  </w:r>
                </w:p>
              </w:tc>
              <w:tc>
                <w:tcPr>
                  <w:tcW w:w="490" w:type="pct"/>
                  <w:vMerge w:val="continue"/>
                  <w:shd w:val="clear" w:color="auto" w:fill="auto"/>
                  <w:vAlign w:val="center"/>
                </w:tcPr>
                <w:p w14:paraId="6A109E1E">
                  <w:pPr>
                    <w:spacing w:line="240" w:lineRule="auto"/>
                    <w:jc w:val="center"/>
                    <w:rPr>
                      <w:rFonts w:ascii="Times New Roman" w:hAnsi="Times New Roman" w:eastAsia="宋体" w:cs="黑体"/>
                      <w:color w:val="auto"/>
                      <w:kern w:val="2"/>
                      <w:sz w:val="21"/>
                      <w:szCs w:val="21"/>
                      <w:highlight w:val="none"/>
                      <w:lang w:val="en-US" w:eastAsia="zh-CN" w:bidi="ar-SA"/>
                    </w:rPr>
                  </w:pPr>
                </w:p>
              </w:tc>
              <w:tc>
                <w:tcPr>
                  <w:tcW w:w="611" w:type="pct"/>
                  <w:vMerge w:val="continue"/>
                  <w:vAlign w:val="center"/>
                </w:tcPr>
                <w:p w14:paraId="43951F2D">
                  <w:pPr>
                    <w:jc w:val="center"/>
                    <w:rPr>
                      <w:rFonts w:cs="Times New Roman"/>
                      <w:color w:val="auto"/>
                      <w:szCs w:val="21"/>
                    </w:rPr>
                  </w:pPr>
                </w:p>
              </w:tc>
            </w:tr>
          </w:tbl>
          <w:p w14:paraId="5CCFD320">
            <w:pPr>
              <w:spacing w:line="360" w:lineRule="auto"/>
              <w:ind w:firstLine="480" w:firstLineChars="200"/>
              <w:rPr>
                <w:rFonts w:cs="Times New Roman"/>
                <w:color w:val="auto"/>
                <w:sz w:val="24"/>
                <w:szCs w:val="24"/>
              </w:rPr>
            </w:pPr>
            <w:r>
              <w:rPr>
                <w:rFonts w:cs="Times New Roman"/>
                <w:color w:val="auto"/>
                <w:sz w:val="24"/>
                <w:szCs w:val="24"/>
              </w:rPr>
              <w:t>本项目生产废水经絮凝沉淀处理后全</w:t>
            </w:r>
            <w:r>
              <w:rPr>
                <w:rFonts w:hint="eastAsia" w:cs="Times New Roman"/>
                <w:color w:val="auto"/>
                <w:sz w:val="24"/>
                <w:szCs w:val="24"/>
                <w:lang w:eastAsia="zh-CN"/>
              </w:rPr>
              <w:t>部</w:t>
            </w:r>
            <w:r>
              <w:rPr>
                <w:rFonts w:cs="Times New Roman"/>
                <w:color w:val="auto"/>
                <w:sz w:val="24"/>
                <w:szCs w:val="24"/>
              </w:rPr>
              <w:t>循环使用，定期补充蒸发损耗用水，不外排；</w:t>
            </w:r>
            <w:r>
              <w:rPr>
                <w:rFonts w:hint="eastAsia" w:cs="Times New Roman"/>
                <w:color w:val="auto"/>
                <w:sz w:val="24"/>
                <w:szCs w:val="24"/>
                <w:lang w:eastAsia="zh-CN"/>
              </w:rPr>
              <w:t>生活污水经隔油处理后排入化粪池，</w:t>
            </w:r>
            <w:r>
              <w:rPr>
                <w:rFonts w:hint="default" w:cs="Times New Roman"/>
                <w:color w:val="auto"/>
                <w:sz w:val="24"/>
                <w:szCs w:val="24"/>
                <w:lang w:val="en-US" w:eastAsia="zh-CN"/>
              </w:rPr>
              <w:t>定期经罐车拉运至东岳镇生活污水处理厂处理达《城镇污水处理厂污染物排放标准》（GB18918-2002）一级 A 标准后通过污水管网排入双龙河，待东岳镇污水处理厂及配套管网建成后，通过市政污水管网排入东岳镇工业园区污水处理厂处理</w:t>
            </w:r>
            <w:r>
              <w:rPr>
                <w:rFonts w:hint="eastAsia" w:cs="Times New Roman"/>
                <w:color w:val="auto"/>
                <w:sz w:val="24"/>
                <w:szCs w:val="24"/>
                <w:lang w:eastAsia="zh-CN"/>
              </w:rPr>
              <w:t>。</w:t>
            </w:r>
            <w:r>
              <w:rPr>
                <w:rFonts w:cs="Times New Roman"/>
                <w:color w:val="auto"/>
                <w:sz w:val="24"/>
                <w:szCs w:val="24"/>
              </w:rPr>
              <w:t>因此本项目不设废水排口。</w:t>
            </w:r>
          </w:p>
          <w:p w14:paraId="36F7BFF4">
            <w:pPr>
              <w:spacing w:line="360" w:lineRule="auto"/>
              <w:ind w:firstLine="482" w:firstLineChars="200"/>
              <w:rPr>
                <w:rFonts w:cs="Times New Roman"/>
                <w:b/>
                <w:bCs/>
                <w:color w:val="auto"/>
                <w:sz w:val="24"/>
                <w:szCs w:val="24"/>
              </w:rPr>
            </w:pPr>
            <w:r>
              <w:rPr>
                <w:rFonts w:cs="Times New Roman"/>
                <w:b/>
                <w:bCs/>
                <w:color w:val="auto"/>
                <w:sz w:val="24"/>
                <w:szCs w:val="24"/>
              </w:rPr>
              <w:t>（3）废水治理措施可行性分析</w:t>
            </w:r>
          </w:p>
          <w:p w14:paraId="6017248B">
            <w:pPr>
              <w:spacing w:line="360" w:lineRule="auto"/>
              <w:ind w:firstLine="482" w:firstLineChars="200"/>
              <w:rPr>
                <w:rFonts w:cs="Times New Roman"/>
                <w:b/>
                <w:bCs/>
                <w:color w:val="auto"/>
                <w:sz w:val="24"/>
                <w:szCs w:val="24"/>
              </w:rPr>
            </w:pPr>
            <w:r>
              <w:rPr>
                <w:rFonts w:cs="Times New Roman"/>
                <w:b/>
                <w:bCs/>
                <w:color w:val="auto"/>
                <w:sz w:val="24"/>
                <w:szCs w:val="24"/>
              </w:rPr>
              <w:t>①废水零排放可行性分析</w:t>
            </w:r>
            <w:r>
              <w:rPr>
                <w:rFonts w:hint="eastAsia" w:cs="Times New Roman"/>
                <w:b/>
                <w:bCs/>
                <w:color w:val="auto"/>
                <w:sz w:val="24"/>
                <w:szCs w:val="24"/>
              </w:rPr>
              <w:t xml:space="preserve">     </w:t>
            </w:r>
          </w:p>
          <w:p w14:paraId="21A326AF">
            <w:pPr>
              <w:spacing w:line="360" w:lineRule="auto"/>
              <w:ind w:firstLine="482" w:firstLineChars="200"/>
              <w:rPr>
                <w:rFonts w:cs="Times New Roman"/>
                <w:b/>
                <w:bCs/>
                <w:color w:val="auto"/>
                <w:sz w:val="24"/>
                <w:szCs w:val="24"/>
              </w:rPr>
            </w:pPr>
            <w:r>
              <w:rPr>
                <w:rFonts w:cs="Times New Roman"/>
                <w:b/>
                <w:bCs/>
                <w:color w:val="auto"/>
                <w:sz w:val="24"/>
                <w:szCs w:val="24"/>
              </w:rPr>
              <w:t xml:space="preserve">1）处理工艺 </w:t>
            </w:r>
          </w:p>
          <w:p w14:paraId="6A1AEA4C">
            <w:pPr>
              <w:spacing w:line="360" w:lineRule="auto"/>
              <w:ind w:firstLine="480" w:firstLineChars="200"/>
              <w:rPr>
                <w:rFonts w:cs="Times New Roman"/>
                <w:color w:val="auto"/>
                <w:sz w:val="24"/>
                <w:szCs w:val="24"/>
              </w:rPr>
            </w:pPr>
            <w:r>
              <w:rPr>
                <w:rFonts w:cs="Times New Roman"/>
                <w:color w:val="auto"/>
                <w:sz w:val="24"/>
                <w:szCs w:val="24"/>
              </w:rPr>
              <w:t>本项目生产废水主要污染物为 SS，沉淀处理效果较好，回用价值高；同时，项目生产用水主要</w:t>
            </w:r>
            <w:r>
              <w:rPr>
                <w:rFonts w:hint="eastAsia" w:cs="Times New Roman"/>
                <w:color w:val="auto"/>
                <w:sz w:val="24"/>
                <w:szCs w:val="24"/>
              </w:rPr>
              <w:t>为</w:t>
            </w:r>
            <w:r>
              <w:rPr>
                <w:rFonts w:cs="Times New Roman"/>
                <w:color w:val="auto"/>
                <w:sz w:val="24"/>
                <w:szCs w:val="24"/>
              </w:rPr>
              <w:t>石材加工用水、地面冲洗用水、厂区降尘用水等，对水质要求不高。因此，本项目采取将生产废水收集沉淀处理后，全部回用不外排。类比同类项目，</w:t>
            </w:r>
            <w:r>
              <w:rPr>
                <w:rFonts w:hint="eastAsia" w:cs="Times New Roman"/>
                <w:color w:val="auto"/>
                <w:sz w:val="24"/>
                <w:szCs w:val="24"/>
              </w:rPr>
              <w:t>石材</w:t>
            </w:r>
            <w:r>
              <w:rPr>
                <w:rFonts w:cs="Times New Roman"/>
                <w:color w:val="auto"/>
                <w:sz w:val="24"/>
                <w:szCs w:val="24"/>
              </w:rPr>
              <w:t>加工项目生产废水中的污染物，主要来</w:t>
            </w:r>
            <w:r>
              <w:rPr>
                <w:rFonts w:hint="eastAsia" w:cs="Times New Roman"/>
                <w:color w:val="auto"/>
                <w:sz w:val="24"/>
                <w:szCs w:val="24"/>
              </w:rPr>
              <w:t>石材</w:t>
            </w:r>
            <w:r>
              <w:rPr>
                <w:rFonts w:cs="Times New Roman"/>
                <w:color w:val="auto"/>
                <w:sz w:val="24"/>
                <w:szCs w:val="24"/>
              </w:rPr>
              <w:t>加工过程产生的粒径在80um以下的微粉，主要呈悬浮状态、分散度极高。为了实现循环利用目的，本项目采用</w:t>
            </w:r>
            <w:r>
              <w:rPr>
                <w:rFonts w:hint="eastAsia" w:cs="Times New Roman"/>
                <w:color w:val="auto"/>
                <w:sz w:val="24"/>
                <w:szCs w:val="24"/>
              </w:rPr>
              <w:t>絮凝沉淀</w:t>
            </w:r>
            <w:r>
              <w:rPr>
                <w:rFonts w:cs="Times New Roman"/>
                <w:color w:val="auto"/>
                <w:sz w:val="24"/>
                <w:szCs w:val="24"/>
              </w:rPr>
              <w:t>工艺</w:t>
            </w:r>
            <w:r>
              <w:rPr>
                <w:rFonts w:hint="eastAsia" w:cs="Times New Roman"/>
                <w:color w:val="auto"/>
                <w:sz w:val="24"/>
                <w:szCs w:val="24"/>
              </w:rPr>
              <w:t>处理后</w:t>
            </w:r>
            <w:r>
              <w:rPr>
                <w:rFonts w:cs="Times New Roman"/>
                <w:color w:val="auto"/>
                <w:sz w:val="24"/>
                <w:szCs w:val="24"/>
              </w:rPr>
              <w:t>全部回用到生产过程中。</w:t>
            </w:r>
          </w:p>
          <w:p w14:paraId="29FB8133">
            <w:pPr>
              <w:spacing w:line="360" w:lineRule="auto"/>
              <w:ind w:firstLine="480" w:firstLineChars="200"/>
              <w:rPr>
                <w:rFonts w:cs="Times New Roman"/>
                <w:color w:val="auto"/>
                <w:sz w:val="24"/>
                <w:szCs w:val="24"/>
              </w:rPr>
            </w:pPr>
            <w:r>
              <w:rPr>
                <w:rFonts w:cs="Times New Roman"/>
                <w:color w:val="auto"/>
                <w:sz w:val="24"/>
                <w:szCs w:val="24"/>
              </w:rPr>
              <w:t>工艺流程如下图。</w:t>
            </w:r>
          </w:p>
          <w:p w14:paraId="25AFA3A4">
            <w:pPr>
              <w:spacing w:line="360" w:lineRule="auto"/>
              <w:jc w:val="center"/>
              <w:rPr>
                <w:color w:val="auto"/>
                <w:sz w:val="24"/>
                <w:szCs w:val="24"/>
                <w:highlight w:val="none"/>
              </w:rPr>
            </w:pPr>
            <w:r>
              <w:rPr>
                <w:highlight w:val="none"/>
              </w:rPr>
              <w:drawing>
                <wp:inline distT="0" distB="0" distL="114300" distR="114300">
                  <wp:extent cx="5490210" cy="3162300"/>
                  <wp:effectExtent l="0" t="0" r="15240" b="0"/>
                  <wp:docPr id="1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6"/>
                          <pic:cNvPicPr>
                            <a:picLocks noChangeAspect="1"/>
                          </pic:cNvPicPr>
                        </pic:nvPicPr>
                        <pic:blipFill>
                          <a:blip r:embed="rId18"/>
                          <a:stretch>
                            <a:fillRect/>
                          </a:stretch>
                        </pic:blipFill>
                        <pic:spPr>
                          <a:xfrm>
                            <a:off x="0" y="0"/>
                            <a:ext cx="5490210" cy="3162300"/>
                          </a:xfrm>
                          <a:prstGeom prst="rect">
                            <a:avLst/>
                          </a:prstGeom>
                          <a:noFill/>
                          <a:ln>
                            <a:noFill/>
                          </a:ln>
                        </pic:spPr>
                      </pic:pic>
                    </a:graphicData>
                  </a:graphic>
                </wp:inline>
              </w:drawing>
            </w:r>
          </w:p>
          <w:p w14:paraId="12DD819F">
            <w:pPr>
              <w:spacing w:line="360" w:lineRule="auto"/>
              <w:jc w:val="center"/>
              <w:rPr>
                <w:rFonts w:cs="Times New Roman"/>
                <w:color w:val="auto"/>
                <w:sz w:val="24"/>
                <w:szCs w:val="24"/>
                <w:highlight w:val="none"/>
              </w:rPr>
            </w:pPr>
            <w:r>
              <w:rPr>
                <w:rFonts w:hint="eastAsia"/>
                <w:b/>
                <w:bCs/>
                <w:color w:val="auto"/>
                <w:sz w:val="24"/>
                <w:szCs w:val="24"/>
                <w:highlight w:val="none"/>
              </w:rPr>
              <w:t>图4-1 废水处理工艺流程图</w:t>
            </w:r>
          </w:p>
          <w:p w14:paraId="4A65E338">
            <w:pPr>
              <w:spacing w:line="372" w:lineRule="auto"/>
              <w:ind w:firstLine="482" w:firstLineChars="200"/>
              <w:rPr>
                <w:rFonts w:cs="Times New Roman"/>
                <w:color w:val="auto"/>
                <w:sz w:val="24"/>
                <w:szCs w:val="24"/>
              </w:rPr>
            </w:pPr>
            <w:r>
              <w:rPr>
                <w:rFonts w:cs="Times New Roman"/>
                <w:b/>
                <w:bCs/>
                <w:color w:val="auto"/>
                <w:sz w:val="24"/>
                <w:szCs w:val="24"/>
              </w:rPr>
              <w:t xml:space="preserve">废水处理工艺介绍： </w:t>
            </w:r>
            <w:r>
              <w:rPr>
                <w:rFonts w:hint="eastAsia" w:cs="Times New Roman"/>
                <w:b/>
                <w:bCs/>
                <w:color w:val="auto"/>
                <w:sz w:val="24"/>
                <w:szCs w:val="24"/>
              </w:rPr>
              <w:t xml:space="preserve"> </w:t>
            </w:r>
          </w:p>
          <w:p w14:paraId="3EC9B74F">
            <w:pPr>
              <w:keepNext w:val="0"/>
              <w:keepLines w:val="0"/>
              <w:pageBreakBefore w:val="0"/>
              <w:widowControl w:val="0"/>
              <w:kinsoku/>
              <w:wordWrap/>
              <w:overflowPunct/>
              <w:topLinePunct w:val="0"/>
              <w:autoSpaceDE/>
              <w:autoSpaceDN/>
              <w:bidi w:val="0"/>
              <w:adjustRightInd/>
              <w:snapToGrid/>
              <w:spacing w:line="384" w:lineRule="auto"/>
              <w:ind w:firstLine="480" w:firstLineChars="200"/>
              <w:textAlignment w:val="auto"/>
              <w:rPr>
                <w:rFonts w:cs="Times New Roman"/>
                <w:color w:val="auto"/>
                <w:sz w:val="24"/>
                <w:szCs w:val="24"/>
              </w:rPr>
            </w:pPr>
            <w:r>
              <w:rPr>
                <w:rFonts w:cs="Times New Roman"/>
                <w:color w:val="auto"/>
                <w:sz w:val="24"/>
                <w:szCs w:val="24"/>
              </w:rPr>
              <w:t>项目废水处理系统主要包括</w:t>
            </w:r>
            <w:r>
              <w:rPr>
                <w:rFonts w:hint="eastAsia" w:cs="Times New Roman"/>
                <w:color w:val="auto"/>
                <w:kern w:val="0"/>
                <w:sz w:val="24"/>
                <w:szCs w:val="24"/>
                <w:lang w:val="en-US" w:eastAsia="zh-CN" w:bidi="ar"/>
              </w:rPr>
              <w:t>1</w:t>
            </w:r>
            <w:r>
              <w:rPr>
                <w:rFonts w:cs="Times New Roman"/>
                <w:color w:val="auto"/>
                <w:kern w:val="0"/>
                <w:sz w:val="24"/>
                <w:szCs w:val="24"/>
                <w:lang w:bidi="ar"/>
              </w:rPr>
              <w:t>个</w:t>
            </w:r>
            <w:r>
              <w:rPr>
                <w:rFonts w:cs="Times New Roman"/>
                <w:color w:val="auto"/>
                <w:sz w:val="24"/>
                <w:szCs w:val="24"/>
              </w:rPr>
              <w:t>沉砂池</w:t>
            </w:r>
            <w:r>
              <w:rPr>
                <w:rFonts w:cs="Times New Roman"/>
                <w:color w:val="auto"/>
                <w:kern w:val="0"/>
                <w:sz w:val="24"/>
                <w:szCs w:val="24"/>
                <w:lang w:bidi="ar"/>
              </w:rPr>
              <w:t>（</w:t>
            </w:r>
            <w:r>
              <w:rPr>
                <w:rFonts w:hint="eastAsia" w:cs="Times New Roman"/>
                <w:color w:val="auto"/>
                <w:kern w:val="0"/>
                <w:sz w:val="24"/>
                <w:szCs w:val="24"/>
                <w:lang w:bidi="ar"/>
              </w:rPr>
              <w:t>总容积</w:t>
            </w:r>
            <w:r>
              <w:rPr>
                <w:rFonts w:hint="eastAsia" w:cs="Times New Roman"/>
                <w:color w:val="auto"/>
                <w:kern w:val="0"/>
                <w:sz w:val="24"/>
                <w:szCs w:val="24"/>
                <w:lang w:val="en-US" w:eastAsia="zh-CN" w:bidi="ar"/>
              </w:rPr>
              <w:t>1</w:t>
            </w:r>
            <w:r>
              <w:rPr>
                <w:rFonts w:cs="Times New Roman"/>
                <w:color w:val="auto"/>
                <w:kern w:val="0"/>
                <w:sz w:val="24"/>
                <w:szCs w:val="24"/>
                <w:lang w:bidi="ar"/>
              </w:rPr>
              <w:t>0m</w:t>
            </w:r>
            <w:r>
              <w:rPr>
                <w:rFonts w:cs="Times New Roman"/>
                <w:color w:val="auto"/>
                <w:kern w:val="0"/>
                <w:sz w:val="24"/>
                <w:szCs w:val="24"/>
                <w:vertAlign w:val="superscript"/>
                <w:lang w:bidi="ar"/>
              </w:rPr>
              <w:t>3</w:t>
            </w:r>
            <w:r>
              <w:rPr>
                <w:rFonts w:cs="Times New Roman"/>
                <w:color w:val="auto"/>
                <w:kern w:val="0"/>
                <w:sz w:val="24"/>
                <w:szCs w:val="24"/>
                <w:lang w:bidi="ar"/>
              </w:rPr>
              <w:t>）</w:t>
            </w:r>
            <w:r>
              <w:rPr>
                <w:rFonts w:hint="eastAsia" w:cs="Times New Roman"/>
                <w:color w:val="auto"/>
                <w:kern w:val="0"/>
                <w:sz w:val="24"/>
                <w:szCs w:val="24"/>
                <w:lang w:bidi="ar"/>
              </w:rPr>
              <w:t>、</w:t>
            </w:r>
            <w:r>
              <w:rPr>
                <w:rFonts w:hint="eastAsia" w:cs="Times New Roman"/>
                <w:color w:val="auto"/>
                <w:kern w:val="0"/>
                <w:sz w:val="24"/>
                <w:szCs w:val="24"/>
                <w:lang w:val="en-US" w:eastAsia="zh-CN" w:bidi="ar"/>
              </w:rPr>
              <w:t>1</w:t>
            </w:r>
            <w:r>
              <w:rPr>
                <w:rFonts w:cs="Times New Roman"/>
                <w:color w:val="auto"/>
                <w:kern w:val="0"/>
                <w:sz w:val="24"/>
                <w:szCs w:val="24"/>
                <w:lang w:bidi="ar"/>
              </w:rPr>
              <w:t>台螺旋绞砂机</w:t>
            </w:r>
            <w:r>
              <w:rPr>
                <w:rFonts w:hint="eastAsia" w:cs="Times New Roman"/>
                <w:color w:val="auto"/>
                <w:kern w:val="0"/>
                <w:sz w:val="24"/>
                <w:szCs w:val="24"/>
                <w:lang w:bidi="ar"/>
              </w:rPr>
              <w:t>、</w:t>
            </w:r>
            <w:r>
              <w:rPr>
                <w:rFonts w:hint="eastAsia" w:cs="Times New Roman"/>
                <w:color w:val="auto"/>
                <w:kern w:val="0"/>
                <w:sz w:val="24"/>
                <w:szCs w:val="24"/>
                <w:lang w:val="en-US" w:eastAsia="zh-CN" w:bidi="ar"/>
              </w:rPr>
              <w:t>1</w:t>
            </w:r>
            <w:r>
              <w:rPr>
                <w:rFonts w:hint="eastAsia" w:cs="Times New Roman"/>
                <w:color w:val="auto"/>
                <w:kern w:val="0"/>
                <w:sz w:val="24"/>
                <w:szCs w:val="24"/>
                <w:lang w:bidi="ar"/>
              </w:rPr>
              <w:t>个</w:t>
            </w:r>
            <w:r>
              <w:rPr>
                <w:rFonts w:hint="eastAsia" w:cs="Times New Roman"/>
                <w:color w:val="auto"/>
                <w:kern w:val="0"/>
                <w:sz w:val="24"/>
                <w:szCs w:val="24"/>
                <w:lang w:eastAsia="zh-CN" w:bidi="ar"/>
              </w:rPr>
              <w:t>三</w:t>
            </w:r>
            <w:r>
              <w:rPr>
                <w:rFonts w:cs="Times New Roman"/>
                <w:color w:val="auto"/>
                <w:kern w:val="0"/>
                <w:sz w:val="24"/>
                <w:szCs w:val="24"/>
                <w:lang w:bidi="ar"/>
              </w:rPr>
              <w:t>级沉淀池（</w:t>
            </w:r>
            <w:r>
              <w:rPr>
                <w:rFonts w:hint="eastAsia" w:cs="Times New Roman"/>
                <w:color w:val="auto"/>
                <w:kern w:val="0"/>
                <w:sz w:val="24"/>
                <w:szCs w:val="24"/>
                <w:lang w:bidi="ar"/>
              </w:rPr>
              <w:t>总容积</w:t>
            </w:r>
            <w:r>
              <w:rPr>
                <w:rFonts w:hint="eastAsia" w:cs="Times New Roman"/>
                <w:color w:val="auto"/>
                <w:kern w:val="0"/>
                <w:sz w:val="24"/>
                <w:szCs w:val="24"/>
                <w:lang w:val="en-US" w:eastAsia="zh-CN" w:bidi="ar"/>
              </w:rPr>
              <w:t>405</w:t>
            </w:r>
            <w:r>
              <w:rPr>
                <w:rFonts w:cs="Times New Roman"/>
                <w:color w:val="auto"/>
                <w:kern w:val="0"/>
                <w:sz w:val="24"/>
                <w:szCs w:val="24"/>
                <w:lang w:bidi="ar"/>
              </w:rPr>
              <w:t>m</w:t>
            </w:r>
            <w:r>
              <w:rPr>
                <w:rFonts w:cs="Times New Roman"/>
                <w:color w:val="auto"/>
                <w:kern w:val="0"/>
                <w:sz w:val="24"/>
                <w:szCs w:val="24"/>
                <w:vertAlign w:val="superscript"/>
                <w:lang w:bidi="ar"/>
              </w:rPr>
              <w:t>3</w:t>
            </w:r>
            <w:r>
              <w:rPr>
                <w:rFonts w:hint="eastAsia" w:cs="Times New Roman"/>
                <w:color w:val="auto"/>
                <w:kern w:val="0"/>
                <w:sz w:val="24"/>
                <w:szCs w:val="24"/>
                <w:lang w:eastAsia="zh-CN" w:bidi="ar"/>
              </w:rPr>
              <w:t>，</w:t>
            </w:r>
            <w:r>
              <w:rPr>
                <w:rFonts w:hint="eastAsia" w:cs="Times New Roman"/>
                <w:color w:val="auto"/>
                <w:kern w:val="0"/>
                <w:sz w:val="24"/>
                <w:szCs w:val="24"/>
                <w:lang w:val="en-US" w:eastAsia="zh-CN" w:bidi="ar"/>
              </w:rPr>
              <w:t>2个沉淀池、1个清水池</w:t>
            </w:r>
            <w:r>
              <w:rPr>
                <w:rFonts w:cs="Times New Roman"/>
                <w:color w:val="auto"/>
                <w:kern w:val="0"/>
                <w:sz w:val="24"/>
                <w:szCs w:val="24"/>
                <w:lang w:bidi="ar"/>
              </w:rPr>
              <w:t>）</w:t>
            </w:r>
            <w:r>
              <w:rPr>
                <w:rFonts w:hint="eastAsia" w:cs="Times New Roman"/>
                <w:color w:val="auto"/>
                <w:kern w:val="0"/>
                <w:sz w:val="24"/>
                <w:szCs w:val="24"/>
                <w:lang w:bidi="ar"/>
              </w:rPr>
              <w:t>、</w:t>
            </w:r>
            <w:r>
              <w:rPr>
                <w:rFonts w:cs="Times New Roman"/>
                <w:color w:val="auto"/>
                <w:kern w:val="0"/>
                <w:sz w:val="24"/>
                <w:szCs w:val="24"/>
                <w:lang w:bidi="ar"/>
              </w:rPr>
              <w:t>1台板框压滤机</w:t>
            </w:r>
            <w:r>
              <w:rPr>
                <w:rFonts w:hint="eastAsia" w:cs="Times New Roman"/>
                <w:color w:val="auto"/>
                <w:kern w:val="0"/>
                <w:sz w:val="24"/>
                <w:szCs w:val="24"/>
                <w:lang w:bidi="ar"/>
              </w:rPr>
              <w:t>及污泥泵组成，</w:t>
            </w:r>
            <w:r>
              <w:rPr>
                <w:rFonts w:cs="Times New Roman"/>
                <w:color w:val="auto"/>
                <w:sz w:val="24"/>
                <w:szCs w:val="24"/>
              </w:rPr>
              <w:t xml:space="preserve">另外配套加药装置、回用水泵及回用管线、废水收集沟渠等。 </w:t>
            </w:r>
          </w:p>
          <w:p w14:paraId="085743C3">
            <w:pPr>
              <w:keepNext w:val="0"/>
              <w:keepLines w:val="0"/>
              <w:pageBreakBefore w:val="0"/>
              <w:widowControl w:val="0"/>
              <w:kinsoku/>
              <w:wordWrap/>
              <w:overflowPunct/>
              <w:topLinePunct w:val="0"/>
              <w:autoSpaceDE/>
              <w:autoSpaceDN/>
              <w:bidi w:val="0"/>
              <w:adjustRightInd/>
              <w:snapToGrid/>
              <w:spacing w:line="384" w:lineRule="auto"/>
              <w:ind w:firstLine="480" w:firstLineChars="200"/>
              <w:textAlignment w:val="auto"/>
              <w:rPr>
                <w:rFonts w:cs="Times New Roman"/>
                <w:color w:val="auto"/>
                <w:sz w:val="24"/>
                <w:szCs w:val="24"/>
              </w:rPr>
            </w:pPr>
            <w:r>
              <w:rPr>
                <w:rFonts w:cs="Times New Roman"/>
                <w:color w:val="auto"/>
                <w:sz w:val="24"/>
                <w:szCs w:val="24"/>
              </w:rPr>
              <w:t>生产废水经废水收集沟收集后首先排入</w:t>
            </w:r>
            <w:r>
              <w:rPr>
                <w:rFonts w:hint="eastAsia" w:cs="Times New Roman"/>
                <w:color w:val="auto"/>
                <w:sz w:val="24"/>
                <w:szCs w:val="24"/>
              </w:rPr>
              <w:t>车间外沉砂池，在沉砂池内设置</w:t>
            </w:r>
            <w:r>
              <w:rPr>
                <w:rFonts w:cs="Times New Roman"/>
                <w:color w:val="auto"/>
                <w:kern w:val="0"/>
                <w:sz w:val="24"/>
                <w:szCs w:val="24"/>
                <w:lang w:bidi="ar"/>
              </w:rPr>
              <w:t>螺旋绞砂机</w:t>
            </w:r>
            <w:r>
              <w:rPr>
                <w:rFonts w:hint="eastAsia" w:cs="Times New Roman"/>
                <w:color w:val="auto"/>
                <w:kern w:val="0"/>
                <w:sz w:val="24"/>
                <w:szCs w:val="24"/>
                <w:lang w:bidi="ar"/>
              </w:rPr>
              <w:t>对池体内粗砂进行分离，然后依次进入</w:t>
            </w:r>
            <w:r>
              <w:rPr>
                <w:rFonts w:hint="eastAsia" w:cs="Times New Roman"/>
                <w:color w:val="auto"/>
                <w:kern w:val="0"/>
                <w:sz w:val="24"/>
                <w:szCs w:val="24"/>
                <w:lang w:eastAsia="zh-CN" w:bidi="ar"/>
              </w:rPr>
              <w:t>三</w:t>
            </w:r>
            <w:r>
              <w:rPr>
                <w:rFonts w:hint="eastAsia" w:cs="Times New Roman"/>
                <w:color w:val="auto"/>
                <w:kern w:val="0"/>
                <w:sz w:val="24"/>
                <w:szCs w:val="24"/>
                <w:lang w:bidi="ar"/>
              </w:rPr>
              <w:t>级沉淀池</w:t>
            </w:r>
            <w:r>
              <w:rPr>
                <w:rFonts w:hint="eastAsia" w:cs="Times New Roman"/>
                <w:color w:val="auto"/>
                <w:kern w:val="0"/>
                <w:sz w:val="24"/>
                <w:szCs w:val="24"/>
                <w:lang w:eastAsia="zh-CN" w:bidi="ar"/>
              </w:rPr>
              <w:t>，添加絮凝剂进行</w:t>
            </w:r>
            <w:r>
              <w:rPr>
                <w:rFonts w:hint="eastAsia" w:cs="Times New Roman"/>
                <w:color w:val="auto"/>
                <w:kern w:val="0"/>
                <w:sz w:val="24"/>
                <w:szCs w:val="24"/>
                <w:lang w:bidi="ar"/>
              </w:rPr>
              <w:t>处理。</w:t>
            </w:r>
            <w:r>
              <w:rPr>
                <w:rFonts w:cs="Times New Roman"/>
                <w:color w:val="auto"/>
                <w:sz w:val="24"/>
                <w:szCs w:val="24"/>
              </w:rPr>
              <w:t>各级沉淀池之间通过管道相连，废水通过</w:t>
            </w:r>
            <w:r>
              <w:rPr>
                <w:rFonts w:hint="eastAsia" w:cs="Times New Roman"/>
                <w:color w:val="auto"/>
                <w:sz w:val="24"/>
                <w:szCs w:val="24"/>
              </w:rPr>
              <w:t>管道</w:t>
            </w:r>
            <w:r>
              <w:rPr>
                <w:rFonts w:cs="Times New Roman"/>
                <w:color w:val="auto"/>
                <w:sz w:val="24"/>
                <w:szCs w:val="24"/>
              </w:rPr>
              <w:t>进入下一级继续</w:t>
            </w:r>
            <w:r>
              <w:rPr>
                <w:rFonts w:hint="eastAsia" w:cs="Times New Roman"/>
                <w:color w:val="auto"/>
                <w:sz w:val="24"/>
                <w:szCs w:val="24"/>
              </w:rPr>
              <w:t>沉淀</w:t>
            </w:r>
            <w:r>
              <w:rPr>
                <w:rFonts w:cs="Times New Roman"/>
                <w:color w:val="auto"/>
                <w:sz w:val="24"/>
                <w:szCs w:val="24"/>
              </w:rPr>
              <w:t>。针对废水中的悬浮物，高效的去除方法是采用絮凝沉淀的方式予以去除，通过向</w:t>
            </w:r>
            <w:r>
              <w:rPr>
                <w:rFonts w:hint="eastAsia" w:cs="Times New Roman"/>
                <w:color w:val="auto"/>
                <w:sz w:val="24"/>
                <w:szCs w:val="24"/>
              </w:rPr>
              <w:t>污水处理罐</w:t>
            </w:r>
            <w:r>
              <w:rPr>
                <w:rFonts w:cs="Times New Roman"/>
                <w:color w:val="auto"/>
                <w:sz w:val="24"/>
                <w:szCs w:val="24"/>
              </w:rPr>
              <w:t>中投加絮凝剂（PAC），起到快速沉淀的作用，因此废水沉淀处理系统配备PAC加药装置1套，处理后的废水上层清液进入清水池，在</w:t>
            </w:r>
            <w:r>
              <w:rPr>
                <w:rFonts w:hint="eastAsia" w:cs="Times New Roman"/>
                <w:color w:val="auto"/>
                <w:sz w:val="24"/>
                <w:szCs w:val="24"/>
              </w:rPr>
              <w:t>清水池</w:t>
            </w:r>
            <w:r>
              <w:rPr>
                <w:rFonts w:cs="Times New Roman"/>
                <w:color w:val="auto"/>
                <w:sz w:val="24"/>
                <w:szCs w:val="24"/>
              </w:rPr>
              <w:t>内安装回用水泵，及时抽走回用，确保有足够的容积；</w:t>
            </w:r>
            <w:r>
              <w:rPr>
                <w:rFonts w:hint="eastAsia" w:cs="Times New Roman"/>
                <w:color w:val="auto"/>
                <w:sz w:val="24"/>
                <w:szCs w:val="24"/>
                <w:lang w:eastAsia="zh-CN"/>
              </w:rPr>
              <w:t>泥沙</w:t>
            </w:r>
            <w:r>
              <w:rPr>
                <w:rFonts w:cs="Times New Roman"/>
                <w:color w:val="auto"/>
                <w:sz w:val="24"/>
                <w:szCs w:val="24"/>
              </w:rPr>
              <w:t>沉淀在</w:t>
            </w:r>
            <w:r>
              <w:rPr>
                <w:rFonts w:hint="eastAsia" w:cs="Times New Roman"/>
                <w:color w:val="auto"/>
                <w:sz w:val="24"/>
                <w:szCs w:val="24"/>
              </w:rPr>
              <w:t>污水处理罐</w:t>
            </w:r>
            <w:r>
              <w:rPr>
                <w:rFonts w:cs="Times New Roman"/>
                <w:color w:val="auto"/>
                <w:sz w:val="24"/>
                <w:szCs w:val="24"/>
              </w:rPr>
              <w:t>池底</w:t>
            </w:r>
            <w:r>
              <w:rPr>
                <w:rFonts w:hint="eastAsia" w:cs="Times New Roman"/>
                <w:color w:val="auto"/>
                <w:sz w:val="24"/>
                <w:szCs w:val="24"/>
              </w:rPr>
              <w:t>部</w:t>
            </w:r>
            <w:r>
              <w:rPr>
                <w:rFonts w:cs="Times New Roman"/>
                <w:color w:val="auto"/>
                <w:sz w:val="24"/>
                <w:szCs w:val="24"/>
              </w:rPr>
              <w:t>，由</w:t>
            </w:r>
            <w:r>
              <w:rPr>
                <w:rFonts w:hint="eastAsia" w:cs="Times New Roman"/>
                <w:color w:val="auto"/>
                <w:sz w:val="24"/>
                <w:szCs w:val="24"/>
              </w:rPr>
              <w:t>污水管抽至板框压滤机内进行</w:t>
            </w:r>
            <w:r>
              <w:rPr>
                <w:rFonts w:hint="eastAsia" w:cs="Times New Roman"/>
                <w:color w:val="auto"/>
                <w:sz w:val="24"/>
                <w:szCs w:val="24"/>
                <w:lang w:eastAsia="zh-CN"/>
              </w:rPr>
              <w:t>泥沙</w:t>
            </w:r>
            <w:r>
              <w:rPr>
                <w:rFonts w:hint="eastAsia" w:cs="Times New Roman"/>
                <w:color w:val="auto"/>
                <w:sz w:val="24"/>
                <w:szCs w:val="24"/>
              </w:rPr>
              <w:t>压滤分离处理。</w:t>
            </w:r>
          </w:p>
          <w:p w14:paraId="3A4D8A08">
            <w:pPr>
              <w:keepNext w:val="0"/>
              <w:keepLines w:val="0"/>
              <w:pageBreakBefore w:val="0"/>
              <w:widowControl w:val="0"/>
              <w:kinsoku/>
              <w:wordWrap/>
              <w:overflowPunct/>
              <w:topLinePunct w:val="0"/>
              <w:autoSpaceDE/>
              <w:autoSpaceDN/>
              <w:bidi w:val="0"/>
              <w:adjustRightInd/>
              <w:snapToGrid/>
              <w:spacing w:line="384" w:lineRule="auto"/>
              <w:ind w:firstLine="480" w:firstLineChars="200"/>
              <w:textAlignment w:val="auto"/>
              <w:rPr>
                <w:rFonts w:cs="Times New Roman"/>
                <w:b/>
                <w:bCs/>
                <w:color w:val="auto"/>
                <w:sz w:val="24"/>
                <w:szCs w:val="24"/>
              </w:rPr>
            </w:pPr>
            <w:r>
              <w:rPr>
                <w:rFonts w:cs="Times New Roman"/>
                <w:color w:val="auto"/>
                <w:sz w:val="24"/>
                <w:szCs w:val="24"/>
              </w:rPr>
              <w:t>根据水平衡分析可知，本项目生产废水为</w:t>
            </w:r>
            <w:r>
              <w:rPr>
                <w:rFonts w:hint="eastAsia" w:cs="Times New Roman"/>
                <w:color w:val="auto"/>
                <w:sz w:val="24"/>
                <w:szCs w:val="24"/>
                <w:lang w:val="en-US" w:eastAsia="zh-CN"/>
              </w:rPr>
              <w:t>32.31</w:t>
            </w:r>
            <w:r>
              <w:rPr>
                <w:rFonts w:cs="Times New Roman"/>
                <w:color w:val="auto"/>
                <w:sz w:val="24"/>
                <w:szCs w:val="24"/>
              </w:rPr>
              <w:t>m</w:t>
            </w:r>
            <w:r>
              <w:rPr>
                <w:rFonts w:cs="Times New Roman"/>
                <w:color w:val="auto"/>
                <w:sz w:val="24"/>
                <w:szCs w:val="24"/>
                <w:vertAlign w:val="superscript"/>
              </w:rPr>
              <w:t>3</w:t>
            </w:r>
            <w:r>
              <w:rPr>
                <w:rFonts w:cs="Times New Roman"/>
                <w:color w:val="auto"/>
                <w:sz w:val="24"/>
                <w:szCs w:val="24"/>
              </w:rPr>
              <w:t>/d</w:t>
            </w:r>
            <w:r>
              <w:rPr>
                <w:rFonts w:hint="eastAsia" w:cs="Times New Roman"/>
                <w:color w:val="auto"/>
                <w:sz w:val="24"/>
                <w:szCs w:val="24"/>
              </w:rPr>
              <w:t>，</w:t>
            </w:r>
            <w:r>
              <w:rPr>
                <w:color w:val="auto"/>
                <w:sz w:val="24"/>
                <w:szCs w:val="24"/>
              </w:rPr>
              <w:t>按</w:t>
            </w:r>
            <w:r>
              <w:rPr>
                <w:rFonts w:hint="eastAsia"/>
                <w:color w:val="auto"/>
                <w:sz w:val="24"/>
                <w:szCs w:val="24"/>
              </w:rPr>
              <w:t>2</w:t>
            </w:r>
            <w:r>
              <w:rPr>
                <w:color w:val="auto"/>
                <w:sz w:val="24"/>
                <w:szCs w:val="24"/>
              </w:rPr>
              <w:t>日处理周期计算</w:t>
            </w:r>
            <w:r>
              <w:rPr>
                <w:rFonts w:hint="eastAsia"/>
                <w:color w:val="auto"/>
                <w:sz w:val="24"/>
                <w:szCs w:val="24"/>
              </w:rPr>
              <w:t>，</w:t>
            </w:r>
            <w:r>
              <w:rPr>
                <w:color w:val="auto"/>
                <w:sz w:val="24"/>
                <w:szCs w:val="24"/>
              </w:rPr>
              <w:t>沉淀池最小总容积应为</w:t>
            </w:r>
            <w:r>
              <w:rPr>
                <w:rFonts w:hint="eastAsia"/>
                <w:color w:val="auto"/>
                <w:sz w:val="24"/>
                <w:szCs w:val="24"/>
                <w:lang w:val="en-US" w:eastAsia="zh-CN"/>
              </w:rPr>
              <w:t>64.62</w:t>
            </w:r>
            <w:r>
              <w:rPr>
                <w:color w:val="auto"/>
                <w:sz w:val="24"/>
                <w:szCs w:val="24"/>
              </w:rPr>
              <w:t>m</w:t>
            </w:r>
            <w:r>
              <w:rPr>
                <w:color w:val="auto"/>
                <w:sz w:val="24"/>
                <w:szCs w:val="24"/>
                <w:vertAlign w:val="superscript"/>
              </w:rPr>
              <w:t>3</w:t>
            </w:r>
            <w:r>
              <w:rPr>
                <w:color w:val="auto"/>
                <w:sz w:val="24"/>
                <w:szCs w:val="24"/>
              </w:rPr>
              <w:t>，而本项目</w:t>
            </w:r>
            <w:r>
              <w:rPr>
                <w:rFonts w:hint="eastAsia"/>
                <w:color w:val="auto"/>
                <w:sz w:val="24"/>
                <w:szCs w:val="24"/>
                <w:lang w:eastAsia="zh-CN"/>
              </w:rPr>
              <w:t>三</w:t>
            </w:r>
            <w:r>
              <w:rPr>
                <w:rFonts w:hint="eastAsia"/>
                <w:color w:val="auto"/>
                <w:sz w:val="24"/>
                <w:szCs w:val="24"/>
              </w:rPr>
              <w:t>级</w:t>
            </w:r>
            <w:r>
              <w:rPr>
                <w:color w:val="auto"/>
                <w:sz w:val="24"/>
                <w:szCs w:val="24"/>
              </w:rPr>
              <w:t>沉淀池</w:t>
            </w:r>
            <w:r>
              <w:rPr>
                <w:rFonts w:hint="eastAsia"/>
                <w:color w:val="auto"/>
                <w:sz w:val="24"/>
                <w:szCs w:val="24"/>
              </w:rPr>
              <w:t>设计</w:t>
            </w:r>
            <w:r>
              <w:rPr>
                <w:color w:val="auto"/>
                <w:sz w:val="24"/>
                <w:szCs w:val="24"/>
              </w:rPr>
              <w:t>总容积为</w:t>
            </w:r>
            <w:r>
              <w:rPr>
                <w:rFonts w:hint="eastAsia"/>
                <w:color w:val="auto"/>
                <w:sz w:val="24"/>
                <w:szCs w:val="24"/>
                <w:lang w:val="en-US" w:eastAsia="zh-CN"/>
              </w:rPr>
              <w:t>405</w:t>
            </w:r>
            <w:r>
              <w:rPr>
                <w:color w:val="auto"/>
                <w:sz w:val="24"/>
                <w:szCs w:val="24"/>
              </w:rPr>
              <w:t>m</w:t>
            </w:r>
            <w:r>
              <w:rPr>
                <w:color w:val="auto"/>
                <w:sz w:val="24"/>
                <w:szCs w:val="24"/>
                <w:vertAlign w:val="superscript"/>
              </w:rPr>
              <w:t>3</w:t>
            </w:r>
            <w:r>
              <w:rPr>
                <w:color w:val="auto"/>
                <w:sz w:val="24"/>
                <w:szCs w:val="24"/>
              </w:rPr>
              <w:t>，</w:t>
            </w:r>
            <w:r>
              <w:rPr>
                <w:rFonts w:hint="eastAsia" w:cs="Times New Roman"/>
                <w:color w:val="auto"/>
                <w:sz w:val="24"/>
                <w:szCs w:val="24"/>
              </w:rPr>
              <w:t>容积大于处理周期要求，满足废水处理的实际需求。</w:t>
            </w:r>
          </w:p>
          <w:p w14:paraId="4584B558">
            <w:pPr>
              <w:keepNext w:val="0"/>
              <w:keepLines w:val="0"/>
              <w:pageBreakBefore w:val="0"/>
              <w:widowControl w:val="0"/>
              <w:kinsoku/>
              <w:wordWrap/>
              <w:overflowPunct/>
              <w:topLinePunct w:val="0"/>
              <w:autoSpaceDE/>
              <w:autoSpaceDN/>
              <w:bidi w:val="0"/>
              <w:adjustRightInd/>
              <w:snapToGrid/>
              <w:spacing w:line="384" w:lineRule="auto"/>
              <w:ind w:firstLine="482" w:firstLineChars="200"/>
              <w:textAlignment w:val="auto"/>
              <w:rPr>
                <w:rFonts w:cs="Times New Roman"/>
                <w:color w:val="auto"/>
                <w:sz w:val="24"/>
                <w:szCs w:val="24"/>
              </w:rPr>
            </w:pPr>
            <w:r>
              <w:rPr>
                <w:rFonts w:cs="Times New Roman"/>
                <w:b/>
                <w:bCs/>
                <w:color w:val="auto"/>
                <w:sz w:val="24"/>
                <w:szCs w:val="24"/>
              </w:rPr>
              <w:t xml:space="preserve">2）废水处理设施处理能力分析 </w:t>
            </w:r>
          </w:p>
          <w:p w14:paraId="4F18FA2B">
            <w:pPr>
              <w:keepNext w:val="0"/>
              <w:keepLines w:val="0"/>
              <w:pageBreakBefore w:val="0"/>
              <w:widowControl w:val="0"/>
              <w:kinsoku/>
              <w:wordWrap/>
              <w:overflowPunct/>
              <w:topLinePunct w:val="0"/>
              <w:autoSpaceDE/>
              <w:autoSpaceDN/>
              <w:bidi w:val="0"/>
              <w:adjustRightInd/>
              <w:snapToGrid/>
              <w:spacing w:line="384" w:lineRule="auto"/>
              <w:ind w:firstLine="480" w:firstLineChars="200"/>
              <w:textAlignment w:val="auto"/>
              <w:rPr>
                <w:rFonts w:cs="Times New Roman"/>
                <w:color w:val="auto"/>
                <w:sz w:val="24"/>
                <w:szCs w:val="24"/>
              </w:rPr>
            </w:pPr>
            <w:r>
              <w:rPr>
                <w:rFonts w:cs="Times New Roman"/>
                <w:color w:val="auto"/>
                <w:sz w:val="24"/>
                <w:szCs w:val="24"/>
              </w:rPr>
              <w:t>项目废水处理系统根据对应的产生量设计，废水处理设施总容积</w:t>
            </w:r>
            <w:r>
              <w:rPr>
                <w:rFonts w:hint="eastAsia" w:cs="Times New Roman"/>
                <w:color w:val="auto"/>
                <w:sz w:val="24"/>
                <w:szCs w:val="24"/>
              </w:rPr>
              <w:t>应大于2</w:t>
            </w:r>
            <w:r>
              <w:rPr>
                <w:rFonts w:cs="Times New Roman"/>
                <w:color w:val="auto"/>
                <w:sz w:val="24"/>
                <w:szCs w:val="24"/>
              </w:rPr>
              <w:t>天废水产生量。由于项目废水中的主要污染物为微粉、杂质等，比重较大，按照上述处理工艺后，能够使其迅速沉淀。类比其他同类项目，废水经沉淀后对</w:t>
            </w:r>
            <w:r>
              <w:rPr>
                <w:rFonts w:hint="eastAsia" w:cs="Times New Roman"/>
                <w:color w:val="auto"/>
                <w:sz w:val="24"/>
                <w:szCs w:val="24"/>
                <w:lang w:eastAsia="zh-CN"/>
              </w:rPr>
              <w:t>泥沙</w:t>
            </w:r>
            <w:r>
              <w:rPr>
                <w:rFonts w:cs="Times New Roman"/>
                <w:color w:val="auto"/>
                <w:sz w:val="24"/>
                <w:szCs w:val="24"/>
              </w:rPr>
              <w:t>的去除率可达到</w:t>
            </w:r>
            <w:r>
              <w:rPr>
                <w:rFonts w:hint="eastAsia" w:cs="Times New Roman"/>
                <w:color w:val="auto"/>
                <w:sz w:val="24"/>
                <w:szCs w:val="24"/>
              </w:rPr>
              <w:t>80</w:t>
            </w:r>
            <w:r>
              <w:rPr>
                <w:rFonts w:cs="Times New Roman"/>
                <w:color w:val="auto"/>
                <w:sz w:val="24"/>
                <w:szCs w:val="24"/>
              </w:rPr>
              <w:t>%</w:t>
            </w:r>
            <w:r>
              <w:rPr>
                <w:rFonts w:hint="eastAsia" w:cs="Times New Roman"/>
                <w:color w:val="auto"/>
                <w:sz w:val="24"/>
                <w:szCs w:val="24"/>
              </w:rPr>
              <w:t>以上</w:t>
            </w:r>
            <w:r>
              <w:rPr>
                <w:rFonts w:cs="Times New Roman"/>
                <w:color w:val="auto"/>
                <w:sz w:val="24"/>
                <w:szCs w:val="24"/>
              </w:rPr>
              <w:t>，则处理后的废水浓度约为100mg/L，该水质能够满足项目生产要求。为确保废水有足够</w:t>
            </w:r>
            <w:r>
              <w:rPr>
                <w:rFonts w:hint="eastAsia" w:cs="Times New Roman"/>
                <w:color w:val="auto"/>
                <w:sz w:val="24"/>
                <w:szCs w:val="24"/>
                <w:lang w:eastAsia="zh-CN"/>
              </w:rPr>
              <w:t>的</w:t>
            </w:r>
            <w:r>
              <w:rPr>
                <w:rFonts w:cs="Times New Roman"/>
                <w:color w:val="auto"/>
                <w:sz w:val="24"/>
                <w:szCs w:val="24"/>
              </w:rPr>
              <w:t>沉淀时间，保证达到处理效果，建设单位应该及时对各废水处理设施底部的</w:t>
            </w:r>
            <w:r>
              <w:rPr>
                <w:rFonts w:hint="eastAsia" w:cs="Times New Roman"/>
                <w:color w:val="auto"/>
                <w:sz w:val="24"/>
                <w:szCs w:val="24"/>
                <w:lang w:eastAsia="zh-CN"/>
              </w:rPr>
              <w:t>泥沙</w:t>
            </w:r>
            <w:r>
              <w:rPr>
                <w:rFonts w:cs="Times New Roman"/>
                <w:color w:val="auto"/>
                <w:sz w:val="24"/>
                <w:szCs w:val="24"/>
              </w:rPr>
              <w:t>进行清理，保证沉淀池有足够的容积。如果出现废水中</w:t>
            </w:r>
            <w:r>
              <w:rPr>
                <w:rFonts w:hint="eastAsia" w:cs="Times New Roman"/>
                <w:color w:val="auto"/>
                <w:sz w:val="24"/>
                <w:szCs w:val="24"/>
                <w:lang w:eastAsia="zh-CN"/>
              </w:rPr>
              <w:t>泥沙</w:t>
            </w:r>
            <w:r>
              <w:rPr>
                <w:rFonts w:cs="Times New Roman"/>
                <w:color w:val="auto"/>
                <w:sz w:val="24"/>
                <w:szCs w:val="24"/>
              </w:rPr>
              <w:t>含量增加，处理效果降低，不能满足生产需要时，建设单位应适当减少生产量，减少废水产生量；或者增加絮凝剂的投加量，增加废水停留时间，保证废水达到回用要求等措施；或者停止生产，及时清理沉淀</w:t>
            </w:r>
            <w:r>
              <w:rPr>
                <w:rFonts w:hint="eastAsia" w:cs="Times New Roman"/>
                <w:color w:val="auto"/>
                <w:sz w:val="24"/>
                <w:szCs w:val="24"/>
                <w:lang w:eastAsia="zh-CN"/>
              </w:rPr>
              <w:t>泥沙</w:t>
            </w:r>
            <w:r>
              <w:rPr>
                <w:rFonts w:cs="Times New Roman"/>
                <w:color w:val="auto"/>
                <w:sz w:val="24"/>
                <w:szCs w:val="24"/>
              </w:rPr>
              <w:t>，清理后才恢复生产，杜绝废水因处理效果不佳</w:t>
            </w:r>
            <w:r>
              <w:rPr>
                <w:rFonts w:hint="eastAsia" w:cs="Times New Roman"/>
                <w:color w:val="auto"/>
                <w:sz w:val="24"/>
                <w:szCs w:val="24"/>
              </w:rPr>
              <w:t>或</w:t>
            </w:r>
            <w:r>
              <w:rPr>
                <w:rFonts w:cs="Times New Roman"/>
                <w:color w:val="auto"/>
                <w:sz w:val="24"/>
                <w:szCs w:val="24"/>
              </w:rPr>
              <w:t xml:space="preserve">不能回用而直接外排。 </w:t>
            </w:r>
          </w:p>
          <w:p w14:paraId="7DD53C81">
            <w:pPr>
              <w:keepNext w:val="0"/>
              <w:keepLines w:val="0"/>
              <w:pageBreakBefore w:val="0"/>
              <w:widowControl w:val="0"/>
              <w:kinsoku/>
              <w:wordWrap/>
              <w:overflowPunct/>
              <w:topLinePunct w:val="0"/>
              <w:autoSpaceDE/>
              <w:autoSpaceDN/>
              <w:bidi w:val="0"/>
              <w:adjustRightInd/>
              <w:snapToGrid/>
              <w:spacing w:line="384" w:lineRule="auto"/>
              <w:ind w:firstLine="480" w:firstLineChars="200"/>
              <w:textAlignment w:val="auto"/>
              <w:rPr>
                <w:rFonts w:cs="Times New Roman"/>
                <w:color w:val="auto"/>
                <w:sz w:val="24"/>
                <w:szCs w:val="24"/>
              </w:rPr>
            </w:pPr>
            <w:r>
              <w:rPr>
                <w:rFonts w:cs="Times New Roman"/>
                <w:color w:val="auto"/>
                <w:sz w:val="24"/>
                <w:szCs w:val="24"/>
              </w:rPr>
              <w:t>本项目为</w:t>
            </w:r>
            <w:r>
              <w:rPr>
                <w:rFonts w:hint="eastAsia" w:cs="Times New Roman"/>
                <w:color w:val="auto"/>
                <w:sz w:val="24"/>
                <w:szCs w:val="24"/>
              </w:rPr>
              <w:t>石材</w:t>
            </w:r>
            <w:r>
              <w:rPr>
                <w:rFonts w:cs="Times New Roman"/>
                <w:color w:val="auto"/>
                <w:sz w:val="24"/>
                <w:szCs w:val="24"/>
              </w:rPr>
              <w:t xml:space="preserve">加工项目，生产废水通过沉淀池全部收集处理后回用，各级沉淀池均采取了防渗漏措施，不会存在废水泄漏的事故排放。同时，项目的生产废水是随生产进行而产生的。只要废水沉淀池内的回用水及时回用生产，给后续产生的废水留有足够的容积，就不会造成废水事故排放的情况发生。 </w:t>
            </w:r>
          </w:p>
          <w:p w14:paraId="09FE6A6D">
            <w:pPr>
              <w:keepNext w:val="0"/>
              <w:keepLines w:val="0"/>
              <w:pageBreakBefore w:val="0"/>
              <w:widowControl w:val="0"/>
              <w:kinsoku/>
              <w:wordWrap/>
              <w:overflowPunct/>
              <w:topLinePunct w:val="0"/>
              <w:autoSpaceDE/>
              <w:autoSpaceDN/>
              <w:bidi w:val="0"/>
              <w:adjustRightInd/>
              <w:snapToGrid/>
              <w:spacing w:line="384" w:lineRule="auto"/>
              <w:ind w:firstLine="482" w:firstLineChars="200"/>
              <w:textAlignment w:val="auto"/>
              <w:rPr>
                <w:rFonts w:cs="Times New Roman"/>
                <w:b/>
                <w:bCs/>
                <w:color w:val="auto"/>
                <w:sz w:val="24"/>
                <w:szCs w:val="24"/>
              </w:rPr>
            </w:pPr>
            <w:r>
              <w:rPr>
                <w:rFonts w:cs="Times New Roman"/>
                <w:b/>
                <w:bCs/>
                <w:color w:val="auto"/>
                <w:sz w:val="24"/>
                <w:szCs w:val="24"/>
              </w:rPr>
              <w:t xml:space="preserve">3）废水闭路循环可行性分析 </w:t>
            </w:r>
          </w:p>
          <w:p w14:paraId="56782279">
            <w:pPr>
              <w:keepNext w:val="0"/>
              <w:keepLines w:val="0"/>
              <w:pageBreakBefore w:val="0"/>
              <w:widowControl w:val="0"/>
              <w:kinsoku/>
              <w:wordWrap/>
              <w:overflowPunct/>
              <w:topLinePunct w:val="0"/>
              <w:autoSpaceDE/>
              <w:autoSpaceDN/>
              <w:bidi w:val="0"/>
              <w:adjustRightInd/>
              <w:snapToGrid/>
              <w:spacing w:line="384" w:lineRule="auto"/>
              <w:ind w:firstLine="480" w:firstLineChars="200"/>
              <w:textAlignment w:val="auto"/>
              <w:rPr>
                <w:rFonts w:cs="Times New Roman"/>
                <w:color w:val="auto"/>
                <w:sz w:val="24"/>
                <w:szCs w:val="24"/>
              </w:rPr>
            </w:pPr>
            <w:r>
              <w:rPr>
                <w:rFonts w:cs="Times New Roman"/>
                <w:color w:val="auto"/>
                <w:sz w:val="24"/>
                <w:szCs w:val="24"/>
              </w:rPr>
              <w:t>项目营运生产时，每天先抽用</w:t>
            </w:r>
            <w:r>
              <w:rPr>
                <w:rFonts w:hint="eastAsia" w:cs="Times New Roman"/>
                <w:color w:val="auto"/>
                <w:sz w:val="24"/>
                <w:szCs w:val="24"/>
              </w:rPr>
              <w:t>清</w:t>
            </w:r>
            <w:r>
              <w:rPr>
                <w:rFonts w:cs="Times New Roman"/>
                <w:color w:val="auto"/>
                <w:sz w:val="24"/>
                <w:szCs w:val="24"/>
              </w:rPr>
              <w:t>水池的水，保证</w:t>
            </w:r>
            <w:r>
              <w:rPr>
                <w:rFonts w:hint="eastAsia" w:cs="Times New Roman"/>
                <w:color w:val="auto"/>
                <w:sz w:val="24"/>
                <w:szCs w:val="24"/>
              </w:rPr>
              <w:t>清</w:t>
            </w:r>
            <w:r>
              <w:rPr>
                <w:rFonts w:cs="Times New Roman"/>
                <w:color w:val="auto"/>
                <w:sz w:val="24"/>
                <w:szCs w:val="24"/>
              </w:rPr>
              <w:t>水池有足够的容量容纳每天处理后的废水，以确保项目废水回用不外排。为保证沉淀池有</w:t>
            </w:r>
            <w:r>
              <w:rPr>
                <w:rFonts w:hint="eastAsia" w:cs="Times New Roman"/>
                <w:color w:val="auto"/>
                <w:sz w:val="24"/>
                <w:szCs w:val="24"/>
                <w:lang w:eastAsia="zh-CN"/>
              </w:rPr>
              <w:t>足够</w:t>
            </w:r>
            <w:r>
              <w:rPr>
                <w:rFonts w:cs="Times New Roman"/>
                <w:color w:val="auto"/>
                <w:sz w:val="24"/>
                <w:szCs w:val="24"/>
              </w:rPr>
              <w:t>的容积，应根据生产情况和沉淀池</w:t>
            </w:r>
            <w:r>
              <w:rPr>
                <w:rFonts w:hint="eastAsia" w:cs="Times New Roman"/>
                <w:color w:val="auto"/>
                <w:sz w:val="24"/>
                <w:szCs w:val="24"/>
                <w:lang w:eastAsia="zh-CN"/>
              </w:rPr>
              <w:t>泥沙</w:t>
            </w:r>
            <w:r>
              <w:rPr>
                <w:rFonts w:cs="Times New Roman"/>
                <w:color w:val="auto"/>
                <w:sz w:val="24"/>
                <w:szCs w:val="24"/>
              </w:rPr>
              <w:t>产生情况，及时对沉淀池</w:t>
            </w:r>
            <w:r>
              <w:rPr>
                <w:rFonts w:hint="eastAsia" w:cs="Times New Roman"/>
                <w:color w:val="auto"/>
                <w:sz w:val="24"/>
                <w:szCs w:val="24"/>
                <w:lang w:eastAsia="zh-CN"/>
              </w:rPr>
              <w:t>泥沙</w:t>
            </w:r>
            <w:r>
              <w:rPr>
                <w:rFonts w:cs="Times New Roman"/>
                <w:color w:val="auto"/>
                <w:sz w:val="24"/>
                <w:szCs w:val="24"/>
              </w:rPr>
              <w:t>进行清理，压滤</w:t>
            </w:r>
            <w:r>
              <w:rPr>
                <w:rFonts w:hint="eastAsia" w:cs="Times New Roman"/>
                <w:color w:val="auto"/>
                <w:sz w:val="24"/>
                <w:szCs w:val="24"/>
              </w:rPr>
              <w:t>泥饼</w:t>
            </w:r>
            <w:r>
              <w:rPr>
                <w:rFonts w:cs="Times New Roman"/>
                <w:color w:val="auto"/>
                <w:sz w:val="24"/>
                <w:szCs w:val="24"/>
              </w:rPr>
              <w:t xml:space="preserve">及时外运综合利用，不得随意堆放避免造成二次污染。 </w:t>
            </w:r>
          </w:p>
          <w:p w14:paraId="6C3B081F">
            <w:pPr>
              <w:keepNext w:val="0"/>
              <w:keepLines w:val="0"/>
              <w:pageBreakBefore w:val="0"/>
              <w:widowControl w:val="0"/>
              <w:kinsoku/>
              <w:wordWrap/>
              <w:overflowPunct/>
              <w:topLinePunct w:val="0"/>
              <w:autoSpaceDE/>
              <w:autoSpaceDN/>
              <w:bidi w:val="0"/>
              <w:adjustRightInd/>
              <w:snapToGrid/>
              <w:spacing w:line="384" w:lineRule="auto"/>
              <w:ind w:firstLine="480" w:firstLineChars="200"/>
              <w:textAlignment w:val="auto"/>
              <w:rPr>
                <w:color w:val="auto"/>
                <w:sz w:val="24"/>
                <w:szCs w:val="24"/>
              </w:rPr>
            </w:pPr>
            <w:r>
              <w:rPr>
                <w:rFonts w:hint="eastAsia" w:cs="Times New Roman"/>
                <w:color w:val="auto"/>
                <w:sz w:val="24"/>
                <w:szCs w:val="24"/>
              </w:rPr>
              <w:t>综上所述，</w:t>
            </w:r>
            <w:r>
              <w:rPr>
                <w:rFonts w:cs="Times New Roman"/>
                <w:color w:val="auto"/>
                <w:sz w:val="24"/>
                <w:szCs w:val="24"/>
              </w:rPr>
              <w:t>运营期生产废水能够实现零排放。</w:t>
            </w:r>
          </w:p>
          <w:p w14:paraId="25E6971B">
            <w:pPr>
              <w:keepNext w:val="0"/>
              <w:keepLines w:val="0"/>
              <w:pageBreakBefore w:val="0"/>
              <w:widowControl w:val="0"/>
              <w:kinsoku/>
              <w:wordWrap/>
              <w:overflowPunct/>
              <w:topLinePunct w:val="0"/>
              <w:autoSpaceDE/>
              <w:autoSpaceDN/>
              <w:bidi w:val="0"/>
              <w:adjustRightInd/>
              <w:snapToGrid/>
              <w:spacing w:line="384" w:lineRule="auto"/>
              <w:ind w:firstLine="482" w:firstLineChars="200"/>
              <w:textAlignment w:val="auto"/>
              <w:rPr>
                <w:rFonts w:cs="Times New Roman"/>
                <w:b/>
                <w:color w:val="auto"/>
                <w:sz w:val="24"/>
                <w:szCs w:val="24"/>
              </w:rPr>
            </w:pPr>
            <w:r>
              <w:rPr>
                <w:rFonts w:cs="Times New Roman"/>
                <w:b/>
                <w:color w:val="auto"/>
                <w:sz w:val="24"/>
                <w:szCs w:val="24"/>
              </w:rPr>
              <w:t>②化粪池的环境可行性</w:t>
            </w:r>
          </w:p>
          <w:p w14:paraId="4E1AD993">
            <w:pPr>
              <w:keepNext w:val="0"/>
              <w:keepLines w:val="0"/>
              <w:pageBreakBefore w:val="0"/>
              <w:widowControl w:val="0"/>
              <w:kinsoku/>
              <w:wordWrap/>
              <w:overflowPunct/>
              <w:topLinePunct w:val="0"/>
              <w:autoSpaceDE/>
              <w:autoSpaceDN/>
              <w:bidi w:val="0"/>
              <w:adjustRightInd/>
              <w:snapToGrid/>
              <w:spacing w:line="384" w:lineRule="auto"/>
              <w:ind w:firstLine="480" w:firstLineChars="200"/>
              <w:textAlignment w:val="auto"/>
              <w:rPr>
                <w:rFonts w:cs="Times New Roman"/>
                <w:bCs/>
                <w:color w:val="auto"/>
                <w:sz w:val="24"/>
                <w:szCs w:val="24"/>
              </w:rPr>
            </w:pPr>
            <w:r>
              <w:rPr>
                <w:rFonts w:cs="Times New Roman"/>
                <w:bCs/>
                <w:color w:val="auto"/>
                <w:sz w:val="24"/>
                <w:szCs w:val="24"/>
              </w:rPr>
              <w:t>项目</w:t>
            </w:r>
            <w:r>
              <w:rPr>
                <w:rFonts w:cs="Times New Roman"/>
                <w:color w:val="auto"/>
                <w:sz w:val="24"/>
                <w:szCs w:val="24"/>
              </w:rPr>
              <w:t>租用厂房（天宇车业）</w:t>
            </w:r>
            <w:r>
              <w:rPr>
                <w:rFonts w:hint="eastAsia" w:cs="Times New Roman"/>
                <w:color w:val="auto"/>
                <w:sz w:val="24"/>
                <w:szCs w:val="24"/>
                <w:lang w:val="en-US" w:eastAsia="zh-CN"/>
              </w:rPr>
              <w:t>1号</w:t>
            </w:r>
            <w:r>
              <w:rPr>
                <w:rFonts w:hint="eastAsia" w:cs="Times New Roman"/>
                <w:color w:val="auto"/>
                <w:sz w:val="24"/>
                <w:szCs w:val="24"/>
                <w:highlight w:val="none"/>
                <w:lang w:val="en-US" w:eastAsia="zh-CN"/>
              </w:rPr>
              <w:t>车间内</w:t>
            </w:r>
            <w:r>
              <w:rPr>
                <w:rFonts w:cs="Times New Roman"/>
                <w:color w:val="auto"/>
                <w:sz w:val="24"/>
                <w:szCs w:val="24"/>
                <w:highlight w:val="none"/>
              </w:rPr>
              <w:t>已建的化粪池</w:t>
            </w:r>
            <w:r>
              <w:rPr>
                <w:rFonts w:hint="eastAsia" w:cs="Times New Roman"/>
                <w:color w:val="auto"/>
                <w:sz w:val="24"/>
                <w:szCs w:val="24"/>
                <w:highlight w:val="none"/>
                <w:lang w:eastAsia="zh-CN"/>
              </w:rPr>
              <w:t>，容积约</w:t>
            </w:r>
            <w:r>
              <w:rPr>
                <w:rFonts w:hint="eastAsia" w:cs="Times New Roman"/>
                <w:bCs/>
                <w:color w:val="auto"/>
                <w:sz w:val="24"/>
                <w:szCs w:val="24"/>
                <w:highlight w:val="none"/>
                <w:lang w:val="en-US" w:eastAsia="zh-CN"/>
              </w:rPr>
              <w:t>10</w:t>
            </w:r>
            <w:r>
              <w:rPr>
                <w:rFonts w:cs="Times New Roman"/>
                <w:bCs/>
                <w:color w:val="auto"/>
                <w:sz w:val="24"/>
                <w:szCs w:val="24"/>
                <w:highlight w:val="none"/>
              </w:rPr>
              <w:t>m</w:t>
            </w:r>
            <w:r>
              <w:rPr>
                <w:rFonts w:cs="Times New Roman"/>
                <w:bCs/>
                <w:color w:val="auto"/>
                <w:sz w:val="24"/>
                <w:szCs w:val="24"/>
                <w:highlight w:val="none"/>
                <w:vertAlign w:val="superscript"/>
              </w:rPr>
              <w:t>3</w:t>
            </w:r>
            <w:r>
              <w:rPr>
                <w:rFonts w:cs="Times New Roman"/>
                <w:bCs/>
                <w:color w:val="auto"/>
                <w:sz w:val="24"/>
                <w:szCs w:val="24"/>
                <w:highlight w:val="none"/>
              </w:rPr>
              <w:t>，用于处理厂区生活污水及隔油后的食堂废水。废水在化粪池中停留时间按12h计，则化粪池最大接纳污水量为8m</w:t>
            </w:r>
            <w:r>
              <w:rPr>
                <w:rFonts w:cs="Times New Roman"/>
                <w:bCs/>
                <w:color w:val="auto"/>
                <w:sz w:val="24"/>
                <w:szCs w:val="24"/>
                <w:highlight w:val="none"/>
                <w:vertAlign w:val="superscript"/>
              </w:rPr>
              <w:t>3</w:t>
            </w:r>
            <w:r>
              <w:rPr>
                <w:rFonts w:cs="Times New Roman"/>
                <w:bCs/>
                <w:color w:val="auto"/>
                <w:sz w:val="24"/>
                <w:szCs w:val="24"/>
                <w:highlight w:val="none"/>
              </w:rPr>
              <w:t>/d。根据工程分析，厂区生活污水（含食堂废水）产生量为</w:t>
            </w:r>
            <w:r>
              <w:rPr>
                <w:rFonts w:hint="eastAsia" w:cs="Times New Roman"/>
                <w:color w:val="auto"/>
                <w:sz w:val="24"/>
                <w:szCs w:val="24"/>
                <w:highlight w:val="none"/>
                <w:lang w:val="en-US" w:eastAsia="zh-CN"/>
              </w:rPr>
              <w:t>1.56</w:t>
            </w:r>
            <w:r>
              <w:rPr>
                <w:rFonts w:cs="Times New Roman"/>
                <w:bCs/>
                <w:color w:val="auto"/>
                <w:sz w:val="24"/>
                <w:szCs w:val="24"/>
                <w:highlight w:val="none"/>
              </w:rPr>
              <w:t>m</w:t>
            </w:r>
            <w:r>
              <w:rPr>
                <w:rFonts w:cs="Times New Roman"/>
                <w:bCs/>
                <w:color w:val="auto"/>
                <w:sz w:val="24"/>
                <w:szCs w:val="24"/>
                <w:highlight w:val="none"/>
                <w:vertAlign w:val="superscript"/>
              </w:rPr>
              <w:t>3</w:t>
            </w:r>
            <w:r>
              <w:rPr>
                <w:rFonts w:cs="Times New Roman"/>
                <w:bCs/>
                <w:color w:val="auto"/>
                <w:sz w:val="24"/>
                <w:szCs w:val="24"/>
                <w:highlight w:val="none"/>
              </w:rPr>
              <w:t>/d，低于该化粪池最大处理能力。废水经化粪池</w:t>
            </w:r>
            <w:r>
              <w:rPr>
                <w:rFonts w:cs="Times New Roman"/>
                <w:bCs/>
                <w:color w:val="auto"/>
                <w:sz w:val="24"/>
                <w:szCs w:val="24"/>
              </w:rPr>
              <w:t>处理后，</w:t>
            </w:r>
            <w:r>
              <w:rPr>
                <w:rFonts w:hint="default" w:cs="Times New Roman"/>
                <w:color w:val="auto"/>
                <w:sz w:val="24"/>
                <w:szCs w:val="24"/>
                <w:lang w:val="en-US" w:eastAsia="zh-CN"/>
              </w:rPr>
              <w:t>定期经罐车拉运至东岳镇生活污水处理厂处理达《城镇污水处理厂污染物排放标准》（GB18918-2002）一级 A 标准后通过污水管网排入双龙河，待东岳镇污水处理厂及配套管网建成后，通过市政污水管网排入东岳镇工业园区污水处理厂处理</w:t>
            </w:r>
            <w:r>
              <w:rPr>
                <w:rFonts w:cs="Times New Roman"/>
                <w:bCs/>
                <w:color w:val="auto"/>
                <w:sz w:val="24"/>
                <w:szCs w:val="24"/>
              </w:rPr>
              <w:t>。</w:t>
            </w:r>
          </w:p>
          <w:p w14:paraId="4DADFD91">
            <w:pPr>
              <w:keepNext w:val="0"/>
              <w:keepLines w:val="0"/>
              <w:pageBreakBefore w:val="0"/>
              <w:widowControl w:val="0"/>
              <w:kinsoku/>
              <w:wordWrap/>
              <w:overflowPunct/>
              <w:topLinePunct w:val="0"/>
              <w:autoSpaceDE/>
              <w:autoSpaceDN/>
              <w:bidi w:val="0"/>
              <w:adjustRightInd/>
              <w:snapToGrid/>
              <w:spacing w:line="384" w:lineRule="auto"/>
              <w:ind w:firstLine="482" w:firstLineChars="200"/>
              <w:textAlignment w:val="auto"/>
              <w:rPr>
                <w:rFonts w:cs="Times New Roman"/>
                <w:b/>
                <w:bCs/>
                <w:color w:val="auto"/>
                <w:sz w:val="24"/>
                <w:szCs w:val="24"/>
              </w:rPr>
            </w:pPr>
            <w:r>
              <w:rPr>
                <w:rFonts w:cs="Times New Roman"/>
                <w:b/>
                <w:bCs/>
                <w:color w:val="auto"/>
                <w:sz w:val="24"/>
                <w:szCs w:val="24"/>
              </w:rPr>
              <w:t>综上，本项目生产废水</w:t>
            </w:r>
            <w:r>
              <w:rPr>
                <w:rFonts w:hint="eastAsia" w:cs="Times New Roman"/>
                <w:b/>
                <w:bCs/>
                <w:color w:val="auto"/>
                <w:sz w:val="24"/>
                <w:szCs w:val="24"/>
                <w:lang w:eastAsia="zh-CN"/>
              </w:rPr>
              <w:t>循环使用</w:t>
            </w:r>
            <w:r>
              <w:rPr>
                <w:rFonts w:cs="Times New Roman"/>
                <w:b/>
                <w:bCs/>
                <w:color w:val="auto"/>
                <w:sz w:val="24"/>
                <w:szCs w:val="24"/>
              </w:rPr>
              <w:t>不外排</w:t>
            </w:r>
            <w:r>
              <w:rPr>
                <w:rFonts w:hint="eastAsia" w:cs="Times New Roman"/>
                <w:b/>
                <w:bCs/>
                <w:color w:val="auto"/>
                <w:sz w:val="24"/>
                <w:szCs w:val="24"/>
                <w:lang w:eastAsia="zh-CN"/>
              </w:rPr>
              <w:t>，生活污水进入场镇污水处理厂</w:t>
            </w:r>
            <w:r>
              <w:rPr>
                <w:rFonts w:cs="Times New Roman"/>
                <w:b/>
                <w:bCs/>
                <w:color w:val="auto"/>
                <w:sz w:val="24"/>
                <w:szCs w:val="24"/>
              </w:rPr>
              <w:t>。因此，项目运营期不会对周边地表水环境产生污染。</w:t>
            </w:r>
          </w:p>
          <w:p w14:paraId="39F23F58">
            <w:pPr>
              <w:keepNext w:val="0"/>
              <w:keepLines w:val="0"/>
              <w:pageBreakBefore w:val="0"/>
              <w:widowControl w:val="0"/>
              <w:kinsoku/>
              <w:wordWrap/>
              <w:overflowPunct/>
              <w:topLinePunct w:val="0"/>
              <w:autoSpaceDE/>
              <w:autoSpaceDN/>
              <w:bidi w:val="0"/>
              <w:adjustRightInd/>
              <w:snapToGrid/>
              <w:spacing w:line="384" w:lineRule="auto"/>
              <w:ind w:firstLine="482" w:firstLineChars="200"/>
              <w:textAlignment w:val="auto"/>
              <w:rPr>
                <w:rFonts w:cs="Times New Roman"/>
                <w:b/>
                <w:color w:val="auto"/>
                <w:sz w:val="24"/>
                <w:szCs w:val="24"/>
              </w:rPr>
            </w:pPr>
            <w:r>
              <w:rPr>
                <w:rFonts w:cs="Times New Roman"/>
                <w:b/>
                <w:color w:val="auto"/>
                <w:sz w:val="24"/>
                <w:szCs w:val="24"/>
              </w:rPr>
              <w:t>3、噪声</w:t>
            </w:r>
          </w:p>
          <w:p w14:paraId="62E7DA37">
            <w:pPr>
              <w:keepNext w:val="0"/>
              <w:keepLines w:val="0"/>
              <w:pageBreakBefore w:val="0"/>
              <w:widowControl w:val="0"/>
              <w:kinsoku/>
              <w:wordWrap/>
              <w:overflowPunct/>
              <w:topLinePunct w:val="0"/>
              <w:autoSpaceDE/>
              <w:autoSpaceDN/>
              <w:bidi w:val="0"/>
              <w:adjustRightInd/>
              <w:snapToGrid/>
              <w:spacing w:line="384" w:lineRule="auto"/>
              <w:ind w:firstLine="482" w:firstLineChars="200"/>
              <w:textAlignment w:val="auto"/>
              <w:rPr>
                <w:rFonts w:cs="Times New Roman"/>
                <w:b/>
                <w:color w:val="auto"/>
                <w:sz w:val="24"/>
                <w:szCs w:val="24"/>
              </w:rPr>
            </w:pPr>
            <w:r>
              <w:rPr>
                <w:rFonts w:cs="Times New Roman"/>
                <w:b/>
                <w:color w:val="auto"/>
                <w:sz w:val="24"/>
                <w:szCs w:val="24"/>
              </w:rPr>
              <w:t>（1）噪声源强及治理措施</w:t>
            </w:r>
          </w:p>
          <w:p w14:paraId="05E80818">
            <w:pPr>
              <w:keepNext w:val="0"/>
              <w:keepLines w:val="0"/>
              <w:pageBreakBefore w:val="0"/>
              <w:widowControl w:val="0"/>
              <w:kinsoku/>
              <w:wordWrap/>
              <w:overflowPunct/>
              <w:topLinePunct w:val="0"/>
              <w:autoSpaceDE/>
              <w:autoSpaceDN/>
              <w:bidi w:val="0"/>
              <w:adjustRightInd/>
              <w:snapToGrid/>
              <w:spacing w:line="384" w:lineRule="auto"/>
              <w:ind w:firstLine="482" w:firstLineChars="200"/>
              <w:textAlignment w:val="auto"/>
              <w:rPr>
                <w:rFonts w:cs="Times New Roman"/>
                <w:b/>
                <w:color w:val="auto"/>
                <w:sz w:val="24"/>
                <w:szCs w:val="24"/>
              </w:rPr>
            </w:pPr>
            <w:r>
              <w:rPr>
                <w:rFonts w:cs="Times New Roman"/>
                <w:b/>
                <w:color w:val="auto"/>
                <w:sz w:val="24"/>
                <w:szCs w:val="24"/>
              </w:rPr>
              <w:t>1）车辆运输噪声</w:t>
            </w:r>
          </w:p>
          <w:p w14:paraId="66907A09">
            <w:pPr>
              <w:keepNext w:val="0"/>
              <w:keepLines w:val="0"/>
              <w:pageBreakBefore w:val="0"/>
              <w:widowControl w:val="0"/>
              <w:kinsoku/>
              <w:wordWrap/>
              <w:overflowPunct/>
              <w:topLinePunct w:val="0"/>
              <w:autoSpaceDE/>
              <w:autoSpaceDN/>
              <w:bidi w:val="0"/>
              <w:adjustRightInd/>
              <w:snapToGrid/>
              <w:spacing w:line="384" w:lineRule="auto"/>
              <w:ind w:firstLine="480" w:firstLineChars="200"/>
              <w:textAlignment w:val="auto"/>
              <w:rPr>
                <w:rFonts w:cs="Times New Roman"/>
                <w:color w:val="auto"/>
                <w:sz w:val="24"/>
                <w:szCs w:val="24"/>
              </w:rPr>
            </w:pPr>
            <w:r>
              <w:rPr>
                <w:rFonts w:cs="Times New Roman"/>
                <w:color w:val="auto"/>
                <w:sz w:val="24"/>
                <w:szCs w:val="24"/>
              </w:rPr>
              <w:t>运期车辆噪声主要来自运输车辆，机动车噪声值一般在80~85dB（A），为减轻对运输沿线的影响，环评要求：运输车辆进入厂区应严格限速、禁止鸣笛，减少怠速时间；运输车辆必须严格按照规定的路线行驶，严禁超载、超速行驶。</w:t>
            </w:r>
          </w:p>
          <w:p w14:paraId="41F7BD0D">
            <w:pPr>
              <w:keepNext w:val="0"/>
              <w:keepLines w:val="0"/>
              <w:pageBreakBefore w:val="0"/>
              <w:widowControl w:val="0"/>
              <w:kinsoku/>
              <w:wordWrap/>
              <w:overflowPunct/>
              <w:topLinePunct w:val="0"/>
              <w:autoSpaceDE/>
              <w:autoSpaceDN/>
              <w:bidi w:val="0"/>
              <w:adjustRightInd/>
              <w:snapToGrid/>
              <w:spacing w:line="384" w:lineRule="auto"/>
              <w:ind w:firstLine="482" w:firstLineChars="200"/>
              <w:textAlignment w:val="auto"/>
              <w:rPr>
                <w:rFonts w:cs="Times New Roman"/>
                <w:b/>
                <w:color w:val="auto"/>
                <w:sz w:val="24"/>
                <w:szCs w:val="24"/>
              </w:rPr>
            </w:pPr>
            <w:r>
              <w:rPr>
                <w:rFonts w:cs="Times New Roman"/>
                <w:b/>
                <w:color w:val="auto"/>
                <w:sz w:val="24"/>
                <w:szCs w:val="24"/>
              </w:rPr>
              <w:t>2）设备噪声</w:t>
            </w:r>
          </w:p>
          <w:p w14:paraId="7AA3ACE1">
            <w:pPr>
              <w:keepNext w:val="0"/>
              <w:keepLines w:val="0"/>
              <w:pageBreakBefore w:val="0"/>
              <w:widowControl w:val="0"/>
              <w:kinsoku/>
              <w:wordWrap/>
              <w:overflowPunct/>
              <w:topLinePunct w:val="0"/>
              <w:autoSpaceDE/>
              <w:autoSpaceDN/>
              <w:bidi w:val="0"/>
              <w:adjustRightInd/>
              <w:snapToGrid/>
              <w:spacing w:line="384" w:lineRule="auto"/>
              <w:ind w:firstLine="480" w:firstLineChars="200"/>
              <w:textAlignment w:val="auto"/>
              <w:rPr>
                <w:rFonts w:cs="Times New Roman"/>
                <w:color w:val="auto"/>
                <w:sz w:val="24"/>
                <w:szCs w:val="24"/>
              </w:rPr>
            </w:pPr>
            <w:r>
              <w:rPr>
                <w:rFonts w:cs="Times New Roman"/>
                <w:color w:val="auto"/>
                <w:sz w:val="24"/>
                <w:szCs w:val="24"/>
              </w:rPr>
              <w:t>本项目主要噪声源来自</w:t>
            </w:r>
            <w:r>
              <w:rPr>
                <w:rFonts w:hint="eastAsia" w:cs="Times New Roman"/>
                <w:color w:val="auto"/>
                <w:sz w:val="24"/>
                <w:szCs w:val="24"/>
                <w:lang w:eastAsia="zh-CN"/>
              </w:rPr>
              <w:t>各类石材切割机、</w:t>
            </w:r>
            <w:r>
              <w:rPr>
                <w:rFonts w:cs="Times New Roman"/>
                <w:color w:val="auto"/>
                <w:sz w:val="24"/>
                <w:szCs w:val="24"/>
              </w:rPr>
              <w:t>雕刻机、喷砂机、火烧面机、抛光机、水泵等生产设备运行时产生的噪声，各设备噪声源强值在7</w:t>
            </w:r>
            <w:r>
              <w:rPr>
                <w:rFonts w:hint="eastAsia" w:cs="Times New Roman"/>
                <w:color w:val="auto"/>
                <w:sz w:val="24"/>
                <w:szCs w:val="24"/>
                <w:lang w:val="en-US" w:eastAsia="zh-CN"/>
              </w:rPr>
              <w:t>0</w:t>
            </w:r>
            <w:r>
              <w:rPr>
                <w:rFonts w:cs="Times New Roman"/>
                <w:color w:val="auto"/>
                <w:sz w:val="24"/>
                <w:szCs w:val="24"/>
              </w:rPr>
              <w:t>~95B（A）间。根据声源类型及源强，结合项目实际情况，本项目拟采取的噪声治理措施如下：</w:t>
            </w:r>
          </w:p>
          <w:p w14:paraId="53E045B6">
            <w:pPr>
              <w:keepNext w:val="0"/>
              <w:keepLines w:val="0"/>
              <w:pageBreakBefore w:val="0"/>
              <w:widowControl w:val="0"/>
              <w:kinsoku/>
              <w:wordWrap/>
              <w:overflowPunct/>
              <w:topLinePunct w:val="0"/>
              <w:autoSpaceDE/>
              <w:autoSpaceDN/>
              <w:bidi w:val="0"/>
              <w:adjustRightInd/>
              <w:snapToGrid/>
              <w:spacing w:line="384" w:lineRule="auto"/>
              <w:ind w:firstLine="480" w:firstLineChars="200"/>
              <w:textAlignment w:val="auto"/>
              <w:rPr>
                <w:rFonts w:cs="Times New Roman"/>
                <w:color w:val="auto"/>
                <w:sz w:val="24"/>
                <w:szCs w:val="24"/>
              </w:rPr>
            </w:pPr>
            <w:r>
              <w:rPr>
                <w:rFonts w:cs="Times New Roman"/>
                <w:color w:val="auto"/>
                <w:sz w:val="24"/>
                <w:szCs w:val="24"/>
              </w:rPr>
              <w:t>①选用符合国家标准的低噪声设备，定期进行设备检修，保证设备的正常运行。</w:t>
            </w:r>
          </w:p>
          <w:p w14:paraId="2BA018BD">
            <w:pPr>
              <w:keepNext w:val="0"/>
              <w:keepLines w:val="0"/>
              <w:pageBreakBefore w:val="0"/>
              <w:widowControl w:val="0"/>
              <w:kinsoku/>
              <w:wordWrap/>
              <w:overflowPunct/>
              <w:topLinePunct w:val="0"/>
              <w:autoSpaceDE/>
              <w:autoSpaceDN/>
              <w:bidi w:val="0"/>
              <w:adjustRightInd/>
              <w:snapToGrid/>
              <w:spacing w:line="384" w:lineRule="auto"/>
              <w:ind w:firstLine="480" w:firstLineChars="200"/>
              <w:textAlignment w:val="auto"/>
              <w:rPr>
                <w:rFonts w:cs="Times New Roman"/>
                <w:color w:val="auto"/>
                <w:sz w:val="24"/>
                <w:szCs w:val="24"/>
              </w:rPr>
            </w:pPr>
            <w:r>
              <w:rPr>
                <w:rFonts w:cs="Times New Roman"/>
                <w:color w:val="auto"/>
                <w:sz w:val="24"/>
                <w:szCs w:val="24"/>
              </w:rPr>
              <w:t>②合理布局车间平面，各生产设备均布置在加工车间内，利用厂房进行隔声；合理布置厂区平面，有效利用距离衰减，实现厂界噪声达标排放。</w:t>
            </w:r>
          </w:p>
          <w:p w14:paraId="685A4ED9">
            <w:pPr>
              <w:keepNext w:val="0"/>
              <w:keepLines w:val="0"/>
              <w:pageBreakBefore w:val="0"/>
              <w:widowControl w:val="0"/>
              <w:kinsoku/>
              <w:wordWrap/>
              <w:overflowPunct/>
              <w:topLinePunct w:val="0"/>
              <w:autoSpaceDE/>
              <w:autoSpaceDN/>
              <w:bidi w:val="0"/>
              <w:adjustRightInd/>
              <w:snapToGrid/>
              <w:spacing w:line="384" w:lineRule="auto"/>
              <w:ind w:firstLine="480" w:firstLineChars="200"/>
              <w:textAlignment w:val="auto"/>
              <w:rPr>
                <w:rFonts w:cs="Times New Roman"/>
                <w:color w:val="auto"/>
                <w:sz w:val="24"/>
                <w:szCs w:val="24"/>
              </w:rPr>
            </w:pPr>
            <w:r>
              <w:rPr>
                <w:rFonts w:cs="Times New Roman"/>
                <w:color w:val="auto"/>
                <w:sz w:val="24"/>
                <w:szCs w:val="24"/>
              </w:rPr>
              <w:t>③产噪设备底部采取基础减振，减少噪声源强值。</w:t>
            </w:r>
          </w:p>
          <w:p w14:paraId="0827F7CD">
            <w:pPr>
              <w:keepNext w:val="0"/>
              <w:keepLines w:val="0"/>
              <w:pageBreakBefore w:val="0"/>
              <w:widowControl w:val="0"/>
              <w:kinsoku/>
              <w:wordWrap/>
              <w:overflowPunct/>
              <w:topLinePunct w:val="0"/>
              <w:autoSpaceDE/>
              <w:autoSpaceDN/>
              <w:bidi w:val="0"/>
              <w:adjustRightInd/>
              <w:snapToGrid/>
              <w:spacing w:line="384" w:lineRule="auto"/>
              <w:ind w:firstLine="480" w:firstLineChars="200"/>
              <w:textAlignment w:val="auto"/>
              <w:rPr>
                <w:rFonts w:cs="Times New Roman"/>
                <w:color w:val="auto"/>
                <w:sz w:val="24"/>
                <w:szCs w:val="24"/>
              </w:rPr>
            </w:pPr>
            <w:r>
              <w:rPr>
                <w:rFonts w:cs="Times New Roman"/>
                <w:color w:val="auto"/>
                <w:sz w:val="24"/>
                <w:szCs w:val="24"/>
              </w:rPr>
              <w:t>④合理安排生产时间。</w:t>
            </w:r>
          </w:p>
          <w:p w14:paraId="5A67BDD5">
            <w:pPr>
              <w:keepNext w:val="0"/>
              <w:keepLines w:val="0"/>
              <w:pageBreakBefore w:val="0"/>
              <w:widowControl w:val="0"/>
              <w:kinsoku/>
              <w:wordWrap/>
              <w:overflowPunct/>
              <w:topLinePunct w:val="0"/>
              <w:autoSpaceDE/>
              <w:autoSpaceDN/>
              <w:bidi w:val="0"/>
              <w:adjustRightInd/>
              <w:snapToGrid/>
              <w:spacing w:line="384" w:lineRule="auto"/>
              <w:ind w:firstLine="480" w:firstLineChars="200"/>
              <w:textAlignment w:val="auto"/>
              <w:rPr>
                <w:rFonts w:cs="Times New Roman"/>
                <w:color w:val="auto"/>
                <w:sz w:val="24"/>
                <w:szCs w:val="24"/>
              </w:rPr>
            </w:pPr>
            <w:r>
              <w:rPr>
                <w:rFonts w:cs="Times New Roman"/>
                <w:color w:val="auto"/>
                <w:sz w:val="24"/>
                <w:szCs w:val="24"/>
              </w:rPr>
              <w:t>本项目噪声污染源源强核算结果及相关参数见下表：</w:t>
            </w:r>
          </w:p>
        </w:tc>
      </w:tr>
    </w:tbl>
    <w:p w14:paraId="7B3A4B84">
      <w:pPr>
        <w:spacing w:line="276" w:lineRule="auto"/>
        <w:ind w:firstLine="420" w:firstLineChars="200"/>
        <w:rPr>
          <w:rFonts w:cs="Times New Roman"/>
          <w:color w:val="auto"/>
          <w:szCs w:val="21"/>
        </w:rPr>
        <w:sectPr>
          <w:pgSz w:w="11906" w:h="16838"/>
          <w:pgMar w:top="1134" w:right="1418" w:bottom="1134" w:left="1134" w:header="851" w:footer="992" w:gutter="0"/>
          <w:pgBorders>
            <w:top w:val="none" w:sz="0" w:space="0"/>
            <w:left w:val="none" w:sz="0" w:space="0"/>
            <w:bottom w:val="none" w:sz="0" w:space="0"/>
            <w:right w:val="none" w:sz="0" w:space="0"/>
          </w:pgBorders>
          <w:pgNumType w:fmt="numberInDash"/>
          <w:cols w:space="720" w:num="1"/>
          <w:docGrid w:type="lines" w:linePitch="312" w:charSpace="0"/>
        </w:sectPr>
      </w:pPr>
    </w:p>
    <w:tbl>
      <w:tblPr>
        <w:tblStyle w:val="2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786"/>
      </w:tblGrid>
      <w:tr w14:paraId="4706D5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62" w:hRule="atLeast"/>
        </w:trPr>
        <w:tc>
          <w:tcPr>
            <w:tcW w:w="14786" w:type="dxa"/>
          </w:tcPr>
          <w:p w14:paraId="7B174288">
            <w:pPr>
              <w:spacing w:line="360" w:lineRule="auto"/>
              <w:jc w:val="center"/>
              <w:rPr>
                <w:rFonts w:cs="Times New Roman"/>
                <w:b/>
                <w:bCs/>
                <w:color w:val="auto"/>
                <w:sz w:val="24"/>
                <w:szCs w:val="24"/>
                <w:highlight w:val="none"/>
              </w:rPr>
            </w:pPr>
            <w:r>
              <w:rPr>
                <w:rFonts w:cs="Times New Roman"/>
                <w:b/>
                <w:bCs/>
                <w:color w:val="auto"/>
                <w:sz w:val="24"/>
                <w:szCs w:val="24"/>
                <w:highlight w:val="none"/>
              </w:rPr>
              <w:t>表4-10 工业企业噪声源强调查清单（室内声源）</w:t>
            </w:r>
          </w:p>
          <w:tbl>
            <w:tblPr>
              <w:tblStyle w:val="24"/>
              <w:tblW w:w="5002"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57" w:type="dxa"/>
                <w:bottom w:w="0" w:type="dxa"/>
                <w:right w:w="57" w:type="dxa"/>
              </w:tblCellMar>
            </w:tblPr>
            <w:tblGrid>
              <w:gridCol w:w="869"/>
              <w:gridCol w:w="1377"/>
              <w:gridCol w:w="1564"/>
              <w:gridCol w:w="1033"/>
              <w:gridCol w:w="916"/>
              <w:gridCol w:w="1053"/>
              <w:gridCol w:w="1053"/>
              <w:gridCol w:w="1117"/>
              <w:gridCol w:w="869"/>
              <w:gridCol w:w="834"/>
              <w:gridCol w:w="718"/>
              <w:gridCol w:w="1217"/>
              <w:gridCol w:w="919"/>
              <w:gridCol w:w="1037"/>
            </w:tblGrid>
            <w:tr w14:paraId="1AD62FD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19" w:hRule="atLeast"/>
                <w:tblHeader/>
                <w:jc w:val="center"/>
              </w:trPr>
              <w:tc>
                <w:tcPr>
                  <w:tcW w:w="298" w:type="pct"/>
                  <w:vMerge w:val="restart"/>
                  <w:tcBorders>
                    <w:tl2br w:val="nil"/>
                    <w:tr2bl w:val="nil"/>
                  </w:tcBorders>
                  <w:vAlign w:val="center"/>
                </w:tcPr>
                <w:p w14:paraId="7E33E681">
                  <w:pPr>
                    <w:spacing w:line="240" w:lineRule="exact"/>
                    <w:jc w:val="center"/>
                    <w:rPr>
                      <w:rFonts w:cs="Times New Roman"/>
                      <w:b/>
                      <w:bCs/>
                      <w:color w:val="auto"/>
                      <w:szCs w:val="21"/>
                      <w:highlight w:val="none"/>
                    </w:rPr>
                  </w:pPr>
                  <w:r>
                    <w:rPr>
                      <w:rFonts w:cs="Times New Roman"/>
                      <w:b/>
                      <w:bCs/>
                      <w:color w:val="auto"/>
                      <w:szCs w:val="21"/>
                      <w:highlight w:val="none"/>
                    </w:rPr>
                    <w:t>序号</w:t>
                  </w:r>
                </w:p>
              </w:tc>
              <w:tc>
                <w:tcPr>
                  <w:tcW w:w="472" w:type="pct"/>
                  <w:vMerge w:val="restart"/>
                  <w:tcBorders>
                    <w:tl2br w:val="nil"/>
                    <w:tr2bl w:val="nil"/>
                  </w:tcBorders>
                  <w:vAlign w:val="center"/>
                </w:tcPr>
                <w:p w14:paraId="34ED5AF9">
                  <w:pPr>
                    <w:spacing w:line="240" w:lineRule="exact"/>
                    <w:jc w:val="center"/>
                    <w:rPr>
                      <w:rFonts w:cs="Times New Roman"/>
                      <w:b/>
                      <w:bCs/>
                      <w:color w:val="auto"/>
                      <w:szCs w:val="21"/>
                      <w:highlight w:val="none"/>
                    </w:rPr>
                  </w:pPr>
                  <w:r>
                    <w:rPr>
                      <w:rFonts w:cs="Times New Roman"/>
                      <w:b/>
                      <w:bCs/>
                      <w:color w:val="auto"/>
                      <w:szCs w:val="21"/>
                      <w:highlight w:val="none"/>
                    </w:rPr>
                    <w:t>声源名称</w:t>
                  </w:r>
                </w:p>
              </w:tc>
              <w:tc>
                <w:tcPr>
                  <w:tcW w:w="890" w:type="pct"/>
                  <w:gridSpan w:val="2"/>
                  <w:tcBorders>
                    <w:tl2br w:val="nil"/>
                    <w:tr2bl w:val="nil"/>
                  </w:tcBorders>
                  <w:vAlign w:val="center"/>
                </w:tcPr>
                <w:p w14:paraId="7F2F1A9B">
                  <w:pPr>
                    <w:spacing w:line="240" w:lineRule="exact"/>
                    <w:jc w:val="center"/>
                    <w:rPr>
                      <w:rFonts w:cs="Times New Roman"/>
                      <w:b/>
                      <w:bCs/>
                      <w:color w:val="auto"/>
                      <w:szCs w:val="21"/>
                      <w:highlight w:val="none"/>
                    </w:rPr>
                  </w:pPr>
                  <w:r>
                    <w:rPr>
                      <w:rFonts w:cs="Times New Roman"/>
                      <w:b/>
                      <w:bCs/>
                      <w:color w:val="auto"/>
                      <w:szCs w:val="21"/>
                      <w:highlight w:val="none"/>
                    </w:rPr>
                    <w:t>噪声源强（任选一种）</w:t>
                  </w:r>
                </w:p>
              </w:tc>
              <w:tc>
                <w:tcPr>
                  <w:tcW w:w="314" w:type="pct"/>
                  <w:vMerge w:val="restart"/>
                  <w:tcBorders>
                    <w:tl2br w:val="nil"/>
                    <w:tr2bl w:val="nil"/>
                  </w:tcBorders>
                  <w:vAlign w:val="center"/>
                </w:tcPr>
                <w:p w14:paraId="663A5A89">
                  <w:pPr>
                    <w:spacing w:line="240" w:lineRule="exact"/>
                    <w:jc w:val="center"/>
                    <w:rPr>
                      <w:rFonts w:cs="Times New Roman"/>
                      <w:b/>
                      <w:bCs/>
                      <w:color w:val="auto"/>
                      <w:szCs w:val="21"/>
                      <w:highlight w:val="none"/>
                    </w:rPr>
                  </w:pPr>
                  <w:r>
                    <w:rPr>
                      <w:rFonts w:cs="Times New Roman"/>
                      <w:b/>
                      <w:bCs/>
                      <w:color w:val="auto"/>
                      <w:szCs w:val="21"/>
                      <w:highlight w:val="none"/>
                    </w:rPr>
                    <w:t>声源控制措施</w:t>
                  </w:r>
                </w:p>
              </w:tc>
              <w:tc>
                <w:tcPr>
                  <w:tcW w:w="1105" w:type="pct"/>
                  <w:gridSpan w:val="3"/>
                  <w:tcBorders>
                    <w:tl2br w:val="nil"/>
                    <w:tr2bl w:val="nil"/>
                  </w:tcBorders>
                  <w:vAlign w:val="center"/>
                </w:tcPr>
                <w:p w14:paraId="1C27EBA5">
                  <w:pPr>
                    <w:spacing w:line="240" w:lineRule="exact"/>
                    <w:jc w:val="center"/>
                    <w:rPr>
                      <w:rFonts w:cs="Times New Roman"/>
                      <w:b/>
                      <w:bCs/>
                      <w:color w:val="auto"/>
                      <w:szCs w:val="21"/>
                      <w:highlight w:val="none"/>
                    </w:rPr>
                  </w:pPr>
                  <w:r>
                    <w:rPr>
                      <w:rFonts w:cs="Times New Roman"/>
                      <w:b/>
                      <w:bCs/>
                      <w:color w:val="auto"/>
                      <w:szCs w:val="21"/>
                      <w:highlight w:val="none"/>
                    </w:rPr>
                    <w:t>空间相对位置</w:t>
                  </w:r>
                </w:p>
              </w:tc>
              <w:tc>
                <w:tcPr>
                  <w:tcW w:w="298" w:type="pct"/>
                  <w:vMerge w:val="restart"/>
                  <w:tcBorders>
                    <w:tl2br w:val="nil"/>
                    <w:tr2bl w:val="nil"/>
                  </w:tcBorders>
                  <w:vAlign w:val="center"/>
                </w:tcPr>
                <w:p w14:paraId="5881C6D6">
                  <w:pPr>
                    <w:spacing w:line="240" w:lineRule="exact"/>
                    <w:jc w:val="center"/>
                    <w:rPr>
                      <w:rFonts w:cs="Times New Roman"/>
                      <w:b/>
                      <w:bCs/>
                      <w:color w:val="auto"/>
                      <w:szCs w:val="21"/>
                      <w:highlight w:val="none"/>
                    </w:rPr>
                  </w:pPr>
                  <w:r>
                    <w:rPr>
                      <w:rFonts w:cs="Times New Roman"/>
                      <w:b/>
                      <w:bCs/>
                      <w:color w:val="auto"/>
                      <w:szCs w:val="21"/>
                      <w:highlight w:val="none"/>
                    </w:rPr>
                    <w:t>距室内边界距离</w:t>
                  </w:r>
                </w:p>
              </w:tc>
              <w:tc>
                <w:tcPr>
                  <w:tcW w:w="286" w:type="pct"/>
                  <w:vMerge w:val="restart"/>
                  <w:tcBorders>
                    <w:tl2br w:val="nil"/>
                    <w:tr2bl w:val="nil"/>
                  </w:tcBorders>
                  <w:vAlign w:val="center"/>
                </w:tcPr>
                <w:p w14:paraId="01CBD415">
                  <w:pPr>
                    <w:spacing w:line="240" w:lineRule="exact"/>
                    <w:jc w:val="center"/>
                    <w:rPr>
                      <w:rFonts w:cs="Times New Roman"/>
                      <w:b/>
                      <w:bCs/>
                      <w:color w:val="auto"/>
                      <w:szCs w:val="21"/>
                      <w:highlight w:val="none"/>
                    </w:rPr>
                  </w:pPr>
                  <w:r>
                    <w:rPr>
                      <w:rFonts w:cs="Times New Roman"/>
                      <w:b/>
                      <w:bCs/>
                      <w:color w:val="auto"/>
                      <w:szCs w:val="21"/>
                      <w:highlight w:val="none"/>
                    </w:rPr>
                    <w:t>室内边界声级/dB(A)</w:t>
                  </w:r>
                </w:p>
              </w:tc>
              <w:tc>
                <w:tcPr>
                  <w:tcW w:w="246" w:type="pct"/>
                  <w:vMerge w:val="restart"/>
                  <w:tcBorders>
                    <w:tl2br w:val="nil"/>
                    <w:tr2bl w:val="nil"/>
                  </w:tcBorders>
                  <w:vAlign w:val="center"/>
                </w:tcPr>
                <w:p w14:paraId="33EC0D68">
                  <w:pPr>
                    <w:spacing w:line="240" w:lineRule="exact"/>
                    <w:jc w:val="center"/>
                    <w:rPr>
                      <w:rFonts w:cs="Times New Roman"/>
                      <w:b/>
                      <w:bCs/>
                      <w:color w:val="auto"/>
                      <w:szCs w:val="21"/>
                      <w:highlight w:val="none"/>
                    </w:rPr>
                  </w:pPr>
                  <w:r>
                    <w:rPr>
                      <w:rFonts w:cs="Times New Roman"/>
                      <w:b/>
                      <w:bCs/>
                      <w:color w:val="auto"/>
                      <w:szCs w:val="21"/>
                      <w:highlight w:val="none"/>
                    </w:rPr>
                    <w:t>运行时段</w:t>
                  </w:r>
                </w:p>
              </w:tc>
              <w:tc>
                <w:tcPr>
                  <w:tcW w:w="417" w:type="pct"/>
                  <w:vMerge w:val="restart"/>
                  <w:tcBorders>
                    <w:tl2br w:val="nil"/>
                    <w:tr2bl w:val="nil"/>
                  </w:tcBorders>
                  <w:vAlign w:val="center"/>
                </w:tcPr>
                <w:p w14:paraId="333AE3D4">
                  <w:pPr>
                    <w:spacing w:line="240" w:lineRule="exact"/>
                    <w:jc w:val="center"/>
                    <w:rPr>
                      <w:rFonts w:cs="Times New Roman"/>
                      <w:b/>
                      <w:bCs/>
                      <w:color w:val="auto"/>
                      <w:szCs w:val="21"/>
                      <w:highlight w:val="none"/>
                    </w:rPr>
                  </w:pPr>
                  <w:r>
                    <w:rPr>
                      <w:rFonts w:cs="Times New Roman"/>
                      <w:b/>
                      <w:bCs/>
                      <w:color w:val="auto"/>
                      <w:szCs w:val="21"/>
                      <w:highlight w:val="none"/>
                    </w:rPr>
                    <w:t>插入损失/dB（A）</w:t>
                  </w:r>
                </w:p>
              </w:tc>
              <w:tc>
                <w:tcPr>
                  <w:tcW w:w="670" w:type="pct"/>
                  <w:gridSpan w:val="2"/>
                  <w:tcBorders>
                    <w:tl2br w:val="nil"/>
                    <w:tr2bl w:val="nil"/>
                  </w:tcBorders>
                  <w:vAlign w:val="center"/>
                </w:tcPr>
                <w:p w14:paraId="46858ECE">
                  <w:pPr>
                    <w:spacing w:line="240" w:lineRule="exact"/>
                    <w:jc w:val="center"/>
                    <w:rPr>
                      <w:rFonts w:cs="Times New Roman"/>
                      <w:b/>
                      <w:bCs/>
                      <w:color w:val="auto"/>
                      <w:szCs w:val="21"/>
                      <w:highlight w:val="none"/>
                    </w:rPr>
                  </w:pPr>
                  <w:r>
                    <w:rPr>
                      <w:rFonts w:cs="Times New Roman"/>
                      <w:b/>
                      <w:bCs/>
                      <w:color w:val="auto"/>
                      <w:szCs w:val="21"/>
                      <w:highlight w:val="none"/>
                    </w:rPr>
                    <w:t>建筑物外噪声</w:t>
                  </w:r>
                </w:p>
              </w:tc>
            </w:tr>
            <w:tr w14:paraId="151F88C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6" w:hRule="atLeast"/>
                <w:tblHeader/>
                <w:jc w:val="center"/>
              </w:trPr>
              <w:tc>
                <w:tcPr>
                  <w:tcW w:w="298" w:type="pct"/>
                  <w:vMerge w:val="continue"/>
                  <w:tcBorders>
                    <w:tl2br w:val="nil"/>
                    <w:tr2bl w:val="nil"/>
                  </w:tcBorders>
                  <w:vAlign w:val="center"/>
                </w:tcPr>
                <w:p w14:paraId="7249B05A">
                  <w:pPr>
                    <w:spacing w:line="240" w:lineRule="exact"/>
                    <w:jc w:val="center"/>
                    <w:rPr>
                      <w:rFonts w:cs="Times New Roman"/>
                      <w:color w:val="auto"/>
                      <w:szCs w:val="21"/>
                      <w:highlight w:val="none"/>
                    </w:rPr>
                  </w:pPr>
                </w:p>
              </w:tc>
              <w:tc>
                <w:tcPr>
                  <w:tcW w:w="472" w:type="pct"/>
                  <w:vMerge w:val="continue"/>
                  <w:tcBorders>
                    <w:tl2br w:val="nil"/>
                    <w:tr2bl w:val="nil"/>
                  </w:tcBorders>
                  <w:vAlign w:val="center"/>
                </w:tcPr>
                <w:p w14:paraId="6ADDE973">
                  <w:pPr>
                    <w:spacing w:line="240" w:lineRule="exact"/>
                    <w:jc w:val="center"/>
                    <w:rPr>
                      <w:rFonts w:cs="Times New Roman"/>
                      <w:color w:val="auto"/>
                      <w:szCs w:val="21"/>
                      <w:highlight w:val="none"/>
                    </w:rPr>
                  </w:pPr>
                </w:p>
              </w:tc>
              <w:tc>
                <w:tcPr>
                  <w:tcW w:w="536" w:type="pct"/>
                  <w:tcBorders>
                    <w:tl2br w:val="nil"/>
                    <w:tr2bl w:val="nil"/>
                  </w:tcBorders>
                  <w:vAlign w:val="center"/>
                </w:tcPr>
                <w:p w14:paraId="60158022">
                  <w:pPr>
                    <w:spacing w:line="240" w:lineRule="exact"/>
                    <w:jc w:val="center"/>
                    <w:rPr>
                      <w:rFonts w:cs="Times New Roman"/>
                      <w:b/>
                      <w:bCs/>
                      <w:color w:val="auto"/>
                      <w:szCs w:val="21"/>
                      <w:highlight w:val="none"/>
                    </w:rPr>
                  </w:pPr>
                  <w:r>
                    <w:rPr>
                      <w:rFonts w:cs="Times New Roman"/>
                      <w:b/>
                      <w:bCs/>
                      <w:color w:val="auto"/>
                      <w:sz w:val="18"/>
                      <w:szCs w:val="18"/>
                      <w:highlight w:val="none"/>
                    </w:rPr>
                    <w:t>（声压级/距声源距离）/</w:t>
                  </w:r>
                  <w:r>
                    <w:rPr>
                      <w:rFonts w:hint="eastAsia" w:cs="Times New Roman"/>
                      <w:b/>
                      <w:bCs/>
                      <w:color w:val="auto"/>
                      <w:sz w:val="18"/>
                      <w:szCs w:val="18"/>
                      <w:highlight w:val="none"/>
                    </w:rPr>
                    <w:t>(</w:t>
                  </w:r>
                  <w:r>
                    <w:rPr>
                      <w:rFonts w:cs="Times New Roman"/>
                      <w:b/>
                      <w:bCs/>
                      <w:color w:val="auto"/>
                      <w:sz w:val="18"/>
                      <w:szCs w:val="18"/>
                      <w:highlight w:val="none"/>
                    </w:rPr>
                    <w:t>dB（A）/m</w:t>
                  </w:r>
                  <w:r>
                    <w:rPr>
                      <w:rFonts w:hint="eastAsia" w:cs="Times New Roman"/>
                      <w:b/>
                      <w:bCs/>
                      <w:color w:val="auto"/>
                      <w:sz w:val="18"/>
                      <w:szCs w:val="18"/>
                      <w:highlight w:val="none"/>
                    </w:rPr>
                    <w:t>)</w:t>
                  </w:r>
                </w:p>
              </w:tc>
              <w:tc>
                <w:tcPr>
                  <w:tcW w:w="354" w:type="pct"/>
                  <w:tcBorders>
                    <w:tl2br w:val="nil"/>
                    <w:tr2bl w:val="nil"/>
                  </w:tcBorders>
                  <w:vAlign w:val="center"/>
                </w:tcPr>
                <w:p w14:paraId="7FC669DF">
                  <w:pPr>
                    <w:spacing w:line="240" w:lineRule="exact"/>
                    <w:jc w:val="center"/>
                    <w:rPr>
                      <w:rFonts w:cs="Times New Roman"/>
                      <w:b/>
                      <w:bCs/>
                      <w:color w:val="auto"/>
                      <w:szCs w:val="21"/>
                      <w:highlight w:val="none"/>
                    </w:rPr>
                  </w:pPr>
                  <w:r>
                    <w:rPr>
                      <w:rFonts w:cs="Times New Roman"/>
                      <w:b/>
                      <w:bCs/>
                      <w:color w:val="auto"/>
                      <w:szCs w:val="21"/>
                      <w:highlight w:val="none"/>
                    </w:rPr>
                    <w:t>声功率级/dB（A）</w:t>
                  </w:r>
                </w:p>
              </w:tc>
              <w:tc>
                <w:tcPr>
                  <w:tcW w:w="314" w:type="pct"/>
                  <w:vMerge w:val="continue"/>
                  <w:tcBorders>
                    <w:tl2br w:val="nil"/>
                    <w:tr2bl w:val="nil"/>
                  </w:tcBorders>
                  <w:vAlign w:val="center"/>
                </w:tcPr>
                <w:p w14:paraId="4424BFEC">
                  <w:pPr>
                    <w:spacing w:line="240" w:lineRule="exact"/>
                    <w:jc w:val="center"/>
                    <w:rPr>
                      <w:rFonts w:cs="Times New Roman"/>
                      <w:b/>
                      <w:bCs/>
                      <w:color w:val="auto"/>
                      <w:szCs w:val="21"/>
                      <w:highlight w:val="none"/>
                    </w:rPr>
                  </w:pPr>
                </w:p>
              </w:tc>
              <w:tc>
                <w:tcPr>
                  <w:tcW w:w="361" w:type="pct"/>
                  <w:tcBorders>
                    <w:tl2br w:val="nil"/>
                    <w:tr2bl w:val="nil"/>
                  </w:tcBorders>
                  <w:vAlign w:val="center"/>
                </w:tcPr>
                <w:p w14:paraId="2B8628FE">
                  <w:pPr>
                    <w:spacing w:line="240" w:lineRule="exact"/>
                    <w:jc w:val="center"/>
                    <w:rPr>
                      <w:rFonts w:cs="Times New Roman"/>
                      <w:b/>
                      <w:bCs/>
                      <w:color w:val="auto"/>
                      <w:szCs w:val="21"/>
                      <w:highlight w:val="none"/>
                    </w:rPr>
                  </w:pPr>
                  <w:r>
                    <w:rPr>
                      <w:rFonts w:cs="Times New Roman"/>
                      <w:b/>
                      <w:bCs/>
                      <w:color w:val="auto"/>
                      <w:szCs w:val="21"/>
                      <w:highlight w:val="none"/>
                    </w:rPr>
                    <w:t>X</w:t>
                  </w:r>
                </w:p>
              </w:tc>
              <w:tc>
                <w:tcPr>
                  <w:tcW w:w="361" w:type="pct"/>
                  <w:tcBorders>
                    <w:tl2br w:val="nil"/>
                    <w:tr2bl w:val="nil"/>
                  </w:tcBorders>
                  <w:vAlign w:val="center"/>
                </w:tcPr>
                <w:p w14:paraId="76AAE55D">
                  <w:pPr>
                    <w:spacing w:line="240" w:lineRule="exact"/>
                    <w:jc w:val="center"/>
                    <w:rPr>
                      <w:rFonts w:cs="Times New Roman"/>
                      <w:b/>
                      <w:bCs/>
                      <w:color w:val="auto"/>
                      <w:szCs w:val="21"/>
                      <w:highlight w:val="none"/>
                    </w:rPr>
                  </w:pPr>
                  <w:r>
                    <w:rPr>
                      <w:rFonts w:cs="Times New Roman"/>
                      <w:b/>
                      <w:bCs/>
                      <w:color w:val="auto"/>
                      <w:szCs w:val="21"/>
                      <w:highlight w:val="none"/>
                    </w:rPr>
                    <w:t>Y</w:t>
                  </w:r>
                </w:p>
              </w:tc>
              <w:tc>
                <w:tcPr>
                  <w:tcW w:w="383" w:type="pct"/>
                  <w:tcBorders>
                    <w:tl2br w:val="nil"/>
                    <w:tr2bl w:val="nil"/>
                  </w:tcBorders>
                  <w:vAlign w:val="center"/>
                </w:tcPr>
                <w:p w14:paraId="2F722900">
                  <w:pPr>
                    <w:spacing w:line="240" w:lineRule="exact"/>
                    <w:jc w:val="center"/>
                    <w:rPr>
                      <w:rFonts w:cs="Times New Roman"/>
                      <w:b/>
                      <w:bCs/>
                      <w:color w:val="auto"/>
                      <w:szCs w:val="21"/>
                      <w:highlight w:val="none"/>
                    </w:rPr>
                  </w:pPr>
                  <w:r>
                    <w:rPr>
                      <w:rFonts w:cs="Times New Roman"/>
                      <w:b/>
                      <w:bCs/>
                      <w:color w:val="auto"/>
                      <w:szCs w:val="21"/>
                      <w:highlight w:val="none"/>
                    </w:rPr>
                    <w:t>Z</w:t>
                  </w:r>
                </w:p>
              </w:tc>
              <w:tc>
                <w:tcPr>
                  <w:tcW w:w="298" w:type="pct"/>
                  <w:vMerge w:val="continue"/>
                  <w:tcBorders>
                    <w:tl2br w:val="nil"/>
                    <w:tr2bl w:val="nil"/>
                  </w:tcBorders>
                  <w:vAlign w:val="center"/>
                </w:tcPr>
                <w:p w14:paraId="3102870C">
                  <w:pPr>
                    <w:spacing w:line="240" w:lineRule="exact"/>
                    <w:jc w:val="center"/>
                    <w:rPr>
                      <w:rFonts w:cs="Times New Roman"/>
                      <w:b/>
                      <w:bCs/>
                      <w:color w:val="auto"/>
                      <w:szCs w:val="21"/>
                      <w:highlight w:val="none"/>
                    </w:rPr>
                  </w:pPr>
                </w:p>
              </w:tc>
              <w:tc>
                <w:tcPr>
                  <w:tcW w:w="286" w:type="pct"/>
                  <w:vMerge w:val="continue"/>
                  <w:tcBorders>
                    <w:tl2br w:val="nil"/>
                    <w:tr2bl w:val="nil"/>
                  </w:tcBorders>
                  <w:vAlign w:val="center"/>
                </w:tcPr>
                <w:p w14:paraId="78C87551">
                  <w:pPr>
                    <w:spacing w:line="240" w:lineRule="exact"/>
                    <w:jc w:val="center"/>
                    <w:rPr>
                      <w:rFonts w:cs="Times New Roman"/>
                      <w:b/>
                      <w:bCs/>
                      <w:color w:val="auto"/>
                      <w:szCs w:val="21"/>
                      <w:highlight w:val="none"/>
                    </w:rPr>
                  </w:pPr>
                </w:p>
              </w:tc>
              <w:tc>
                <w:tcPr>
                  <w:tcW w:w="246" w:type="pct"/>
                  <w:vMerge w:val="continue"/>
                  <w:tcBorders>
                    <w:tl2br w:val="nil"/>
                    <w:tr2bl w:val="nil"/>
                  </w:tcBorders>
                  <w:vAlign w:val="center"/>
                </w:tcPr>
                <w:p w14:paraId="16A6CF0A">
                  <w:pPr>
                    <w:spacing w:line="240" w:lineRule="exact"/>
                    <w:jc w:val="center"/>
                    <w:rPr>
                      <w:rFonts w:cs="Times New Roman"/>
                      <w:b/>
                      <w:bCs/>
                      <w:color w:val="auto"/>
                      <w:szCs w:val="21"/>
                      <w:highlight w:val="none"/>
                    </w:rPr>
                  </w:pPr>
                </w:p>
              </w:tc>
              <w:tc>
                <w:tcPr>
                  <w:tcW w:w="417" w:type="pct"/>
                  <w:vMerge w:val="continue"/>
                  <w:tcBorders>
                    <w:tl2br w:val="nil"/>
                    <w:tr2bl w:val="nil"/>
                  </w:tcBorders>
                  <w:vAlign w:val="center"/>
                </w:tcPr>
                <w:p w14:paraId="18414873">
                  <w:pPr>
                    <w:spacing w:line="240" w:lineRule="exact"/>
                    <w:jc w:val="center"/>
                    <w:rPr>
                      <w:rFonts w:cs="Times New Roman"/>
                      <w:b/>
                      <w:bCs/>
                      <w:color w:val="auto"/>
                      <w:szCs w:val="21"/>
                      <w:highlight w:val="none"/>
                    </w:rPr>
                  </w:pPr>
                </w:p>
              </w:tc>
              <w:tc>
                <w:tcPr>
                  <w:tcW w:w="315" w:type="pct"/>
                  <w:tcBorders>
                    <w:tl2br w:val="nil"/>
                    <w:tr2bl w:val="nil"/>
                  </w:tcBorders>
                  <w:vAlign w:val="center"/>
                </w:tcPr>
                <w:p w14:paraId="13E71BD4">
                  <w:pPr>
                    <w:spacing w:line="240" w:lineRule="exact"/>
                    <w:jc w:val="center"/>
                    <w:rPr>
                      <w:rFonts w:cs="Times New Roman"/>
                      <w:b/>
                      <w:bCs/>
                      <w:color w:val="auto"/>
                      <w:szCs w:val="21"/>
                      <w:highlight w:val="none"/>
                    </w:rPr>
                  </w:pPr>
                  <w:r>
                    <w:rPr>
                      <w:rFonts w:cs="Times New Roman"/>
                      <w:b/>
                      <w:bCs/>
                      <w:color w:val="auto"/>
                      <w:szCs w:val="21"/>
                      <w:highlight w:val="none"/>
                    </w:rPr>
                    <w:t>声压级</w:t>
                  </w:r>
                </w:p>
                <w:p w14:paraId="6D77D36D">
                  <w:pPr>
                    <w:spacing w:line="240" w:lineRule="exact"/>
                    <w:jc w:val="center"/>
                    <w:rPr>
                      <w:rFonts w:cs="Times New Roman"/>
                      <w:b/>
                      <w:bCs/>
                      <w:color w:val="auto"/>
                      <w:szCs w:val="21"/>
                      <w:highlight w:val="none"/>
                    </w:rPr>
                  </w:pPr>
                  <w:r>
                    <w:rPr>
                      <w:rFonts w:cs="Times New Roman"/>
                      <w:b/>
                      <w:bCs/>
                      <w:color w:val="auto"/>
                      <w:szCs w:val="21"/>
                      <w:highlight w:val="none"/>
                    </w:rPr>
                    <w:t>/dB(A)</w:t>
                  </w:r>
                </w:p>
              </w:tc>
              <w:tc>
                <w:tcPr>
                  <w:tcW w:w="355" w:type="pct"/>
                  <w:tcBorders>
                    <w:tl2br w:val="nil"/>
                    <w:tr2bl w:val="nil"/>
                  </w:tcBorders>
                  <w:vAlign w:val="center"/>
                </w:tcPr>
                <w:p w14:paraId="720D8F2F">
                  <w:pPr>
                    <w:spacing w:line="240" w:lineRule="exact"/>
                    <w:jc w:val="center"/>
                    <w:rPr>
                      <w:rFonts w:cs="Times New Roman"/>
                      <w:b/>
                      <w:bCs/>
                      <w:color w:val="auto"/>
                      <w:szCs w:val="21"/>
                      <w:highlight w:val="none"/>
                    </w:rPr>
                  </w:pPr>
                  <w:r>
                    <w:rPr>
                      <w:rFonts w:cs="Times New Roman"/>
                      <w:b/>
                      <w:bCs/>
                      <w:color w:val="auto"/>
                      <w:szCs w:val="21"/>
                      <w:highlight w:val="none"/>
                    </w:rPr>
                    <w:t>建筑物外</w:t>
                  </w:r>
                </w:p>
                <w:p w14:paraId="5BF74871">
                  <w:pPr>
                    <w:spacing w:line="240" w:lineRule="exact"/>
                    <w:jc w:val="center"/>
                    <w:rPr>
                      <w:rFonts w:cs="Times New Roman"/>
                      <w:b/>
                      <w:bCs/>
                      <w:color w:val="auto"/>
                      <w:szCs w:val="21"/>
                      <w:highlight w:val="none"/>
                    </w:rPr>
                  </w:pPr>
                  <w:r>
                    <w:rPr>
                      <w:rFonts w:cs="Times New Roman"/>
                      <w:b/>
                      <w:bCs/>
                      <w:color w:val="auto"/>
                      <w:szCs w:val="21"/>
                      <w:highlight w:val="none"/>
                    </w:rPr>
                    <w:t>距离</w:t>
                  </w:r>
                </w:p>
              </w:tc>
            </w:tr>
            <w:tr w14:paraId="7C1B056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02" w:hRule="atLeast"/>
                <w:jc w:val="center"/>
              </w:trPr>
              <w:tc>
                <w:tcPr>
                  <w:tcW w:w="298" w:type="pct"/>
                  <w:tcBorders>
                    <w:tl2br w:val="nil"/>
                    <w:tr2bl w:val="nil"/>
                  </w:tcBorders>
                  <w:vAlign w:val="center"/>
                </w:tcPr>
                <w:p w14:paraId="1FF74B96">
                  <w:pPr>
                    <w:spacing w:line="230" w:lineRule="exact"/>
                    <w:jc w:val="center"/>
                    <w:rPr>
                      <w:rFonts w:cs="Times New Roman"/>
                      <w:color w:val="auto"/>
                      <w:szCs w:val="21"/>
                      <w:highlight w:val="none"/>
                    </w:rPr>
                  </w:pPr>
                  <w:r>
                    <w:rPr>
                      <w:rFonts w:cs="Times New Roman"/>
                      <w:color w:val="auto"/>
                      <w:szCs w:val="21"/>
                      <w:highlight w:val="none"/>
                    </w:rPr>
                    <w:t>1</w:t>
                  </w:r>
                </w:p>
              </w:tc>
              <w:tc>
                <w:tcPr>
                  <w:tcW w:w="472" w:type="pct"/>
                  <w:tcBorders>
                    <w:tl2br w:val="nil"/>
                    <w:tr2bl w:val="nil"/>
                  </w:tcBorders>
                  <w:vAlign w:val="center"/>
                </w:tcPr>
                <w:p w14:paraId="0C8C3F3F">
                  <w:pPr>
                    <w:snapToGrid w:val="0"/>
                    <w:spacing w:line="230" w:lineRule="exact"/>
                    <w:jc w:val="center"/>
                    <w:rPr>
                      <w:rFonts w:cs="Times New Roman"/>
                      <w:color w:val="auto"/>
                      <w:szCs w:val="21"/>
                      <w:highlight w:val="none"/>
                    </w:rPr>
                  </w:pPr>
                  <w:r>
                    <w:rPr>
                      <w:rFonts w:cs="Times New Roman"/>
                      <w:color w:val="auto"/>
                      <w:szCs w:val="21"/>
                      <w:highlight w:val="none"/>
                    </w:rPr>
                    <w:t>大切机1</w:t>
                  </w:r>
                </w:p>
              </w:tc>
              <w:tc>
                <w:tcPr>
                  <w:tcW w:w="536" w:type="pct"/>
                  <w:tcBorders>
                    <w:tl2br w:val="nil"/>
                    <w:tr2bl w:val="nil"/>
                  </w:tcBorders>
                  <w:vAlign w:val="center"/>
                </w:tcPr>
                <w:p w14:paraId="42689CE2">
                  <w:pPr>
                    <w:spacing w:line="230" w:lineRule="exact"/>
                    <w:jc w:val="center"/>
                    <w:rPr>
                      <w:rFonts w:cs="Times New Roman"/>
                      <w:color w:val="auto"/>
                      <w:szCs w:val="21"/>
                      <w:highlight w:val="none"/>
                    </w:rPr>
                  </w:pPr>
                  <w:r>
                    <w:rPr>
                      <w:rFonts w:cs="Times New Roman"/>
                      <w:color w:val="auto"/>
                      <w:szCs w:val="21"/>
                      <w:highlight w:val="none"/>
                    </w:rPr>
                    <w:t>/</w:t>
                  </w:r>
                </w:p>
              </w:tc>
              <w:tc>
                <w:tcPr>
                  <w:tcW w:w="354" w:type="pct"/>
                  <w:tcBorders>
                    <w:tl2br w:val="nil"/>
                    <w:tr2bl w:val="nil"/>
                  </w:tcBorders>
                  <w:vAlign w:val="center"/>
                </w:tcPr>
                <w:p w14:paraId="0F0F8269">
                  <w:pPr>
                    <w:spacing w:line="230" w:lineRule="exact"/>
                    <w:jc w:val="center"/>
                    <w:rPr>
                      <w:rFonts w:hint="default" w:eastAsia="宋体" w:cs="Times New Roman"/>
                      <w:color w:val="auto"/>
                      <w:szCs w:val="21"/>
                      <w:highlight w:val="none"/>
                      <w:lang w:val="en-US" w:eastAsia="zh-CN"/>
                    </w:rPr>
                  </w:pPr>
                  <w:r>
                    <w:rPr>
                      <w:rFonts w:hint="eastAsia" w:cs="Times New Roman"/>
                      <w:color w:val="auto"/>
                      <w:szCs w:val="21"/>
                      <w:highlight w:val="none"/>
                      <w:lang w:val="en-US" w:eastAsia="zh-CN"/>
                    </w:rPr>
                    <w:t>95</w:t>
                  </w:r>
                </w:p>
              </w:tc>
              <w:tc>
                <w:tcPr>
                  <w:tcW w:w="314" w:type="pct"/>
                  <w:vMerge w:val="restart"/>
                  <w:tcBorders>
                    <w:tl2br w:val="nil"/>
                    <w:tr2bl w:val="nil"/>
                  </w:tcBorders>
                  <w:vAlign w:val="center"/>
                </w:tcPr>
                <w:p w14:paraId="7403F538">
                  <w:pPr>
                    <w:spacing w:line="230" w:lineRule="exact"/>
                    <w:jc w:val="center"/>
                    <w:rPr>
                      <w:rFonts w:cs="Times New Roman"/>
                      <w:color w:val="auto"/>
                      <w:szCs w:val="21"/>
                      <w:highlight w:val="none"/>
                    </w:rPr>
                  </w:pPr>
                  <w:r>
                    <w:rPr>
                      <w:rFonts w:cs="Times New Roman"/>
                      <w:color w:val="auto"/>
                      <w:szCs w:val="21"/>
                      <w:highlight w:val="none"/>
                    </w:rPr>
                    <w:t>厂房隔声、选用低噪声</w:t>
                  </w:r>
                </w:p>
                <w:p w14:paraId="545C692C">
                  <w:pPr>
                    <w:spacing w:line="230" w:lineRule="exact"/>
                    <w:jc w:val="center"/>
                    <w:rPr>
                      <w:rFonts w:cs="Times New Roman"/>
                      <w:color w:val="auto"/>
                      <w:szCs w:val="21"/>
                      <w:highlight w:val="none"/>
                    </w:rPr>
                  </w:pPr>
                  <w:r>
                    <w:rPr>
                      <w:rFonts w:cs="Times New Roman"/>
                      <w:color w:val="auto"/>
                      <w:szCs w:val="21"/>
                      <w:highlight w:val="none"/>
                    </w:rPr>
                    <w:t>设备、基座减震，合理</w:t>
                  </w:r>
                </w:p>
                <w:p w14:paraId="6AB58995">
                  <w:pPr>
                    <w:spacing w:line="230" w:lineRule="exact"/>
                    <w:jc w:val="center"/>
                    <w:rPr>
                      <w:rFonts w:cs="Times New Roman"/>
                      <w:color w:val="auto"/>
                      <w:szCs w:val="21"/>
                      <w:highlight w:val="none"/>
                    </w:rPr>
                  </w:pPr>
                  <w:r>
                    <w:rPr>
                      <w:rFonts w:cs="Times New Roman"/>
                      <w:color w:val="auto"/>
                      <w:szCs w:val="21"/>
                      <w:highlight w:val="none"/>
                    </w:rPr>
                    <w:t>布置声源位置、加强设备维护保养</w:t>
                  </w:r>
                </w:p>
              </w:tc>
              <w:tc>
                <w:tcPr>
                  <w:tcW w:w="361" w:type="pct"/>
                  <w:tcBorders>
                    <w:tl2br w:val="nil"/>
                    <w:tr2bl w:val="nil"/>
                  </w:tcBorders>
                  <w:vAlign w:val="center"/>
                </w:tcPr>
                <w:p w14:paraId="0BC0785F">
                  <w:pPr>
                    <w:spacing w:line="230" w:lineRule="exact"/>
                    <w:jc w:val="center"/>
                    <w:rPr>
                      <w:rFonts w:cs="Times New Roman"/>
                      <w:color w:val="auto"/>
                      <w:szCs w:val="21"/>
                      <w:highlight w:val="none"/>
                    </w:rPr>
                  </w:pPr>
                  <w:r>
                    <w:rPr>
                      <w:rFonts w:hint="eastAsia"/>
                    </w:rPr>
                    <w:t>108.68</w:t>
                  </w:r>
                </w:p>
              </w:tc>
              <w:tc>
                <w:tcPr>
                  <w:tcW w:w="361" w:type="pct"/>
                  <w:tcBorders>
                    <w:tl2br w:val="nil"/>
                    <w:tr2bl w:val="nil"/>
                  </w:tcBorders>
                  <w:vAlign w:val="center"/>
                </w:tcPr>
                <w:p w14:paraId="7062BA60">
                  <w:pPr>
                    <w:spacing w:line="230" w:lineRule="exact"/>
                    <w:jc w:val="center"/>
                    <w:rPr>
                      <w:rFonts w:cs="Times New Roman"/>
                      <w:color w:val="auto"/>
                      <w:szCs w:val="21"/>
                      <w:highlight w:val="none"/>
                    </w:rPr>
                  </w:pPr>
                  <w:r>
                    <w:rPr>
                      <w:rFonts w:hint="eastAsia"/>
                    </w:rPr>
                    <w:t>39.86</w:t>
                  </w:r>
                </w:p>
              </w:tc>
              <w:tc>
                <w:tcPr>
                  <w:tcW w:w="383" w:type="pct"/>
                  <w:tcBorders>
                    <w:tl2br w:val="nil"/>
                    <w:tr2bl w:val="nil"/>
                  </w:tcBorders>
                  <w:vAlign w:val="center"/>
                </w:tcPr>
                <w:p w14:paraId="5451865A">
                  <w:pPr>
                    <w:spacing w:line="230" w:lineRule="exact"/>
                    <w:jc w:val="center"/>
                    <w:rPr>
                      <w:rFonts w:cs="Times New Roman"/>
                      <w:color w:val="auto"/>
                      <w:szCs w:val="21"/>
                      <w:highlight w:val="none"/>
                    </w:rPr>
                  </w:pPr>
                  <w:r>
                    <w:rPr>
                      <w:rFonts w:hint="eastAsia"/>
                    </w:rPr>
                    <w:t>1.5</w:t>
                  </w:r>
                </w:p>
              </w:tc>
              <w:tc>
                <w:tcPr>
                  <w:tcW w:w="298" w:type="pct"/>
                  <w:tcBorders>
                    <w:tl2br w:val="nil"/>
                    <w:tr2bl w:val="nil"/>
                  </w:tcBorders>
                  <w:vAlign w:val="center"/>
                </w:tcPr>
                <w:p w14:paraId="151C556C">
                  <w:pPr>
                    <w:spacing w:line="230" w:lineRule="exact"/>
                    <w:jc w:val="center"/>
                    <w:rPr>
                      <w:rFonts w:cs="Times New Roman"/>
                      <w:color w:val="auto"/>
                      <w:szCs w:val="21"/>
                      <w:highlight w:val="none"/>
                    </w:rPr>
                  </w:pPr>
                  <w:r>
                    <w:rPr>
                      <w:rFonts w:hint="eastAsia"/>
                      <w:lang w:val="en-US" w:eastAsia="zh-CN"/>
                    </w:rPr>
                    <w:t>3.0</w:t>
                  </w:r>
                </w:p>
              </w:tc>
              <w:tc>
                <w:tcPr>
                  <w:tcW w:w="286" w:type="pct"/>
                  <w:tcBorders>
                    <w:tl2br w:val="nil"/>
                    <w:tr2bl w:val="nil"/>
                  </w:tcBorders>
                  <w:vAlign w:val="center"/>
                </w:tcPr>
                <w:p w14:paraId="78923990">
                  <w:pPr>
                    <w:spacing w:line="230" w:lineRule="exact"/>
                    <w:jc w:val="center"/>
                    <w:rPr>
                      <w:rFonts w:cs="Times New Roman"/>
                      <w:color w:val="auto"/>
                      <w:szCs w:val="21"/>
                      <w:highlight w:val="none"/>
                    </w:rPr>
                  </w:pPr>
                  <w:r>
                    <w:rPr>
                      <w:rFonts w:hint="eastAsia"/>
                    </w:rPr>
                    <w:t>80.98</w:t>
                  </w:r>
                </w:p>
              </w:tc>
              <w:tc>
                <w:tcPr>
                  <w:tcW w:w="246" w:type="pct"/>
                  <w:vMerge w:val="restart"/>
                  <w:tcBorders>
                    <w:tl2br w:val="nil"/>
                    <w:tr2bl w:val="nil"/>
                  </w:tcBorders>
                  <w:vAlign w:val="center"/>
                </w:tcPr>
                <w:p w14:paraId="02747ADB">
                  <w:pPr>
                    <w:spacing w:line="230" w:lineRule="exact"/>
                    <w:jc w:val="center"/>
                    <w:rPr>
                      <w:rFonts w:cs="Times New Roman"/>
                      <w:color w:val="auto"/>
                      <w:szCs w:val="21"/>
                      <w:highlight w:val="none"/>
                    </w:rPr>
                  </w:pPr>
                  <w:r>
                    <w:rPr>
                      <w:rFonts w:cs="Times New Roman"/>
                      <w:color w:val="auto"/>
                      <w:szCs w:val="21"/>
                      <w:highlight w:val="none"/>
                    </w:rPr>
                    <w:t>昼间</w:t>
                  </w:r>
                </w:p>
              </w:tc>
              <w:tc>
                <w:tcPr>
                  <w:tcW w:w="417" w:type="pct"/>
                  <w:tcBorders>
                    <w:tl2br w:val="nil"/>
                    <w:tr2bl w:val="nil"/>
                  </w:tcBorders>
                  <w:vAlign w:val="center"/>
                </w:tcPr>
                <w:p w14:paraId="72105F41">
                  <w:pPr>
                    <w:spacing w:line="230" w:lineRule="exact"/>
                    <w:jc w:val="center"/>
                    <w:rPr>
                      <w:rFonts w:cs="Times New Roman"/>
                      <w:color w:val="auto"/>
                      <w:szCs w:val="21"/>
                      <w:highlight w:val="none"/>
                    </w:rPr>
                  </w:pPr>
                  <w:r>
                    <w:rPr>
                      <w:rFonts w:cs="Times New Roman"/>
                      <w:color w:val="auto"/>
                      <w:szCs w:val="21"/>
                      <w:highlight w:val="none"/>
                    </w:rPr>
                    <w:t>20</w:t>
                  </w:r>
                </w:p>
              </w:tc>
              <w:tc>
                <w:tcPr>
                  <w:tcW w:w="315" w:type="pct"/>
                  <w:tcBorders>
                    <w:tl2br w:val="nil"/>
                    <w:tr2bl w:val="nil"/>
                  </w:tcBorders>
                  <w:vAlign w:val="center"/>
                </w:tcPr>
                <w:p w14:paraId="26AAC26D">
                  <w:pPr>
                    <w:spacing w:line="230" w:lineRule="exact"/>
                    <w:jc w:val="center"/>
                    <w:rPr>
                      <w:rFonts w:cs="Times New Roman"/>
                      <w:color w:val="auto"/>
                      <w:szCs w:val="21"/>
                      <w:highlight w:val="none"/>
                    </w:rPr>
                  </w:pPr>
                  <w:r>
                    <w:rPr>
                      <w:rFonts w:hint="eastAsia"/>
                      <w:lang w:val="en-US" w:eastAsia="zh-CN"/>
                    </w:rPr>
                    <w:t>60</w:t>
                  </w:r>
                  <w:r>
                    <w:rPr>
                      <w:rFonts w:hint="eastAsia"/>
                    </w:rPr>
                    <w:t>.98</w:t>
                  </w:r>
                </w:p>
              </w:tc>
              <w:tc>
                <w:tcPr>
                  <w:tcW w:w="355" w:type="pct"/>
                  <w:tcBorders>
                    <w:tl2br w:val="nil"/>
                    <w:tr2bl w:val="nil"/>
                  </w:tcBorders>
                  <w:vAlign w:val="center"/>
                </w:tcPr>
                <w:p w14:paraId="1935B248">
                  <w:pPr>
                    <w:spacing w:line="230" w:lineRule="exact"/>
                    <w:jc w:val="center"/>
                    <w:rPr>
                      <w:rFonts w:cs="Times New Roman"/>
                      <w:color w:val="auto"/>
                      <w:szCs w:val="21"/>
                      <w:highlight w:val="none"/>
                    </w:rPr>
                  </w:pPr>
                  <w:r>
                    <w:rPr>
                      <w:rFonts w:cs="Times New Roman"/>
                      <w:color w:val="auto"/>
                      <w:szCs w:val="21"/>
                      <w:highlight w:val="none"/>
                    </w:rPr>
                    <w:t>1</w:t>
                  </w:r>
                </w:p>
              </w:tc>
            </w:tr>
            <w:tr w14:paraId="0240B01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02" w:hRule="atLeast"/>
                <w:jc w:val="center"/>
              </w:trPr>
              <w:tc>
                <w:tcPr>
                  <w:tcW w:w="298" w:type="pct"/>
                  <w:tcBorders>
                    <w:tl2br w:val="nil"/>
                    <w:tr2bl w:val="nil"/>
                  </w:tcBorders>
                  <w:vAlign w:val="center"/>
                </w:tcPr>
                <w:p w14:paraId="1FC1BB4C">
                  <w:pPr>
                    <w:spacing w:line="230" w:lineRule="exact"/>
                    <w:jc w:val="center"/>
                    <w:rPr>
                      <w:rFonts w:cs="Times New Roman"/>
                      <w:color w:val="auto"/>
                      <w:szCs w:val="21"/>
                      <w:highlight w:val="none"/>
                    </w:rPr>
                  </w:pPr>
                  <w:r>
                    <w:rPr>
                      <w:rFonts w:cs="Times New Roman"/>
                      <w:color w:val="auto"/>
                      <w:szCs w:val="21"/>
                      <w:highlight w:val="none"/>
                    </w:rPr>
                    <w:t>2</w:t>
                  </w:r>
                </w:p>
              </w:tc>
              <w:tc>
                <w:tcPr>
                  <w:tcW w:w="472" w:type="pct"/>
                  <w:tcBorders>
                    <w:tl2br w:val="nil"/>
                    <w:tr2bl w:val="nil"/>
                  </w:tcBorders>
                </w:tcPr>
                <w:p w14:paraId="49EFE62C">
                  <w:pPr>
                    <w:snapToGrid w:val="0"/>
                    <w:spacing w:line="230" w:lineRule="exact"/>
                    <w:jc w:val="center"/>
                    <w:rPr>
                      <w:rFonts w:cs="Times New Roman"/>
                      <w:color w:val="auto"/>
                      <w:szCs w:val="21"/>
                      <w:highlight w:val="none"/>
                    </w:rPr>
                  </w:pPr>
                  <w:r>
                    <w:rPr>
                      <w:rFonts w:cs="Times New Roman"/>
                      <w:color w:val="auto"/>
                      <w:szCs w:val="21"/>
                      <w:highlight w:val="none"/>
                    </w:rPr>
                    <w:t>大切机2</w:t>
                  </w:r>
                </w:p>
              </w:tc>
              <w:tc>
                <w:tcPr>
                  <w:tcW w:w="536" w:type="pct"/>
                  <w:tcBorders>
                    <w:tl2br w:val="nil"/>
                    <w:tr2bl w:val="nil"/>
                  </w:tcBorders>
                </w:tcPr>
                <w:p w14:paraId="28537AC8">
                  <w:pPr>
                    <w:spacing w:line="230" w:lineRule="exact"/>
                    <w:jc w:val="center"/>
                    <w:rPr>
                      <w:rFonts w:cs="Times New Roman"/>
                      <w:color w:val="auto"/>
                      <w:szCs w:val="21"/>
                      <w:highlight w:val="none"/>
                    </w:rPr>
                  </w:pPr>
                  <w:r>
                    <w:rPr>
                      <w:rFonts w:cs="Times New Roman"/>
                      <w:color w:val="auto"/>
                      <w:szCs w:val="21"/>
                      <w:highlight w:val="none"/>
                    </w:rPr>
                    <w:t>/</w:t>
                  </w:r>
                </w:p>
              </w:tc>
              <w:tc>
                <w:tcPr>
                  <w:tcW w:w="354" w:type="pct"/>
                  <w:tcBorders>
                    <w:tl2br w:val="nil"/>
                    <w:tr2bl w:val="nil"/>
                  </w:tcBorders>
                </w:tcPr>
                <w:p w14:paraId="013380F1">
                  <w:pPr>
                    <w:spacing w:line="230" w:lineRule="exact"/>
                    <w:jc w:val="center"/>
                    <w:rPr>
                      <w:rFonts w:hint="default" w:eastAsia="宋体" w:cs="Times New Roman"/>
                      <w:color w:val="auto"/>
                      <w:szCs w:val="21"/>
                      <w:highlight w:val="none"/>
                      <w:lang w:val="en-US" w:eastAsia="zh-CN"/>
                    </w:rPr>
                  </w:pPr>
                  <w:r>
                    <w:rPr>
                      <w:rFonts w:hint="eastAsia" w:cs="Times New Roman"/>
                      <w:color w:val="auto"/>
                      <w:szCs w:val="21"/>
                      <w:highlight w:val="none"/>
                      <w:lang w:val="en-US" w:eastAsia="zh-CN"/>
                    </w:rPr>
                    <w:t>95</w:t>
                  </w:r>
                </w:p>
              </w:tc>
              <w:tc>
                <w:tcPr>
                  <w:tcW w:w="314" w:type="pct"/>
                  <w:vMerge w:val="continue"/>
                  <w:tcBorders>
                    <w:tl2br w:val="nil"/>
                    <w:tr2bl w:val="nil"/>
                  </w:tcBorders>
                  <w:vAlign w:val="center"/>
                </w:tcPr>
                <w:p w14:paraId="0450638F">
                  <w:pPr>
                    <w:spacing w:line="230" w:lineRule="exact"/>
                    <w:jc w:val="center"/>
                    <w:rPr>
                      <w:rFonts w:cs="Times New Roman"/>
                      <w:color w:val="auto"/>
                      <w:szCs w:val="21"/>
                      <w:highlight w:val="none"/>
                    </w:rPr>
                  </w:pPr>
                </w:p>
              </w:tc>
              <w:tc>
                <w:tcPr>
                  <w:tcW w:w="361" w:type="pct"/>
                  <w:tcBorders>
                    <w:tl2br w:val="nil"/>
                    <w:tr2bl w:val="nil"/>
                  </w:tcBorders>
                  <w:vAlign w:val="center"/>
                </w:tcPr>
                <w:p w14:paraId="78384180">
                  <w:pPr>
                    <w:spacing w:line="230" w:lineRule="exact"/>
                    <w:jc w:val="center"/>
                    <w:rPr>
                      <w:rFonts w:cs="Times New Roman"/>
                      <w:color w:val="auto"/>
                      <w:szCs w:val="21"/>
                      <w:highlight w:val="none"/>
                    </w:rPr>
                  </w:pPr>
                  <w:r>
                    <w:rPr>
                      <w:rFonts w:hint="eastAsia"/>
                    </w:rPr>
                    <w:t>108.66</w:t>
                  </w:r>
                </w:p>
              </w:tc>
              <w:tc>
                <w:tcPr>
                  <w:tcW w:w="361" w:type="pct"/>
                  <w:tcBorders>
                    <w:tl2br w:val="nil"/>
                    <w:tr2bl w:val="nil"/>
                  </w:tcBorders>
                  <w:vAlign w:val="center"/>
                </w:tcPr>
                <w:p w14:paraId="6251C7B2">
                  <w:pPr>
                    <w:spacing w:line="230" w:lineRule="exact"/>
                    <w:jc w:val="center"/>
                    <w:rPr>
                      <w:rFonts w:cs="Times New Roman"/>
                      <w:color w:val="auto"/>
                      <w:szCs w:val="21"/>
                      <w:highlight w:val="none"/>
                    </w:rPr>
                  </w:pPr>
                  <w:r>
                    <w:rPr>
                      <w:rFonts w:hint="eastAsia"/>
                    </w:rPr>
                    <w:t>32.54</w:t>
                  </w:r>
                </w:p>
              </w:tc>
              <w:tc>
                <w:tcPr>
                  <w:tcW w:w="383" w:type="pct"/>
                  <w:tcBorders>
                    <w:tl2br w:val="nil"/>
                    <w:tr2bl w:val="nil"/>
                  </w:tcBorders>
                  <w:vAlign w:val="top"/>
                </w:tcPr>
                <w:p w14:paraId="76EE2CF5">
                  <w:pPr>
                    <w:spacing w:line="230" w:lineRule="exact"/>
                    <w:jc w:val="center"/>
                    <w:rPr>
                      <w:rFonts w:cs="Times New Roman"/>
                      <w:color w:val="auto"/>
                      <w:szCs w:val="21"/>
                      <w:highlight w:val="none"/>
                    </w:rPr>
                  </w:pPr>
                  <w:r>
                    <w:rPr>
                      <w:rFonts w:hint="eastAsia"/>
                    </w:rPr>
                    <w:t>1.5</w:t>
                  </w:r>
                </w:p>
              </w:tc>
              <w:tc>
                <w:tcPr>
                  <w:tcW w:w="298" w:type="pct"/>
                  <w:tcBorders>
                    <w:tl2br w:val="nil"/>
                    <w:tr2bl w:val="nil"/>
                  </w:tcBorders>
                  <w:vAlign w:val="top"/>
                </w:tcPr>
                <w:p w14:paraId="151A3ACB">
                  <w:pPr>
                    <w:spacing w:line="230" w:lineRule="exact"/>
                    <w:jc w:val="center"/>
                    <w:rPr>
                      <w:rFonts w:cs="Times New Roman"/>
                      <w:color w:val="auto"/>
                      <w:szCs w:val="21"/>
                      <w:highlight w:val="none"/>
                    </w:rPr>
                  </w:pPr>
                  <w:r>
                    <w:rPr>
                      <w:rFonts w:hint="eastAsia"/>
                      <w:lang w:val="en-US" w:eastAsia="zh-CN"/>
                    </w:rPr>
                    <w:t>3.0</w:t>
                  </w:r>
                </w:p>
              </w:tc>
              <w:tc>
                <w:tcPr>
                  <w:tcW w:w="286" w:type="pct"/>
                  <w:tcBorders>
                    <w:tl2br w:val="nil"/>
                    <w:tr2bl w:val="nil"/>
                  </w:tcBorders>
                  <w:vAlign w:val="top"/>
                </w:tcPr>
                <w:p w14:paraId="79F96E36">
                  <w:pPr>
                    <w:spacing w:line="230" w:lineRule="exact"/>
                    <w:jc w:val="center"/>
                    <w:rPr>
                      <w:rFonts w:cs="Times New Roman"/>
                      <w:color w:val="auto"/>
                      <w:szCs w:val="21"/>
                      <w:highlight w:val="none"/>
                    </w:rPr>
                  </w:pPr>
                  <w:r>
                    <w:rPr>
                      <w:rFonts w:hint="eastAsia"/>
                    </w:rPr>
                    <w:t>80.98</w:t>
                  </w:r>
                </w:p>
              </w:tc>
              <w:tc>
                <w:tcPr>
                  <w:tcW w:w="246" w:type="pct"/>
                  <w:vMerge w:val="continue"/>
                  <w:tcBorders>
                    <w:tl2br w:val="nil"/>
                    <w:tr2bl w:val="nil"/>
                  </w:tcBorders>
                  <w:vAlign w:val="center"/>
                </w:tcPr>
                <w:p w14:paraId="7121CA73">
                  <w:pPr>
                    <w:spacing w:line="230" w:lineRule="exact"/>
                    <w:jc w:val="center"/>
                    <w:rPr>
                      <w:rFonts w:cs="Times New Roman"/>
                      <w:color w:val="auto"/>
                      <w:szCs w:val="21"/>
                      <w:highlight w:val="none"/>
                    </w:rPr>
                  </w:pPr>
                </w:p>
              </w:tc>
              <w:tc>
                <w:tcPr>
                  <w:tcW w:w="417" w:type="pct"/>
                  <w:tcBorders>
                    <w:tl2br w:val="nil"/>
                    <w:tr2bl w:val="nil"/>
                  </w:tcBorders>
                </w:tcPr>
                <w:p w14:paraId="68764190">
                  <w:pPr>
                    <w:spacing w:line="230" w:lineRule="exact"/>
                    <w:jc w:val="center"/>
                    <w:rPr>
                      <w:rFonts w:cs="Times New Roman"/>
                      <w:color w:val="auto"/>
                      <w:szCs w:val="21"/>
                      <w:highlight w:val="none"/>
                    </w:rPr>
                  </w:pPr>
                  <w:r>
                    <w:rPr>
                      <w:rFonts w:cs="Times New Roman"/>
                      <w:color w:val="auto"/>
                      <w:szCs w:val="21"/>
                      <w:highlight w:val="none"/>
                    </w:rPr>
                    <w:t>20</w:t>
                  </w:r>
                </w:p>
              </w:tc>
              <w:tc>
                <w:tcPr>
                  <w:tcW w:w="315" w:type="pct"/>
                  <w:tcBorders>
                    <w:tl2br w:val="nil"/>
                    <w:tr2bl w:val="nil"/>
                  </w:tcBorders>
                  <w:vAlign w:val="center"/>
                </w:tcPr>
                <w:p w14:paraId="0998E49F">
                  <w:pPr>
                    <w:spacing w:line="230" w:lineRule="exact"/>
                    <w:jc w:val="center"/>
                    <w:rPr>
                      <w:rFonts w:cs="Times New Roman"/>
                      <w:color w:val="auto"/>
                      <w:szCs w:val="21"/>
                      <w:highlight w:val="none"/>
                    </w:rPr>
                  </w:pPr>
                  <w:r>
                    <w:rPr>
                      <w:rFonts w:hint="eastAsia"/>
                      <w:lang w:val="en-US" w:eastAsia="zh-CN"/>
                    </w:rPr>
                    <w:t>60</w:t>
                  </w:r>
                  <w:r>
                    <w:rPr>
                      <w:rFonts w:hint="eastAsia"/>
                    </w:rPr>
                    <w:t>.98</w:t>
                  </w:r>
                </w:p>
              </w:tc>
              <w:tc>
                <w:tcPr>
                  <w:tcW w:w="355" w:type="pct"/>
                  <w:tcBorders>
                    <w:tl2br w:val="nil"/>
                    <w:tr2bl w:val="nil"/>
                  </w:tcBorders>
                </w:tcPr>
                <w:p w14:paraId="1F462BCB">
                  <w:pPr>
                    <w:spacing w:line="230" w:lineRule="exact"/>
                    <w:jc w:val="center"/>
                    <w:rPr>
                      <w:rFonts w:cs="Times New Roman"/>
                      <w:color w:val="auto"/>
                      <w:szCs w:val="21"/>
                      <w:highlight w:val="none"/>
                    </w:rPr>
                  </w:pPr>
                  <w:r>
                    <w:rPr>
                      <w:rFonts w:cs="Times New Roman"/>
                      <w:color w:val="auto"/>
                      <w:szCs w:val="21"/>
                      <w:highlight w:val="none"/>
                    </w:rPr>
                    <w:t>1</w:t>
                  </w:r>
                </w:p>
              </w:tc>
            </w:tr>
            <w:tr w14:paraId="094C22A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02" w:hRule="atLeast"/>
                <w:jc w:val="center"/>
              </w:trPr>
              <w:tc>
                <w:tcPr>
                  <w:tcW w:w="298" w:type="pct"/>
                  <w:tcBorders>
                    <w:tl2br w:val="nil"/>
                    <w:tr2bl w:val="nil"/>
                  </w:tcBorders>
                  <w:vAlign w:val="center"/>
                </w:tcPr>
                <w:p w14:paraId="28A8B2B5">
                  <w:pPr>
                    <w:spacing w:line="230" w:lineRule="exact"/>
                    <w:jc w:val="center"/>
                    <w:rPr>
                      <w:rFonts w:cs="Times New Roman"/>
                      <w:color w:val="auto"/>
                      <w:szCs w:val="21"/>
                      <w:highlight w:val="none"/>
                    </w:rPr>
                  </w:pPr>
                  <w:r>
                    <w:rPr>
                      <w:rFonts w:cs="Times New Roman"/>
                      <w:color w:val="auto"/>
                      <w:szCs w:val="21"/>
                      <w:highlight w:val="none"/>
                    </w:rPr>
                    <w:t>3</w:t>
                  </w:r>
                </w:p>
              </w:tc>
              <w:tc>
                <w:tcPr>
                  <w:tcW w:w="472" w:type="pct"/>
                  <w:tcBorders>
                    <w:tl2br w:val="nil"/>
                    <w:tr2bl w:val="nil"/>
                  </w:tcBorders>
                </w:tcPr>
                <w:p w14:paraId="756C8F0B">
                  <w:pPr>
                    <w:snapToGrid w:val="0"/>
                    <w:spacing w:line="230" w:lineRule="exact"/>
                    <w:jc w:val="center"/>
                    <w:rPr>
                      <w:rFonts w:cs="Times New Roman"/>
                      <w:color w:val="auto"/>
                      <w:szCs w:val="21"/>
                      <w:highlight w:val="none"/>
                    </w:rPr>
                  </w:pPr>
                  <w:r>
                    <w:rPr>
                      <w:rFonts w:cs="Times New Roman"/>
                      <w:color w:val="auto"/>
                      <w:szCs w:val="21"/>
                      <w:highlight w:val="none"/>
                    </w:rPr>
                    <w:t>大切机3</w:t>
                  </w:r>
                </w:p>
              </w:tc>
              <w:tc>
                <w:tcPr>
                  <w:tcW w:w="536" w:type="pct"/>
                  <w:tcBorders>
                    <w:tl2br w:val="nil"/>
                    <w:tr2bl w:val="nil"/>
                  </w:tcBorders>
                </w:tcPr>
                <w:p w14:paraId="4A847D10">
                  <w:pPr>
                    <w:spacing w:line="230" w:lineRule="exact"/>
                    <w:jc w:val="center"/>
                    <w:rPr>
                      <w:rFonts w:cs="Times New Roman"/>
                      <w:color w:val="auto"/>
                      <w:szCs w:val="21"/>
                      <w:highlight w:val="none"/>
                    </w:rPr>
                  </w:pPr>
                  <w:r>
                    <w:rPr>
                      <w:rFonts w:cs="Times New Roman"/>
                      <w:color w:val="auto"/>
                      <w:szCs w:val="21"/>
                      <w:highlight w:val="none"/>
                    </w:rPr>
                    <w:t>/</w:t>
                  </w:r>
                </w:p>
              </w:tc>
              <w:tc>
                <w:tcPr>
                  <w:tcW w:w="354" w:type="pct"/>
                  <w:tcBorders>
                    <w:tl2br w:val="nil"/>
                    <w:tr2bl w:val="nil"/>
                  </w:tcBorders>
                </w:tcPr>
                <w:p w14:paraId="3F65A260">
                  <w:pPr>
                    <w:spacing w:line="230" w:lineRule="exact"/>
                    <w:jc w:val="center"/>
                    <w:rPr>
                      <w:rFonts w:hint="default" w:eastAsia="宋体" w:cs="Times New Roman"/>
                      <w:color w:val="auto"/>
                      <w:szCs w:val="21"/>
                      <w:highlight w:val="none"/>
                      <w:lang w:val="en-US" w:eastAsia="zh-CN"/>
                    </w:rPr>
                  </w:pPr>
                  <w:r>
                    <w:rPr>
                      <w:rFonts w:hint="eastAsia" w:cs="Times New Roman"/>
                      <w:color w:val="auto"/>
                      <w:szCs w:val="21"/>
                      <w:highlight w:val="none"/>
                      <w:lang w:val="en-US" w:eastAsia="zh-CN"/>
                    </w:rPr>
                    <w:t>95</w:t>
                  </w:r>
                </w:p>
              </w:tc>
              <w:tc>
                <w:tcPr>
                  <w:tcW w:w="314" w:type="pct"/>
                  <w:vMerge w:val="continue"/>
                  <w:tcBorders>
                    <w:tl2br w:val="nil"/>
                    <w:tr2bl w:val="nil"/>
                  </w:tcBorders>
                  <w:vAlign w:val="center"/>
                </w:tcPr>
                <w:p w14:paraId="482AFB35">
                  <w:pPr>
                    <w:spacing w:line="230" w:lineRule="exact"/>
                    <w:jc w:val="center"/>
                    <w:rPr>
                      <w:rFonts w:cs="Times New Roman"/>
                      <w:color w:val="auto"/>
                      <w:szCs w:val="21"/>
                      <w:highlight w:val="none"/>
                    </w:rPr>
                  </w:pPr>
                </w:p>
              </w:tc>
              <w:tc>
                <w:tcPr>
                  <w:tcW w:w="361" w:type="pct"/>
                  <w:tcBorders>
                    <w:tl2br w:val="nil"/>
                    <w:tr2bl w:val="nil"/>
                  </w:tcBorders>
                  <w:vAlign w:val="center"/>
                </w:tcPr>
                <w:p w14:paraId="6C407410">
                  <w:pPr>
                    <w:spacing w:line="230" w:lineRule="exact"/>
                    <w:jc w:val="center"/>
                    <w:rPr>
                      <w:rFonts w:cs="Times New Roman"/>
                      <w:color w:val="auto"/>
                      <w:szCs w:val="21"/>
                      <w:highlight w:val="none"/>
                    </w:rPr>
                  </w:pPr>
                  <w:r>
                    <w:rPr>
                      <w:rFonts w:hint="eastAsia"/>
                    </w:rPr>
                    <w:t>109</w:t>
                  </w:r>
                </w:p>
              </w:tc>
              <w:tc>
                <w:tcPr>
                  <w:tcW w:w="361" w:type="pct"/>
                  <w:tcBorders>
                    <w:tl2br w:val="nil"/>
                    <w:tr2bl w:val="nil"/>
                  </w:tcBorders>
                  <w:vAlign w:val="center"/>
                </w:tcPr>
                <w:p w14:paraId="12223A3F">
                  <w:pPr>
                    <w:spacing w:line="230" w:lineRule="exact"/>
                    <w:jc w:val="center"/>
                    <w:rPr>
                      <w:rFonts w:cs="Times New Roman"/>
                      <w:color w:val="auto"/>
                      <w:szCs w:val="21"/>
                      <w:highlight w:val="none"/>
                    </w:rPr>
                  </w:pPr>
                  <w:r>
                    <w:rPr>
                      <w:rFonts w:hint="eastAsia"/>
                    </w:rPr>
                    <w:t>26.26</w:t>
                  </w:r>
                </w:p>
              </w:tc>
              <w:tc>
                <w:tcPr>
                  <w:tcW w:w="383" w:type="pct"/>
                  <w:tcBorders>
                    <w:tl2br w:val="nil"/>
                    <w:tr2bl w:val="nil"/>
                  </w:tcBorders>
                  <w:vAlign w:val="top"/>
                </w:tcPr>
                <w:p w14:paraId="5F281C29">
                  <w:pPr>
                    <w:spacing w:line="230" w:lineRule="exact"/>
                    <w:jc w:val="center"/>
                    <w:rPr>
                      <w:rFonts w:cs="Times New Roman"/>
                      <w:color w:val="auto"/>
                      <w:szCs w:val="21"/>
                      <w:highlight w:val="none"/>
                    </w:rPr>
                  </w:pPr>
                  <w:r>
                    <w:rPr>
                      <w:rFonts w:hint="eastAsia"/>
                    </w:rPr>
                    <w:t>1.5</w:t>
                  </w:r>
                </w:p>
              </w:tc>
              <w:tc>
                <w:tcPr>
                  <w:tcW w:w="298" w:type="pct"/>
                  <w:tcBorders>
                    <w:tl2br w:val="nil"/>
                    <w:tr2bl w:val="nil"/>
                  </w:tcBorders>
                  <w:vAlign w:val="top"/>
                </w:tcPr>
                <w:p w14:paraId="2CFEBF26">
                  <w:pPr>
                    <w:spacing w:line="230" w:lineRule="exact"/>
                    <w:jc w:val="center"/>
                    <w:rPr>
                      <w:rFonts w:cs="Times New Roman"/>
                      <w:color w:val="auto"/>
                      <w:szCs w:val="21"/>
                      <w:highlight w:val="none"/>
                    </w:rPr>
                  </w:pPr>
                  <w:r>
                    <w:rPr>
                      <w:rFonts w:hint="eastAsia"/>
                    </w:rPr>
                    <w:t>2.</w:t>
                  </w:r>
                  <w:r>
                    <w:rPr>
                      <w:rFonts w:hint="eastAsia"/>
                      <w:lang w:val="en-US" w:eastAsia="zh-CN"/>
                    </w:rPr>
                    <w:t>6</w:t>
                  </w:r>
                </w:p>
              </w:tc>
              <w:tc>
                <w:tcPr>
                  <w:tcW w:w="286" w:type="pct"/>
                  <w:tcBorders>
                    <w:tl2br w:val="nil"/>
                    <w:tr2bl w:val="nil"/>
                  </w:tcBorders>
                  <w:vAlign w:val="top"/>
                </w:tcPr>
                <w:p w14:paraId="599C48A3">
                  <w:pPr>
                    <w:spacing w:line="230" w:lineRule="exact"/>
                    <w:jc w:val="center"/>
                    <w:rPr>
                      <w:rFonts w:cs="Times New Roman"/>
                      <w:color w:val="auto"/>
                      <w:szCs w:val="21"/>
                      <w:highlight w:val="none"/>
                    </w:rPr>
                  </w:pPr>
                  <w:r>
                    <w:rPr>
                      <w:rFonts w:hint="eastAsia"/>
                    </w:rPr>
                    <w:t>81.26</w:t>
                  </w:r>
                </w:p>
              </w:tc>
              <w:tc>
                <w:tcPr>
                  <w:tcW w:w="246" w:type="pct"/>
                  <w:vMerge w:val="continue"/>
                  <w:tcBorders>
                    <w:tl2br w:val="nil"/>
                    <w:tr2bl w:val="nil"/>
                  </w:tcBorders>
                  <w:vAlign w:val="center"/>
                </w:tcPr>
                <w:p w14:paraId="7580B2A8">
                  <w:pPr>
                    <w:spacing w:line="230" w:lineRule="exact"/>
                    <w:jc w:val="center"/>
                    <w:rPr>
                      <w:rFonts w:cs="Times New Roman"/>
                      <w:color w:val="auto"/>
                      <w:szCs w:val="21"/>
                      <w:highlight w:val="none"/>
                    </w:rPr>
                  </w:pPr>
                </w:p>
              </w:tc>
              <w:tc>
                <w:tcPr>
                  <w:tcW w:w="417" w:type="pct"/>
                  <w:tcBorders>
                    <w:tl2br w:val="nil"/>
                    <w:tr2bl w:val="nil"/>
                  </w:tcBorders>
                </w:tcPr>
                <w:p w14:paraId="1C8F7735">
                  <w:pPr>
                    <w:spacing w:line="230" w:lineRule="exact"/>
                    <w:jc w:val="center"/>
                    <w:rPr>
                      <w:rFonts w:cs="Times New Roman"/>
                      <w:color w:val="auto"/>
                      <w:szCs w:val="21"/>
                      <w:highlight w:val="none"/>
                    </w:rPr>
                  </w:pPr>
                  <w:r>
                    <w:rPr>
                      <w:rFonts w:cs="Times New Roman"/>
                      <w:color w:val="auto"/>
                      <w:szCs w:val="21"/>
                      <w:highlight w:val="none"/>
                    </w:rPr>
                    <w:t>20</w:t>
                  </w:r>
                </w:p>
              </w:tc>
              <w:tc>
                <w:tcPr>
                  <w:tcW w:w="315" w:type="pct"/>
                  <w:tcBorders>
                    <w:tl2br w:val="nil"/>
                    <w:tr2bl w:val="nil"/>
                  </w:tcBorders>
                  <w:vAlign w:val="center"/>
                </w:tcPr>
                <w:p w14:paraId="17CE1438">
                  <w:pPr>
                    <w:spacing w:line="230" w:lineRule="exact"/>
                    <w:jc w:val="center"/>
                    <w:rPr>
                      <w:rFonts w:cs="Times New Roman"/>
                      <w:color w:val="auto"/>
                      <w:szCs w:val="21"/>
                      <w:highlight w:val="none"/>
                    </w:rPr>
                  </w:pPr>
                  <w:r>
                    <w:rPr>
                      <w:rFonts w:hint="eastAsia"/>
                    </w:rPr>
                    <w:t>6</w:t>
                  </w:r>
                  <w:r>
                    <w:rPr>
                      <w:rFonts w:hint="eastAsia"/>
                      <w:lang w:val="en-US" w:eastAsia="zh-CN"/>
                    </w:rPr>
                    <w:t>1</w:t>
                  </w:r>
                  <w:r>
                    <w:rPr>
                      <w:rFonts w:hint="eastAsia"/>
                    </w:rPr>
                    <w:t>.26</w:t>
                  </w:r>
                </w:p>
              </w:tc>
              <w:tc>
                <w:tcPr>
                  <w:tcW w:w="355" w:type="pct"/>
                  <w:tcBorders>
                    <w:tl2br w:val="nil"/>
                    <w:tr2bl w:val="nil"/>
                  </w:tcBorders>
                </w:tcPr>
                <w:p w14:paraId="42576360">
                  <w:pPr>
                    <w:spacing w:line="230" w:lineRule="exact"/>
                    <w:jc w:val="center"/>
                    <w:rPr>
                      <w:rFonts w:cs="Times New Roman"/>
                      <w:color w:val="auto"/>
                      <w:szCs w:val="21"/>
                      <w:highlight w:val="none"/>
                    </w:rPr>
                  </w:pPr>
                  <w:r>
                    <w:rPr>
                      <w:rFonts w:cs="Times New Roman"/>
                      <w:color w:val="auto"/>
                      <w:szCs w:val="21"/>
                      <w:highlight w:val="none"/>
                    </w:rPr>
                    <w:t>1</w:t>
                  </w:r>
                </w:p>
              </w:tc>
            </w:tr>
            <w:tr w14:paraId="6C19070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02" w:hRule="atLeast"/>
                <w:jc w:val="center"/>
              </w:trPr>
              <w:tc>
                <w:tcPr>
                  <w:tcW w:w="298" w:type="pct"/>
                  <w:tcBorders>
                    <w:tl2br w:val="nil"/>
                    <w:tr2bl w:val="nil"/>
                  </w:tcBorders>
                  <w:vAlign w:val="center"/>
                </w:tcPr>
                <w:p w14:paraId="507E1C0B">
                  <w:pPr>
                    <w:spacing w:line="230" w:lineRule="exact"/>
                    <w:jc w:val="center"/>
                    <w:rPr>
                      <w:rFonts w:cs="Times New Roman"/>
                      <w:color w:val="auto"/>
                      <w:szCs w:val="21"/>
                      <w:highlight w:val="none"/>
                    </w:rPr>
                  </w:pPr>
                  <w:r>
                    <w:rPr>
                      <w:rFonts w:cs="Times New Roman"/>
                      <w:color w:val="auto"/>
                      <w:szCs w:val="21"/>
                      <w:highlight w:val="none"/>
                    </w:rPr>
                    <w:t>4</w:t>
                  </w:r>
                </w:p>
              </w:tc>
              <w:tc>
                <w:tcPr>
                  <w:tcW w:w="472" w:type="pct"/>
                  <w:tcBorders>
                    <w:tl2br w:val="nil"/>
                    <w:tr2bl w:val="nil"/>
                  </w:tcBorders>
                </w:tcPr>
                <w:p w14:paraId="0E484376">
                  <w:pPr>
                    <w:snapToGrid w:val="0"/>
                    <w:spacing w:line="230" w:lineRule="exact"/>
                    <w:jc w:val="center"/>
                    <w:rPr>
                      <w:rFonts w:cs="Times New Roman"/>
                      <w:color w:val="auto"/>
                      <w:szCs w:val="21"/>
                      <w:highlight w:val="none"/>
                    </w:rPr>
                  </w:pPr>
                  <w:r>
                    <w:rPr>
                      <w:rFonts w:cs="Times New Roman"/>
                      <w:color w:val="auto"/>
                      <w:szCs w:val="21"/>
                      <w:highlight w:val="none"/>
                    </w:rPr>
                    <w:t>大切机4</w:t>
                  </w:r>
                </w:p>
              </w:tc>
              <w:tc>
                <w:tcPr>
                  <w:tcW w:w="536" w:type="pct"/>
                  <w:tcBorders>
                    <w:tl2br w:val="nil"/>
                    <w:tr2bl w:val="nil"/>
                  </w:tcBorders>
                </w:tcPr>
                <w:p w14:paraId="6D17F77D">
                  <w:pPr>
                    <w:spacing w:line="230" w:lineRule="exact"/>
                    <w:jc w:val="center"/>
                    <w:rPr>
                      <w:rFonts w:cs="Times New Roman"/>
                      <w:color w:val="auto"/>
                      <w:szCs w:val="21"/>
                      <w:highlight w:val="none"/>
                    </w:rPr>
                  </w:pPr>
                  <w:r>
                    <w:rPr>
                      <w:rFonts w:cs="Times New Roman"/>
                      <w:color w:val="auto"/>
                      <w:szCs w:val="21"/>
                      <w:highlight w:val="none"/>
                    </w:rPr>
                    <w:t>/</w:t>
                  </w:r>
                </w:p>
              </w:tc>
              <w:tc>
                <w:tcPr>
                  <w:tcW w:w="354" w:type="pct"/>
                  <w:tcBorders>
                    <w:tl2br w:val="nil"/>
                    <w:tr2bl w:val="nil"/>
                  </w:tcBorders>
                </w:tcPr>
                <w:p w14:paraId="5DF9D2EE">
                  <w:pPr>
                    <w:spacing w:line="230" w:lineRule="exact"/>
                    <w:jc w:val="center"/>
                    <w:rPr>
                      <w:rFonts w:hint="default" w:eastAsia="宋体" w:cs="Times New Roman"/>
                      <w:color w:val="auto"/>
                      <w:szCs w:val="21"/>
                      <w:highlight w:val="none"/>
                      <w:lang w:val="en-US" w:eastAsia="zh-CN"/>
                    </w:rPr>
                  </w:pPr>
                  <w:r>
                    <w:rPr>
                      <w:rFonts w:hint="eastAsia" w:cs="Times New Roman"/>
                      <w:color w:val="auto"/>
                      <w:szCs w:val="21"/>
                      <w:highlight w:val="none"/>
                      <w:lang w:val="en-US" w:eastAsia="zh-CN"/>
                    </w:rPr>
                    <w:t>95</w:t>
                  </w:r>
                </w:p>
              </w:tc>
              <w:tc>
                <w:tcPr>
                  <w:tcW w:w="314" w:type="pct"/>
                  <w:vMerge w:val="continue"/>
                  <w:tcBorders>
                    <w:tl2br w:val="nil"/>
                    <w:tr2bl w:val="nil"/>
                  </w:tcBorders>
                  <w:vAlign w:val="center"/>
                </w:tcPr>
                <w:p w14:paraId="38A8DA2C">
                  <w:pPr>
                    <w:spacing w:line="230" w:lineRule="exact"/>
                    <w:jc w:val="center"/>
                    <w:rPr>
                      <w:rFonts w:cs="Times New Roman"/>
                      <w:color w:val="auto"/>
                      <w:szCs w:val="21"/>
                      <w:highlight w:val="none"/>
                    </w:rPr>
                  </w:pPr>
                </w:p>
              </w:tc>
              <w:tc>
                <w:tcPr>
                  <w:tcW w:w="361" w:type="pct"/>
                  <w:tcBorders>
                    <w:tl2br w:val="nil"/>
                    <w:tr2bl w:val="nil"/>
                  </w:tcBorders>
                  <w:vAlign w:val="center"/>
                </w:tcPr>
                <w:p w14:paraId="755ED297">
                  <w:pPr>
                    <w:spacing w:line="230" w:lineRule="exact"/>
                    <w:jc w:val="center"/>
                    <w:rPr>
                      <w:rFonts w:cs="Times New Roman"/>
                      <w:color w:val="auto"/>
                      <w:szCs w:val="21"/>
                      <w:highlight w:val="none"/>
                    </w:rPr>
                  </w:pPr>
                  <w:r>
                    <w:rPr>
                      <w:rFonts w:hint="eastAsia"/>
                    </w:rPr>
                    <w:t>108.98</w:t>
                  </w:r>
                </w:p>
              </w:tc>
              <w:tc>
                <w:tcPr>
                  <w:tcW w:w="361" w:type="pct"/>
                  <w:tcBorders>
                    <w:tl2br w:val="nil"/>
                    <w:tr2bl w:val="nil"/>
                  </w:tcBorders>
                  <w:vAlign w:val="center"/>
                </w:tcPr>
                <w:p w14:paraId="475E6294">
                  <w:pPr>
                    <w:spacing w:line="230" w:lineRule="exact"/>
                    <w:jc w:val="center"/>
                    <w:rPr>
                      <w:rFonts w:cs="Times New Roman"/>
                      <w:color w:val="auto"/>
                      <w:szCs w:val="21"/>
                      <w:highlight w:val="none"/>
                    </w:rPr>
                  </w:pPr>
                  <w:r>
                    <w:rPr>
                      <w:rFonts w:hint="eastAsia"/>
                    </w:rPr>
                    <w:t>19.24</w:t>
                  </w:r>
                </w:p>
              </w:tc>
              <w:tc>
                <w:tcPr>
                  <w:tcW w:w="383" w:type="pct"/>
                  <w:tcBorders>
                    <w:tl2br w:val="nil"/>
                    <w:tr2bl w:val="nil"/>
                  </w:tcBorders>
                  <w:vAlign w:val="top"/>
                </w:tcPr>
                <w:p w14:paraId="26F89D05">
                  <w:pPr>
                    <w:spacing w:line="230" w:lineRule="exact"/>
                    <w:jc w:val="center"/>
                    <w:rPr>
                      <w:rFonts w:cs="Times New Roman"/>
                      <w:color w:val="auto"/>
                      <w:szCs w:val="21"/>
                      <w:highlight w:val="none"/>
                    </w:rPr>
                  </w:pPr>
                  <w:r>
                    <w:rPr>
                      <w:rFonts w:hint="eastAsia"/>
                    </w:rPr>
                    <w:t>1.5</w:t>
                  </w:r>
                </w:p>
              </w:tc>
              <w:tc>
                <w:tcPr>
                  <w:tcW w:w="298" w:type="pct"/>
                  <w:tcBorders>
                    <w:tl2br w:val="nil"/>
                    <w:tr2bl w:val="nil"/>
                  </w:tcBorders>
                  <w:vAlign w:val="top"/>
                </w:tcPr>
                <w:p w14:paraId="4A5A952D">
                  <w:pPr>
                    <w:spacing w:line="230" w:lineRule="exact"/>
                    <w:jc w:val="center"/>
                    <w:rPr>
                      <w:rFonts w:cs="Times New Roman"/>
                      <w:color w:val="auto"/>
                      <w:szCs w:val="21"/>
                      <w:highlight w:val="none"/>
                    </w:rPr>
                  </w:pPr>
                  <w:r>
                    <w:rPr>
                      <w:rFonts w:hint="eastAsia"/>
                    </w:rPr>
                    <w:t>2.</w:t>
                  </w:r>
                  <w:r>
                    <w:rPr>
                      <w:rFonts w:hint="eastAsia"/>
                      <w:lang w:val="en-US" w:eastAsia="zh-CN"/>
                    </w:rPr>
                    <w:t>6</w:t>
                  </w:r>
                </w:p>
              </w:tc>
              <w:tc>
                <w:tcPr>
                  <w:tcW w:w="286" w:type="pct"/>
                  <w:tcBorders>
                    <w:tl2br w:val="nil"/>
                    <w:tr2bl w:val="nil"/>
                  </w:tcBorders>
                  <w:vAlign w:val="top"/>
                </w:tcPr>
                <w:p w14:paraId="0FE21090">
                  <w:pPr>
                    <w:spacing w:line="230" w:lineRule="exact"/>
                    <w:jc w:val="center"/>
                    <w:rPr>
                      <w:rFonts w:cs="Times New Roman"/>
                      <w:color w:val="auto"/>
                      <w:szCs w:val="21"/>
                      <w:highlight w:val="none"/>
                    </w:rPr>
                  </w:pPr>
                  <w:r>
                    <w:rPr>
                      <w:rFonts w:hint="eastAsia"/>
                    </w:rPr>
                    <w:t>81.27</w:t>
                  </w:r>
                </w:p>
              </w:tc>
              <w:tc>
                <w:tcPr>
                  <w:tcW w:w="246" w:type="pct"/>
                  <w:vMerge w:val="continue"/>
                  <w:tcBorders>
                    <w:tl2br w:val="nil"/>
                    <w:tr2bl w:val="nil"/>
                  </w:tcBorders>
                  <w:vAlign w:val="center"/>
                </w:tcPr>
                <w:p w14:paraId="5D105D04">
                  <w:pPr>
                    <w:spacing w:line="230" w:lineRule="exact"/>
                    <w:jc w:val="center"/>
                    <w:rPr>
                      <w:rFonts w:cs="Times New Roman"/>
                      <w:color w:val="auto"/>
                      <w:szCs w:val="21"/>
                      <w:highlight w:val="none"/>
                    </w:rPr>
                  </w:pPr>
                </w:p>
              </w:tc>
              <w:tc>
                <w:tcPr>
                  <w:tcW w:w="417" w:type="pct"/>
                  <w:tcBorders>
                    <w:tl2br w:val="nil"/>
                    <w:tr2bl w:val="nil"/>
                  </w:tcBorders>
                </w:tcPr>
                <w:p w14:paraId="2E61F1B9">
                  <w:pPr>
                    <w:spacing w:line="230" w:lineRule="exact"/>
                    <w:jc w:val="center"/>
                    <w:rPr>
                      <w:rFonts w:cs="Times New Roman"/>
                      <w:color w:val="auto"/>
                      <w:szCs w:val="21"/>
                      <w:highlight w:val="none"/>
                    </w:rPr>
                  </w:pPr>
                  <w:r>
                    <w:rPr>
                      <w:rFonts w:cs="Times New Roman"/>
                      <w:color w:val="auto"/>
                      <w:szCs w:val="21"/>
                      <w:highlight w:val="none"/>
                    </w:rPr>
                    <w:t>20</w:t>
                  </w:r>
                </w:p>
              </w:tc>
              <w:tc>
                <w:tcPr>
                  <w:tcW w:w="315" w:type="pct"/>
                  <w:tcBorders>
                    <w:tl2br w:val="nil"/>
                    <w:tr2bl w:val="nil"/>
                  </w:tcBorders>
                  <w:vAlign w:val="center"/>
                </w:tcPr>
                <w:p w14:paraId="192B9AD7">
                  <w:pPr>
                    <w:spacing w:line="230" w:lineRule="exact"/>
                    <w:jc w:val="center"/>
                    <w:rPr>
                      <w:rFonts w:cs="Times New Roman"/>
                      <w:color w:val="auto"/>
                      <w:szCs w:val="21"/>
                      <w:highlight w:val="none"/>
                    </w:rPr>
                  </w:pPr>
                  <w:r>
                    <w:rPr>
                      <w:rFonts w:hint="eastAsia"/>
                    </w:rPr>
                    <w:t>6</w:t>
                  </w:r>
                  <w:r>
                    <w:rPr>
                      <w:rFonts w:hint="eastAsia"/>
                      <w:lang w:val="en-US" w:eastAsia="zh-CN"/>
                    </w:rPr>
                    <w:t>1</w:t>
                  </w:r>
                  <w:r>
                    <w:rPr>
                      <w:rFonts w:hint="eastAsia"/>
                    </w:rPr>
                    <w:t>.27</w:t>
                  </w:r>
                </w:p>
              </w:tc>
              <w:tc>
                <w:tcPr>
                  <w:tcW w:w="355" w:type="pct"/>
                  <w:tcBorders>
                    <w:tl2br w:val="nil"/>
                    <w:tr2bl w:val="nil"/>
                  </w:tcBorders>
                </w:tcPr>
                <w:p w14:paraId="2CE3D912">
                  <w:pPr>
                    <w:spacing w:line="230" w:lineRule="exact"/>
                    <w:jc w:val="center"/>
                    <w:rPr>
                      <w:rFonts w:cs="Times New Roman"/>
                      <w:color w:val="auto"/>
                      <w:szCs w:val="21"/>
                      <w:highlight w:val="none"/>
                    </w:rPr>
                  </w:pPr>
                  <w:r>
                    <w:rPr>
                      <w:rFonts w:cs="Times New Roman"/>
                      <w:color w:val="auto"/>
                      <w:szCs w:val="21"/>
                      <w:highlight w:val="none"/>
                    </w:rPr>
                    <w:t>1</w:t>
                  </w:r>
                </w:p>
              </w:tc>
            </w:tr>
            <w:tr w14:paraId="10E272C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02" w:hRule="atLeast"/>
                <w:jc w:val="center"/>
              </w:trPr>
              <w:tc>
                <w:tcPr>
                  <w:tcW w:w="298" w:type="pct"/>
                  <w:tcBorders>
                    <w:tl2br w:val="nil"/>
                    <w:tr2bl w:val="nil"/>
                  </w:tcBorders>
                  <w:vAlign w:val="center"/>
                </w:tcPr>
                <w:p w14:paraId="614E67D6">
                  <w:pPr>
                    <w:spacing w:line="230" w:lineRule="exact"/>
                    <w:jc w:val="center"/>
                    <w:rPr>
                      <w:rFonts w:cs="Times New Roman"/>
                      <w:color w:val="auto"/>
                      <w:szCs w:val="21"/>
                      <w:highlight w:val="none"/>
                    </w:rPr>
                  </w:pPr>
                  <w:r>
                    <w:rPr>
                      <w:rFonts w:cs="Times New Roman"/>
                      <w:color w:val="auto"/>
                      <w:szCs w:val="21"/>
                      <w:highlight w:val="none"/>
                    </w:rPr>
                    <w:t>5</w:t>
                  </w:r>
                </w:p>
              </w:tc>
              <w:tc>
                <w:tcPr>
                  <w:tcW w:w="472" w:type="pct"/>
                  <w:tcBorders>
                    <w:tl2br w:val="nil"/>
                    <w:tr2bl w:val="nil"/>
                  </w:tcBorders>
                </w:tcPr>
                <w:p w14:paraId="282C4658">
                  <w:pPr>
                    <w:snapToGrid w:val="0"/>
                    <w:spacing w:line="230" w:lineRule="exact"/>
                    <w:jc w:val="center"/>
                    <w:rPr>
                      <w:rFonts w:cs="Times New Roman"/>
                      <w:color w:val="auto"/>
                      <w:szCs w:val="21"/>
                      <w:highlight w:val="none"/>
                    </w:rPr>
                  </w:pPr>
                  <w:r>
                    <w:rPr>
                      <w:rFonts w:cs="Times New Roman"/>
                      <w:color w:val="auto"/>
                      <w:szCs w:val="21"/>
                      <w:highlight w:val="none"/>
                    </w:rPr>
                    <w:t>大切机5</w:t>
                  </w:r>
                </w:p>
              </w:tc>
              <w:tc>
                <w:tcPr>
                  <w:tcW w:w="536" w:type="pct"/>
                  <w:tcBorders>
                    <w:tl2br w:val="nil"/>
                    <w:tr2bl w:val="nil"/>
                  </w:tcBorders>
                </w:tcPr>
                <w:p w14:paraId="691CC866">
                  <w:pPr>
                    <w:spacing w:line="230" w:lineRule="exact"/>
                    <w:jc w:val="center"/>
                    <w:rPr>
                      <w:rFonts w:cs="Times New Roman"/>
                      <w:color w:val="auto"/>
                      <w:szCs w:val="21"/>
                      <w:highlight w:val="none"/>
                    </w:rPr>
                  </w:pPr>
                  <w:r>
                    <w:rPr>
                      <w:rFonts w:cs="Times New Roman"/>
                      <w:color w:val="auto"/>
                      <w:szCs w:val="21"/>
                      <w:highlight w:val="none"/>
                    </w:rPr>
                    <w:t>/</w:t>
                  </w:r>
                </w:p>
              </w:tc>
              <w:tc>
                <w:tcPr>
                  <w:tcW w:w="354" w:type="pct"/>
                  <w:tcBorders>
                    <w:tl2br w:val="nil"/>
                    <w:tr2bl w:val="nil"/>
                  </w:tcBorders>
                </w:tcPr>
                <w:p w14:paraId="78524EC8">
                  <w:pPr>
                    <w:spacing w:line="230" w:lineRule="exact"/>
                    <w:jc w:val="center"/>
                    <w:rPr>
                      <w:rFonts w:hint="default" w:eastAsia="宋体" w:cs="Times New Roman"/>
                      <w:color w:val="auto"/>
                      <w:szCs w:val="21"/>
                      <w:highlight w:val="none"/>
                      <w:lang w:val="en-US" w:eastAsia="zh-CN"/>
                    </w:rPr>
                  </w:pPr>
                  <w:r>
                    <w:rPr>
                      <w:rFonts w:hint="eastAsia" w:cs="Times New Roman"/>
                      <w:color w:val="auto"/>
                      <w:szCs w:val="21"/>
                      <w:highlight w:val="none"/>
                      <w:lang w:val="en-US" w:eastAsia="zh-CN"/>
                    </w:rPr>
                    <w:t>95</w:t>
                  </w:r>
                </w:p>
              </w:tc>
              <w:tc>
                <w:tcPr>
                  <w:tcW w:w="314" w:type="pct"/>
                  <w:vMerge w:val="continue"/>
                  <w:tcBorders>
                    <w:tl2br w:val="nil"/>
                    <w:tr2bl w:val="nil"/>
                  </w:tcBorders>
                  <w:vAlign w:val="center"/>
                </w:tcPr>
                <w:p w14:paraId="093A32C7">
                  <w:pPr>
                    <w:spacing w:line="230" w:lineRule="exact"/>
                    <w:jc w:val="center"/>
                    <w:rPr>
                      <w:rFonts w:cs="Times New Roman"/>
                      <w:color w:val="auto"/>
                      <w:szCs w:val="21"/>
                      <w:highlight w:val="none"/>
                    </w:rPr>
                  </w:pPr>
                </w:p>
              </w:tc>
              <w:tc>
                <w:tcPr>
                  <w:tcW w:w="361" w:type="pct"/>
                  <w:tcBorders>
                    <w:tl2br w:val="nil"/>
                    <w:tr2bl w:val="nil"/>
                  </w:tcBorders>
                  <w:vAlign w:val="center"/>
                </w:tcPr>
                <w:p w14:paraId="29F52094">
                  <w:pPr>
                    <w:spacing w:line="230" w:lineRule="exact"/>
                    <w:jc w:val="center"/>
                    <w:rPr>
                      <w:rFonts w:cs="Times New Roman"/>
                      <w:color w:val="auto"/>
                      <w:szCs w:val="21"/>
                      <w:highlight w:val="none"/>
                    </w:rPr>
                  </w:pPr>
                  <w:r>
                    <w:rPr>
                      <w:rFonts w:hint="eastAsia"/>
                    </w:rPr>
                    <w:t>108.98</w:t>
                  </w:r>
                </w:p>
              </w:tc>
              <w:tc>
                <w:tcPr>
                  <w:tcW w:w="361" w:type="pct"/>
                  <w:tcBorders>
                    <w:tl2br w:val="nil"/>
                    <w:tr2bl w:val="nil"/>
                  </w:tcBorders>
                  <w:vAlign w:val="center"/>
                </w:tcPr>
                <w:p w14:paraId="7896F092">
                  <w:pPr>
                    <w:spacing w:line="230" w:lineRule="exact"/>
                    <w:jc w:val="center"/>
                    <w:rPr>
                      <w:rFonts w:cs="Times New Roman"/>
                      <w:color w:val="auto"/>
                      <w:szCs w:val="21"/>
                      <w:highlight w:val="none"/>
                    </w:rPr>
                  </w:pPr>
                  <w:r>
                    <w:rPr>
                      <w:rFonts w:hint="eastAsia"/>
                    </w:rPr>
                    <w:t>12.68</w:t>
                  </w:r>
                </w:p>
              </w:tc>
              <w:tc>
                <w:tcPr>
                  <w:tcW w:w="383" w:type="pct"/>
                  <w:tcBorders>
                    <w:tl2br w:val="nil"/>
                    <w:tr2bl w:val="nil"/>
                  </w:tcBorders>
                  <w:vAlign w:val="center"/>
                </w:tcPr>
                <w:p w14:paraId="22E35B20">
                  <w:pPr>
                    <w:spacing w:line="230" w:lineRule="exact"/>
                    <w:jc w:val="center"/>
                    <w:rPr>
                      <w:rFonts w:cs="Times New Roman"/>
                      <w:color w:val="auto"/>
                      <w:szCs w:val="21"/>
                      <w:highlight w:val="none"/>
                    </w:rPr>
                  </w:pPr>
                  <w:r>
                    <w:rPr>
                      <w:rFonts w:hint="eastAsia"/>
                    </w:rPr>
                    <w:t>1.5</w:t>
                  </w:r>
                </w:p>
              </w:tc>
              <w:tc>
                <w:tcPr>
                  <w:tcW w:w="298" w:type="pct"/>
                  <w:tcBorders>
                    <w:tl2br w:val="nil"/>
                    <w:tr2bl w:val="nil"/>
                  </w:tcBorders>
                  <w:vAlign w:val="top"/>
                </w:tcPr>
                <w:p w14:paraId="3AD607E9">
                  <w:pPr>
                    <w:spacing w:line="230" w:lineRule="exact"/>
                    <w:jc w:val="center"/>
                    <w:rPr>
                      <w:rFonts w:cs="Times New Roman"/>
                      <w:color w:val="auto"/>
                      <w:szCs w:val="21"/>
                      <w:highlight w:val="none"/>
                    </w:rPr>
                  </w:pPr>
                  <w:r>
                    <w:rPr>
                      <w:rFonts w:hint="eastAsia"/>
                    </w:rPr>
                    <w:t>2.</w:t>
                  </w:r>
                  <w:r>
                    <w:rPr>
                      <w:rFonts w:hint="eastAsia"/>
                      <w:lang w:val="en-US" w:eastAsia="zh-CN"/>
                    </w:rPr>
                    <w:t>6</w:t>
                  </w:r>
                </w:p>
              </w:tc>
              <w:tc>
                <w:tcPr>
                  <w:tcW w:w="286" w:type="pct"/>
                  <w:tcBorders>
                    <w:tl2br w:val="nil"/>
                    <w:tr2bl w:val="nil"/>
                  </w:tcBorders>
                  <w:vAlign w:val="top"/>
                </w:tcPr>
                <w:p w14:paraId="6797008E">
                  <w:pPr>
                    <w:spacing w:line="230" w:lineRule="exact"/>
                    <w:jc w:val="center"/>
                    <w:rPr>
                      <w:rFonts w:cs="Times New Roman"/>
                      <w:color w:val="auto"/>
                      <w:szCs w:val="21"/>
                      <w:highlight w:val="none"/>
                    </w:rPr>
                  </w:pPr>
                  <w:r>
                    <w:rPr>
                      <w:rFonts w:hint="eastAsia"/>
                    </w:rPr>
                    <w:t>81.29</w:t>
                  </w:r>
                </w:p>
              </w:tc>
              <w:tc>
                <w:tcPr>
                  <w:tcW w:w="246" w:type="pct"/>
                  <w:vMerge w:val="continue"/>
                  <w:tcBorders>
                    <w:tl2br w:val="nil"/>
                    <w:tr2bl w:val="nil"/>
                  </w:tcBorders>
                  <w:vAlign w:val="center"/>
                </w:tcPr>
                <w:p w14:paraId="27ACE1E1">
                  <w:pPr>
                    <w:spacing w:line="230" w:lineRule="exact"/>
                    <w:jc w:val="center"/>
                    <w:rPr>
                      <w:rFonts w:cs="Times New Roman"/>
                      <w:color w:val="auto"/>
                      <w:szCs w:val="21"/>
                      <w:highlight w:val="none"/>
                    </w:rPr>
                  </w:pPr>
                </w:p>
              </w:tc>
              <w:tc>
                <w:tcPr>
                  <w:tcW w:w="417" w:type="pct"/>
                  <w:tcBorders>
                    <w:tl2br w:val="nil"/>
                    <w:tr2bl w:val="nil"/>
                  </w:tcBorders>
                </w:tcPr>
                <w:p w14:paraId="68590D63">
                  <w:pPr>
                    <w:spacing w:line="230" w:lineRule="exact"/>
                    <w:jc w:val="center"/>
                    <w:rPr>
                      <w:rFonts w:cs="Times New Roman"/>
                      <w:color w:val="auto"/>
                      <w:szCs w:val="21"/>
                      <w:highlight w:val="none"/>
                    </w:rPr>
                  </w:pPr>
                  <w:r>
                    <w:rPr>
                      <w:rFonts w:cs="Times New Roman"/>
                      <w:color w:val="auto"/>
                      <w:szCs w:val="21"/>
                      <w:highlight w:val="none"/>
                    </w:rPr>
                    <w:t>20</w:t>
                  </w:r>
                </w:p>
              </w:tc>
              <w:tc>
                <w:tcPr>
                  <w:tcW w:w="315" w:type="pct"/>
                  <w:tcBorders>
                    <w:tl2br w:val="nil"/>
                    <w:tr2bl w:val="nil"/>
                  </w:tcBorders>
                  <w:vAlign w:val="center"/>
                </w:tcPr>
                <w:p w14:paraId="7D728D19">
                  <w:pPr>
                    <w:spacing w:line="230" w:lineRule="exact"/>
                    <w:jc w:val="center"/>
                    <w:rPr>
                      <w:rFonts w:cs="Times New Roman"/>
                      <w:color w:val="auto"/>
                      <w:szCs w:val="21"/>
                      <w:highlight w:val="none"/>
                    </w:rPr>
                  </w:pPr>
                  <w:r>
                    <w:rPr>
                      <w:rFonts w:hint="eastAsia"/>
                    </w:rPr>
                    <w:t>6</w:t>
                  </w:r>
                  <w:r>
                    <w:rPr>
                      <w:rFonts w:hint="eastAsia"/>
                      <w:lang w:val="en-US" w:eastAsia="zh-CN"/>
                    </w:rPr>
                    <w:t>1</w:t>
                  </w:r>
                  <w:r>
                    <w:rPr>
                      <w:rFonts w:hint="eastAsia"/>
                    </w:rPr>
                    <w:t>.29</w:t>
                  </w:r>
                </w:p>
              </w:tc>
              <w:tc>
                <w:tcPr>
                  <w:tcW w:w="355" w:type="pct"/>
                  <w:tcBorders>
                    <w:tl2br w:val="nil"/>
                    <w:tr2bl w:val="nil"/>
                  </w:tcBorders>
                </w:tcPr>
                <w:p w14:paraId="72F7CB3B">
                  <w:pPr>
                    <w:spacing w:line="230" w:lineRule="exact"/>
                    <w:jc w:val="center"/>
                    <w:rPr>
                      <w:rFonts w:cs="Times New Roman"/>
                      <w:color w:val="auto"/>
                      <w:szCs w:val="21"/>
                      <w:highlight w:val="none"/>
                    </w:rPr>
                  </w:pPr>
                  <w:r>
                    <w:rPr>
                      <w:rFonts w:cs="Times New Roman"/>
                      <w:color w:val="auto"/>
                      <w:szCs w:val="21"/>
                      <w:highlight w:val="none"/>
                    </w:rPr>
                    <w:t>1</w:t>
                  </w:r>
                </w:p>
              </w:tc>
            </w:tr>
            <w:tr w14:paraId="5E368CB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02" w:hRule="atLeast"/>
                <w:jc w:val="center"/>
              </w:trPr>
              <w:tc>
                <w:tcPr>
                  <w:tcW w:w="298" w:type="pct"/>
                  <w:tcBorders>
                    <w:tl2br w:val="nil"/>
                    <w:tr2bl w:val="nil"/>
                  </w:tcBorders>
                  <w:vAlign w:val="center"/>
                </w:tcPr>
                <w:p w14:paraId="3655EFEE">
                  <w:pPr>
                    <w:spacing w:line="230" w:lineRule="exact"/>
                    <w:jc w:val="center"/>
                    <w:rPr>
                      <w:rFonts w:cs="Times New Roman"/>
                      <w:color w:val="auto"/>
                      <w:szCs w:val="21"/>
                      <w:highlight w:val="none"/>
                    </w:rPr>
                  </w:pPr>
                  <w:r>
                    <w:rPr>
                      <w:rFonts w:cs="Times New Roman"/>
                      <w:color w:val="auto"/>
                      <w:szCs w:val="21"/>
                      <w:highlight w:val="none"/>
                    </w:rPr>
                    <w:t>6</w:t>
                  </w:r>
                </w:p>
              </w:tc>
              <w:tc>
                <w:tcPr>
                  <w:tcW w:w="472" w:type="pct"/>
                  <w:tcBorders>
                    <w:tl2br w:val="nil"/>
                    <w:tr2bl w:val="nil"/>
                  </w:tcBorders>
                  <w:vAlign w:val="center"/>
                </w:tcPr>
                <w:p w14:paraId="1D7BFE21">
                  <w:pPr>
                    <w:snapToGrid w:val="0"/>
                    <w:spacing w:line="230" w:lineRule="exact"/>
                    <w:jc w:val="center"/>
                    <w:rPr>
                      <w:rFonts w:cs="Times New Roman"/>
                      <w:color w:val="auto"/>
                      <w:szCs w:val="21"/>
                      <w:highlight w:val="none"/>
                    </w:rPr>
                  </w:pPr>
                  <w:r>
                    <w:rPr>
                      <w:rFonts w:cs="Times New Roman"/>
                      <w:color w:val="auto"/>
                      <w:szCs w:val="21"/>
                      <w:highlight w:val="none"/>
                    </w:rPr>
                    <w:t>中切机1</w:t>
                  </w:r>
                </w:p>
              </w:tc>
              <w:tc>
                <w:tcPr>
                  <w:tcW w:w="536" w:type="pct"/>
                  <w:tcBorders>
                    <w:tl2br w:val="nil"/>
                    <w:tr2bl w:val="nil"/>
                  </w:tcBorders>
                </w:tcPr>
                <w:p w14:paraId="0301A54B">
                  <w:pPr>
                    <w:widowControl/>
                    <w:spacing w:line="230" w:lineRule="exact"/>
                    <w:jc w:val="center"/>
                    <w:rPr>
                      <w:rFonts w:cs="Times New Roman"/>
                      <w:bCs/>
                      <w:color w:val="auto"/>
                      <w:szCs w:val="21"/>
                      <w:highlight w:val="none"/>
                    </w:rPr>
                  </w:pPr>
                  <w:r>
                    <w:rPr>
                      <w:rFonts w:cs="Times New Roman"/>
                      <w:color w:val="auto"/>
                      <w:szCs w:val="21"/>
                      <w:highlight w:val="none"/>
                    </w:rPr>
                    <w:t>/</w:t>
                  </w:r>
                </w:p>
              </w:tc>
              <w:tc>
                <w:tcPr>
                  <w:tcW w:w="354" w:type="pct"/>
                  <w:tcBorders>
                    <w:tl2br w:val="nil"/>
                    <w:tr2bl w:val="nil"/>
                  </w:tcBorders>
                  <w:vAlign w:val="center"/>
                </w:tcPr>
                <w:p w14:paraId="66642A0A">
                  <w:pPr>
                    <w:spacing w:line="230" w:lineRule="exact"/>
                    <w:jc w:val="center"/>
                    <w:rPr>
                      <w:rFonts w:hint="default" w:eastAsia="宋体" w:cs="Times New Roman"/>
                      <w:color w:val="auto"/>
                      <w:szCs w:val="21"/>
                      <w:highlight w:val="none"/>
                      <w:lang w:val="en-US" w:eastAsia="zh-CN"/>
                    </w:rPr>
                  </w:pPr>
                  <w:r>
                    <w:rPr>
                      <w:rFonts w:hint="eastAsia" w:cs="Times New Roman"/>
                      <w:color w:val="auto"/>
                      <w:szCs w:val="21"/>
                      <w:highlight w:val="none"/>
                      <w:lang w:val="en-US" w:eastAsia="zh-CN"/>
                    </w:rPr>
                    <w:t>93</w:t>
                  </w:r>
                </w:p>
              </w:tc>
              <w:tc>
                <w:tcPr>
                  <w:tcW w:w="314" w:type="pct"/>
                  <w:vMerge w:val="continue"/>
                  <w:tcBorders>
                    <w:tl2br w:val="nil"/>
                    <w:tr2bl w:val="nil"/>
                  </w:tcBorders>
                  <w:vAlign w:val="center"/>
                </w:tcPr>
                <w:p w14:paraId="63FBBE3B">
                  <w:pPr>
                    <w:spacing w:line="230" w:lineRule="exact"/>
                    <w:jc w:val="center"/>
                    <w:rPr>
                      <w:rFonts w:cs="Times New Roman"/>
                      <w:color w:val="auto"/>
                      <w:szCs w:val="21"/>
                      <w:highlight w:val="none"/>
                    </w:rPr>
                  </w:pPr>
                </w:p>
              </w:tc>
              <w:tc>
                <w:tcPr>
                  <w:tcW w:w="361" w:type="pct"/>
                  <w:tcBorders>
                    <w:tl2br w:val="nil"/>
                    <w:tr2bl w:val="nil"/>
                  </w:tcBorders>
                  <w:vAlign w:val="center"/>
                </w:tcPr>
                <w:p w14:paraId="2E10B692">
                  <w:pPr>
                    <w:spacing w:line="230" w:lineRule="exact"/>
                    <w:jc w:val="center"/>
                    <w:rPr>
                      <w:rFonts w:cs="Times New Roman"/>
                      <w:color w:val="auto"/>
                      <w:szCs w:val="21"/>
                      <w:highlight w:val="none"/>
                    </w:rPr>
                  </w:pPr>
                  <w:r>
                    <w:rPr>
                      <w:rFonts w:hint="eastAsia"/>
                    </w:rPr>
                    <w:t>79.45</w:t>
                  </w:r>
                </w:p>
              </w:tc>
              <w:tc>
                <w:tcPr>
                  <w:tcW w:w="361" w:type="pct"/>
                  <w:tcBorders>
                    <w:tl2br w:val="nil"/>
                    <w:tr2bl w:val="nil"/>
                  </w:tcBorders>
                  <w:vAlign w:val="center"/>
                </w:tcPr>
                <w:p w14:paraId="68E03BD5">
                  <w:pPr>
                    <w:spacing w:line="230" w:lineRule="exact"/>
                    <w:jc w:val="center"/>
                    <w:rPr>
                      <w:rFonts w:cs="Times New Roman"/>
                      <w:color w:val="auto"/>
                      <w:szCs w:val="21"/>
                      <w:highlight w:val="none"/>
                    </w:rPr>
                  </w:pPr>
                  <w:r>
                    <w:rPr>
                      <w:rFonts w:hint="eastAsia"/>
                    </w:rPr>
                    <w:t>28.98</w:t>
                  </w:r>
                </w:p>
              </w:tc>
              <w:tc>
                <w:tcPr>
                  <w:tcW w:w="383" w:type="pct"/>
                  <w:tcBorders>
                    <w:tl2br w:val="nil"/>
                    <w:tr2bl w:val="nil"/>
                  </w:tcBorders>
                  <w:vAlign w:val="center"/>
                </w:tcPr>
                <w:p w14:paraId="352A8434">
                  <w:pPr>
                    <w:spacing w:line="230" w:lineRule="exact"/>
                    <w:jc w:val="center"/>
                    <w:rPr>
                      <w:rFonts w:cs="Times New Roman"/>
                      <w:color w:val="auto"/>
                      <w:szCs w:val="21"/>
                      <w:highlight w:val="none"/>
                    </w:rPr>
                  </w:pPr>
                  <w:r>
                    <w:rPr>
                      <w:rFonts w:hint="eastAsia"/>
                    </w:rPr>
                    <w:t>1.2</w:t>
                  </w:r>
                </w:p>
              </w:tc>
              <w:tc>
                <w:tcPr>
                  <w:tcW w:w="298" w:type="pct"/>
                  <w:tcBorders>
                    <w:tl2br w:val="nil"/>
                    <w:tr2bl w:val="nil"/>
                  </w:tcBorders>
                  <w:vAlign w:val="center"/>
                </w:tcPr>
                <w:p w14:paraId="42E41D83">
                  <w:pPr>
                    <w:spacing w:line="230" w:lineRule="exact"/>
                    <w:jc w:val="center"/>
                    <w:rPr>
                      <w:rFonts w:cs="Times New Roman"/>
                      <w:color w:val="auto"/>
                      <w:szCs w:val="21"/>
                      <w:highlight w:val="none"/>
                    </w:rPr>
                  </w:pPr>
                  <w:r>
                    <w:rPr>
                      <w:rFonts w:hint="eastAsia"/>
                    </w:rPr>
                    <w:t>18.3</w:t>
                  </w:r>
                </w:p>
              </w:tc>
              <w:tc>
                <w:tcPr>
                  <w:tcW w:w="286" w:type="pct"/>
                  <w:tcBorders>
                    <w:tl2br w:val="nil"/>
                    <w:tr2bl w:val="nil"/>
                  </w:tcBorders>
                  <w:vAlign w:val="center"/>
                </w:tcPr>
                <w:p w14:paraId="5FACC11E">
                  <w:pPr>
                    <w:spacing w:line="230" w:lineRule="exact"/>
                    <w:jc w:val="center"/>
                    <w:rPr>
                      <w:rFonts w:cs="Times New Roman"/>
                      <w:color w:val="auto"/>
                      <w:szCs w:val="21"/>
                      <w:highlight w:val="none"/>
                    </w:rPr>
                  </w:pPr>
                  <w:r>
                    <w:rPr>
                      <w:rFonts w:hint="eastAsia"/>
                    </w:rPr>
                    <w:t>77.87</w:t>
                  </w:r>
                </w:p>
              </w:tc>
              <w:tc>
                <w:tcPr>
                  <w:tcW w:w="246" w:type="pct"/>
                  <w:vMerge w:val="continue"/>
                  <w:tcBorders>
                    <w:tl2br w:val="nil"/>
                    <w:tr2bl w:val="nil"/>
                  </w:tcBorders>
                  <w:vAlign w:val="center"/>
                </w:tcPr>
                <w:p w14:paraId="2DF49D9C">
                  <w:pPr>
                    <w:spacing w:line="230" w:lineRule="exact"/>
                    <w:jc w:val="center"/>
                    <w:rPr>
                      <w:rFonts w:cs="Times New Roman"/>
                      <w:color w:val="auto"/>
                      <w:szCs w:val="21"/>
                      <w:highlight w:val="none"/>
                    </w:rPr>
                  </w:pPr>
                </w:p>
              </w:tc>
              <w:tc>
                <w:tcPr>
                  <w:tcW w:w="417" w:type="pct"/>
                  <w:tcBorders>
                    <w:tl2br w:val="nil"/>
                    <w:tr2bl w:val="nil"/>
                  </w:tcBorders>
                  <w:vAlign w:val="center"/>
                </w:tcPr>
                <w:p w14:paraId="35D08148">
                  <w:pPr>
                    <w:spacing w:line="230" w:lineRule="exact"/>
                    <w:jc w:val="center"/>
                    <w:rPr>
                      <w:rFonts w:cs="Times New Roman"/>
                      <w:color w:val="auto"/>
                      <w:szCs w:val="21"/>
                      <w:highlight w:val="none"/>
                    </w:rPr>
                  </w:pPr>
                  <w:r>
                    <w:rPr>
                      <w:rFonts w:cs="Times New Roman"/>
                      <w:color w:val="auto"/>
                      <w:szCs w:val="21"/>
                      <w:highlight w:val="none"/>
                    </w:rPr>
                    <w:t>20</w:t>
                  </w:r>
                </w:p>
              </w:tc>
              <w:tc>
                <w:tcPr>
                  <w:tcW w:w="315" w:type="pct"/>
                  <w:tcBorders>
                    <w:tl2br w:val="nil"/>
                    <w:tr2bl w:val="nil"/>
                  </w:tcBorders>
                  <w:vAlign w:val="center"/>
                </w:tcPr>
                <w:p w14:paraId="59DE76CD">
                  <w:pPr>
                    <w:spacing w:line="230" w:lineRule="exact"/>
                    <w:jc w:val="center"/>
                    <w:rPr>
                      <w:rFonts w:cs="Times New Roman"/>
                      <w:color w:val="auto"/>
                      <w:szCs w:val="21"/>
                      <w:highlight w:val="none"/>
                    </w:rPr>
                  </w:pPr>
                  <w:r>
                    <w:rPr>
                      <w:rFonts w:hint="eastAsia"/>
                    </w:rPr>
                    <w:t>5</w:t>
                  </w:r>
                  <w:r>
                    <w:rPr>
                      <w:rFonts w:hint="eastAsia"/>
                      <w:lang w:val="en-US" w:eastAsia="zh-CN"/>
                    </w:rPr>
                    <w:t>7</w:t>
                  </w:r>
                  <w:r>
                    <w:rPr>
                      <w:rFonts w:hint="eastAsia"/>
                    </w:rPr>
                    <w:t>.87</w:t>
                  </w:r>
                </w:p>
              </w:tc>
              <w:tc>
                <w:tcPr>
                  <w:tcW w:w="355" w:type="pct"/>
                  <w:tcBorders>
                    <w:tl2br w:val="nil"/>
                    <w:tr2bl w:val="nil"/>
                  </w:tcBorders>
                </w:tcPr>
                <w:p w14:paraId="4D38B421">
                  <w:pPr>
                    <w:spacing w:line="230" w:lineRule="exact"/>
                    <w:jc w:val="center"/>
                    <w:rPr>
                      <w:rFonts w:cs="Times New Roman"/>
                      <w:color w:val="auto"/>
                      <w:szCs w:val="21"/>
                      <w:highlight w:val="none"/>
                    </w:rPr>
                  </w:pPr>
                  <w:r>
                    <w:rPr>
                      <w:rFonts w:cs="Times New Roman"/>
                      <w:color w:val="auto"/>
                      <w:szCs w:val="21"/>
                      <w:highlight w:val="none"/>
                    </w:rPr>
                    <w:t>1</w:t>
                  </w:r>
                </w:p>
              </w:tc>
            </w:tr>
            <w:tr w14:paraId="1CB84ED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02" w:hRule="atLeast"/>
                <w:jc w:val="center"/>
              </w:trPr>
              <w:tc>
                <w:tcPr>
                  <w:tcW w:w="298" w:type="pct"/>
                  <w:tcBorders>
                    <w:tl2br w:val="nil"/>
                    <w:tr2bl w:val="nil"/>
                  </w:tcBorders>
                  <w:vAlign w:val="center"/>
                </w:tcPr>
                <w:p w14:paraId="02925395">
                  <w:pPr>
                    <w:spacing w:line="230" w:lineRule="exact"/>
                    <w:jc w:val="center"/>
                    <w:rPr>
                      <w:rFonts w:cs="Times New Roman"/>
                      <w:color w:val="auto"/>
                      <w:szCs w:val="21"/>
                      <w:highlight w:val="none"/>
                    </w:rPr>
                  </w:pPr>
                  <w:r>
                    <w:rPr>
                      <w:rFonts w:cs="Times New Roman"/>
                      <w:color w:val="auto"/>
                      <w:szCs w:val="21"/>
                      <w:highlight w:val="none"/>
                    </w:rPr>
                    <w:t>7</w:t>
                  </w:r>
                </w:p>
              </w:tc>
              <w:tc>
                <w:tcPr>
                  <w:tcW w:w="472" w:type="pct"/>
                  <w:tcBorders>
                    <w:tl2br w:val="nil"/>
                    <w:tr2bl w:val="nil"/>
                  </w:tcBorders>
                  <w:vAlign w:val="center"/>
                </w:tcPr>
                <w:p w14:paraId="3505A09F">
                  <w:pPr>
                    <w:snapToGrid w:val="0"/>
                    <w:spacing w:line="230" w:lineRule="exact"/>
                    <w:jc w:val="center"/>
                    <w:rPr>
                      <w:rFonts w:cs="Times New Roman"/>
                      <w:color w:val="auto"/>
                      <w:szCs w:val="21"/>
                      <w:highlight w:val="none"/>
                    </w:rPr>
                  </w:pPr>
                  <w:r>
                    <w:rPr>
                      <w:rFonts w:cs="Times New Roman"/>
                      <w:color w:val="auto"/>
                      <w:szCs w:val="21"/>
                      <w:highlight w:val="none"/>
                    </w:rPr>
                    <w:t>中切机2</w:t>
                  </w:r>
                </w:p>
              </w:tc>
              <w:tc>
                <w:tcPr>
                  <w:tcW w:w="536" w:type="pct"/>
                  <w:tcBorders>
                    <w:tl2br w:val="nil"/>
                    <w:tr2bl w:val="nil"/>
                  </w:tcBorders>
                </w:tcPr>
                <w:p w14:paraId="58A44196">
                  <w:pPr>
                    <w:widowControl/>
                    <w:spacing w:line="230" w:lineRule="exact"/>
                    <w:jc w:val="center"/>
                    <w:rPr>
                      <w:rFonts w:cs="Times New Roman"/>
                      <w:color w:val="auto"/>
                      <w:szCs w:val="21"/>
                      <w:highlight w:val="none"/>
                    </w:rPr>
                  </w:pPr>
                  <w:r>
                    <w:rPr>
                      <w:rFonts w:cs="Times New Roman"/>
                      <w:color w:val="auto"/>
                      <w:szCs w:val="21"/>
                      <w:highlight w:val="none"/>
                    </w:rPr>
                    <w:t>/</w:t>
                  </w:r>
                </w:p>
              </w:tc>
              <w:tc>
                <w:tcPr>
                  <w:tcW w:w="354" w:type="pct"/>
                  <w:tcBorders>
                    <w:tl2br w:val="nil"/>
                    <w:tr2bl w:val="nil"/>
                  </w:tcBorders>
                </w:tcPr>
                <w:p w14:paraId="796C55EA">
                  <w:pPr>
                    <w:spacing w:line="230" w:lineRule="exact"/>
                    <w:jc w:val="center"/>
                    <w:rPr>
                      <w:rFonts w:hint="default" w:eastAsia="宋体" w:cs="Times New Roman"/>
                      <w:color w:val="auto"/>
                      <w:szCs w:val="21"/>
                      <w:highlight w:val="none"/>
                      <w:lang w:val="en-US" w:eastAsia="zh-CN"/>
                    </w:rPr>
                  </w:pPr>
                  <w:r>
                    <w:rPr>
                      <w:rFonts w:hint="eastAsia" w:cs="Times New Roman"/>
                      <w:color w:val="auto"/>
                      <w:szCs w:val="21"/>
                      <w:highlight w:val="none"/>
                      <w:lang w:val="en-US" w:eastAsia="zh-CN"/>
                    </w:rPr>
                    <w:t>93</w:t>
                  </w:r>
                </w:p>
              </w:tc>
              <w:tc>
                <w:tcPr>
                  <w:tcW w:w="314" w:type="pct"/>
                  <w:vMerge w:val="continue"/>
                  <w:tcBorders>
                    <w:tl2br w:val="nil"/>
                    <w:tr2bl w:val="nil"/>
                  </w:tcBorders>
                  <w:vAlign w:val="center"/>
                </w:tcPr>
                <w:p w14:paraId="335A19B6">
                  <w:pPr>
                    <w:spacing w:line="230" w:lineRule="exact"/>
                    <w:jc w:val="center"/>
                    <w:rPr>
                      <w:rFonts w:cs="Times New Roman"/>
                      <w:color w:val="auto"/>
                      <w:szCs w:val="21"/>
                      <w:highlight w:val="none"/>
                    </w:rPr>
                  </w:pPr>
                </w:p>
              </w:tc>
              <w:tc>
                <w:tcPr>
                  <w:tcW w:w="361" w:type="pct"/>
                  <w:tcBorders>
                    <w:tl2br w:val="nil"/>
                    <w:tr2bl w:val="nil"/>
                  </w:tcBorders>
                  <w:vAlign w:val="center"/>
                </w:tcPr>
                <w:p w14:paraId="46FE4B1B">
                  <w:pPr>
                    <w:spacing w:line="230" w:lineRule="exact"/>
                    <w:jc w:val="center"/>
                    <w:rPr>
                      <w:rFonts w:cs="Times New Roman"/>
                      <w:color w:val="auto"/>
                      <w:szCs w:val="21"/>
                      <w:highlight w:val="none"/>
                    </w:rPr>
                  </w:pPr>
                  <w:r>
                    <w:rPr>
                      <w:rFonts w:hint="eastAsia"/>
                    </w:rPr>
                    <w:t>86.05</w:t>
                  </w:r>
                </w:p>
              </w:tc>
              <w:tc>
                <w:tcPr>
                  <w:tcW w:w="361" w:type="pct"/>
                  <w:tcBorders>
                    <w:tl2br w:val="nil"/>
                    <w:tr2bl w:val="nil"/>
                  </w:tcBorders>
                  <w:vAlign w:val="center"/>
                </w:tcPr>
                <w:p w14:paraId="396DB4C9">
                  <w:pPr>
                    <w:spacing w:line="230" w:lineRule="exact"/>
                    <w:jc w:val="center"/>
                    <w:rPr>
                      <w:rFonts w:cs="Times New Roman"/>
                      <w:color w:val="auto"/>
                      <w:szCs w:val="21"/>
                      <w:highlight w:val="none"/>
                    </w:rPr>
                  </w:pPr>
                  <w:r>
                    <w:rPr>
                      <w:rFonts w:hint="eastAsia"/>
                    </w:rPr>
                    <w:t>28.86</w:t>
                  </w:r>
                </w:p>
              </w:tc>
              <w:tc>
                <w:tcPr>
                  <w:tcW w:w="383" w:type="pct"/>
                  <w:tcBorders>
                    <w:tl2br w:val="nil"/>
                    <w:tr2bl w:val="nil"/>
                  </w:tcBorders>
                  <w:vAlign w:val="top"/>
                </w:tcPr>
                <w:p w14:paraId="15EF03E2">
                  <w:pPr>
                    <w:spacing w:line="230" w:lineRule="exact"/>
                    <w:jc w:val="center"/>
                    <w:rPr>
                      <w:rFonts w:cs="Times New Roman"/>
                      <w:color w:val="auto"/>
                      <w:szCs w:val="21"/>
                      <w:highlight w:val="none"/>
                    </w:rPr>
                  </w:pPr>
                  <w:r>
                    <w:rPr>
                      <w:rFonts w:hint="eastAsia"/>
                    </w:rPr>
                    <w:t>1.2</w:t>
                  </w:r>
                </w:p>
              </w:tc>
              <w:tc>
                <w:tcPr>
                  <w:tcW w:w="298" w:type="pct"/>
                  <w:tcBorders>
                    <w:tl2br w:val="nil"/>
                    <w:tr2bl w:val="nil"/>
                  </w:tcBorders>
                  <w:vAlign w:val="top"/>
                </w:tcPr>
                <w:p w14:paraId="07739E12">
                  <w:pPr>
                    <w:spacing w:line="230" w:lineRule="exact"/>
                    <w:jc w:val="center"/>
                    <w:rPr>
                      <w:rFonts w:cs="Times New Roman"/>
                      <w:color w:val="auto"/>
                      <w:szCs w:val="21"/>
                      <w:highlight w:val="none"/>
                    </w:rPr>
                  </w:pPr>
                  <w:r>
                    <w:rPr>
                      <w:rFonts w:hint="eastAsia"/>
                    </w:rPr>
                    <w:t>18.4</w:t>
                  </w:r>
                </w:p>
              </w:tc>
              <w:tc>
                <w:tcPr>
                  <w:tcW w:w="286" w:type="pct"/>
                  <w:tcBorders>
                    <w:tl2br w:val="nil"/>
                    <w:tr2bl w:val="nil"/>
                  </w:tcBorders>
                  <w:vAlign w:val="top"/>
                </w:tcPr>
                <w:p w14:paraId="5C63C33C">
                  <w:pPr>
                    <w:spacing w:line="230" w:lineRule="exact"/>
                    <w:jc w:val="center"/>
                    <w:rPr>
                      <w:rFonts w:cs="Times New Roman"/>
                      <w:color w:val="auto"/>
                      <w:szCs w:val="21"/>
                      <w:highlight w:val="none"/>
                    </w:rPr>
                  </w:pPr>
                  <w:r>
                    <w:rPr>
                      <w:rFonts w:hint="eastAsia"/>
                    </w:rPr>
                    <w:t>77.87</w:t>
                  </w:r>
                </w:p>
              </w:tc>
              <w:tc>
                <w:tcPr>
                  <w:tcW w:w="246" w:type="pct"/>
                  <w:vMerge w:val="continue"/>
                  <w:tcBorders>
                    <w:tl2br w:val="nil"/>
                    <w:tr2bl w:val="nil"/>
                  </w:tcBorders>
                  <w:vAlign w:val="center"/>
                </w:tcPr>
                <w:p w14:paraId="264C5531">
                  <w:pPr>
                    <w:spacing w:line="230" w:lineRule="exact"/>
                    <w:jc w:val="center"/>
                    <w:rPr>
                      <w:rFonts w:cs="Times New Roman"/>
                      <w:color w:val="auto"/>
                      <w:szCs w:val="21"/>
                      <w:highlight w:val="none"/>
                    </w:rPr>
                  </w:pPr>
                </w:p>
              </w:tc>
              <w:tc>
                <w:tcPr>
                  <w:tcW w:w="417" w:type="pct"/>
                  <w:tcBorders>
                    <w:tl2br w:val="nil"/>
                    <w:tr2bl w:val="nil"/>
                  </w:tcBorders>
                </w:tcPr>
                <w:p w14:paraId="75D9320B">
                  <w:pPr>
                    <w:spacing w:line="230" w:lineRule="exact"/>
                    <w:jc w:val="center"/>
                    <w:rPr>
                      <w:rFonts w:cs="Times New Roman"/>
                      <w:color w:val="auto"/>
                      <w:szCs w:val="21"/>
                      <w:highlight w:val="none"/>
                    </w:rPr>
                  </w:pPr>
                  <w:r>
                    <w:rPr>
                      <w:rFonts w:cs="Times New Roman"/>
                      <w:color w:val="auto"/>
                      <w:szCs w:val="21"/>
                      <w:highlight w:val="none"/>
                    </w:rPr>
                    <w:t>20</w:t>
                  </w:r>
                </w:p>
              </w:tc>
              <w:tc>
                <w:tcPr>
                  <w:tcW w:w="315" w:type="pct"/>
                  <w:tcBorders>
                    <w:tl2br w:val="nil"/>
                    <w:tr2bl w:val="nil"/>
                  </w:tcBorders>
                  <w:vAlign w:val="center"/>
                </w:tcPr>
                <w:p w14:paraId="2F36556C">
                  <w:pPr>
                    <w:spacing w:line="230" w:lineRule="exact"/>
                    <w:jc w:val="center"/>
                    <w:rPr>
                      <w:rFonts w:cs="Times New Roman"/>
                      <w:color w:val="auto"/>
                      <w:szCs w:val="21"/>
                      <w:highlight w:val="none"/>
                    </w:rPr>
                  </w:pPr>
                  <w:r>
                    <w:rPr>
                      <w:rFonts w:hint="eastAsia"/>
                    </w:rPr>
                    <w:t>5</w:t>
                  </w:r>
                  <w:r>
                    <w:rPr>
                      <w:rFonts w:hint="eastAsia"/>
                      <w:lang w:val="en-US" w:eastAsia="zh-CN"/>
                    </w:rPr>
                    <w:t>7</w:t>
                  </w:r>
                  <w:r>
                    <w:rPr>
                      <w:rFonts w:hint="eastAsia"/>
                    </w:rPr>
                    <w:t>.87</w:t>
                  </w:r>
                </w:p>
              </w:tc>
              <w:tc>
                <w:tcPr>
                  <w:tcW w:w="355" w:type="pct"/>
                  <w:tcBorders>
                    <w:tl2br w:val="nil"/>
                    <w:tr2bl w:val="nil"/>
                  </w:tcBorders>
                </w:tcPr>
                <w:p w14:paraId="0349AA9A">
                  <w:pPr>
                    <w:spacing w:line="230" w:lineRule="exact"/>
                    <w:jc w:val="center"/>
                    <w:rPr>
                      <w:rFonts w:cs="Times New Roman"/>
                      <w:color w:val="auto"/>
                      <w:szCs w:val="21"/>
                      <w:highlight w:val="none"/>
                    </w:rPr>
                  </w:pPr>
                  <w:r>
                    <w:rPr>
                      <w:rFonts w:cs="Times New Roman"/>
                      <w:color w:val="auto"/>
                      <w:szCs w:val="21"/>
                      <w:highlight w:val="none"/>
                    </w:rPr>
                    <w:t>1</w:t>
                  </w:r>
                </w:p>
              </w:tc>
            </w:tr>
            <w:tr w14:paraId="7BD8F98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02" w:hRule="atLeast"/>
                <w:jc w:val="center"/>
              </w:trPr>
              <w:tc>
                <w:tcPr>
                  <w:tcW w:w="298" w:type="pct"/>
                  <w:tcBorders>
                    <w:tl2br w:val="nil"/>
                    <w:tr2bl w:val="nil"/>
                  </w:tcBorders>
                  <w:vAlign w:val="center"/>
                </w:tcPr>
                <w:p w14:paraId="2ED00590">
                  <w:pPr>
                    <w:spacing w:line="230" w:lineRule="exact"/>
                    <w:jc w:val="center"/>
                    <w:rPr>
                      <w:rFonts w:cs="Times New Roman"/>
                      <w:color w:val="auto"/>
                      <w:szCs w:val="21"/>
                      <w:highlight w:val="none"/>
                    </w:rPr>
                  </w:pPr>
                  <w:r>
                    <w:rPr>
                      <w:rFonts w:cs="Times New Roman"/>
                      <w:color w:val="auto"/>
                      <w:szCs w:val="21"/>
                      <w:highlight w:val="none"/>
                    </w:rPr>
                    <w:t>8</w:t>
                  </w:r>
                </w:p>
              </w:tc>
              <w:tc>
                <w:tcPr>
                  <w:tcW w:w="472" w:type="pct"/>
                  <w:tcBorders>
                    <w:tl2br w:val="nil"/>
                    <w:tr2bl w:val="nil"/>
                  </w:tcBorders>
                  <w:vAlign w:val="center"/>
                </w:tcPr>
                <w:p w14:paraId="3ABAACCD">
                  <w:pPr>
                    <w:snapToGrid w:val="0"/>
                    <w:spacing w:line="230" w:lineRule="exact"/>
                    <w:jc w:val="center"/>
                    <w:rPr>
                      <w:rFonts w:cs="Times New Roman"/>
                      <w:color w:val="auto"/>
                      <w:szCs w:val="21"/>
                      <w:highlight w:val="none"/>
                    </w:rPr>
                  </w:pPr>
                  <w:r>
                    <w:rPr>
                      <w:rFonts w:cs="Times New Roman"/>
                      <w:color w:val="auto"/>
                      <w:szCs w:val="21"/>
                      <w:highlight w:val="none"/>
                    </w:rPr>
                    <w:t>中切机3</w:t>
                  </w:r>
                </w:p>
              </w:tc>
              <w:tc>
                <w:tcPr>
                  <w:tcW w:w="536" w:type="pct"/>
                  <w:tcBorders>
                    <w:tl2br w:val="nil"/>
                    <w:tr2bl w:val="nil"/>
                  </w:tcBorders>
                </w:tcPr>
                <w:p w14:paraId="683F9B5C">
                  <w:pPr>
                    <w:widowControl/>
                    <w:spacing w:line="230" w:lineRule="exact"/>
                    <w:jc w:val="center"/>
                    <w:rPr>
                      <w:rFonts w:cs="Times New Roman"/>
                      <w:color w:val="auto"/>
                      <w:szCs w:val="21"/>
                      <w:highlight w:val="none"/>
                    </w:rPr>
                  </w:pPr>
                  <w:r>
                    <w:rPr>
                      <w:rFonts w:cs="Times New Roman"/>
                      <w:color w:val="auto"/>
                      <w:szCs w:val="21"/>
                      <w:highlight w:val="none"/>
                    </w:rPr>
                    <w:t>/</w:t>
                  </w:r>
                </w:p>
              </w:tc>
              <w:tc>
                <w:tcPr>
                  <w:tcW w:w="354" w:type="pct"/>
                  <w:tcBorders>
                    <w:tl2br w:val="nil"/>
                    <w:tr2bl w:val="nil"/>
                  </w:tcBorders>
                </w:tcPr>
                <w:p w14:paraId="684306CE">
                  <w:pPr>
                    <w:spacing w:line="230" w:lineRule="exact"/>
                    <w:jc w:val="center"/>
                    <w:rPr>
                      <w:rFonts w:hint="default" w:eastAsia="宋体" w:cs="Times New Roman"/>
                      <w:color w:val="auto"/>
                      <w:szCs w:val="21"/>
                      <w:highlight w:val="none"/>
                      <w:lang w:val="en-US" w:eastAsia="zh-CN"/>
                    </w:rPr>
                  </w:pPr>
                  <w:r>
                    <w:rPr>
                      <w:rFonts w:hint="eastAsia" w:cs="Times New Roman"/>
                      <w:color w:val="auto"/>
                      <w:szCs w:val="21"/>
                      <w:highlight w:val="none"/>
                      <w:lang w:val="en-US" w:eastAsia="zh-CN"/>
                    </w:rPr>
                    <w:t>93</w:t>
                  </w:r>
                </w:p>
              </w:tc>
              <w:tc>
                <w:tcPr>
                  <w:tcW w:w="314" w:type="pct"/>
                  <w:vMerge w:val="continue"/>
                  <w:tcBorders>
                    <w:tl2br w:val="nil"/>
                    <w:tr2bl w:val="nil"/>
                  </w:tcBorders>
                  <w:vAlign w:val="center"/>
                </w:tcPr>
                <w:p w14:paraId="1109BDBF">
                  <w:pPr>
                    <w:spacing w:line="230" w:lineRule="exact"/>
                    <w:jc w:val="center"/>
                    <w:rPr>
                      <w:rFonts w:cs="Times New Roman"/>
                      <w:color w:val="auto"/>
                      <w:szCs w:val="21"/>
                      <w:highlight w:val="none"/>
                    </w:rPr>
                  </w:pPr>
                </w:p>
              </w:tc>
              <w:tc>
                <w:tcPr>
                  <w:tcW w:w="361" w:type="pct"/>
                  <w:tcBorders>
                    <w:tl2br w:val="nil"/>
                    <w:tr2bl w:val="nil"/>
                  </w:tcBorders>
                  <w:vAlign w:val="center"/>
                </w:tcPr>
                <w:p w14:paraId="6E634614">
                  <w:pPr>
                    <w:spacing w:line="230" w:lineRule="exact"/>
                    <w:jc w:val="center"/>
                    <w:rPr>
                      <w:rFonts w:cs="Times New Roman"/>
                      <w:color w:val="auto"/>
                      <w:szCs w:val="21"/>
                      <w:highlight w:val="none"/>
                    </w:rPr>
                  </w:pPr>
                  <w:r>
                    <w:rPr>
                      <w:rFonts w:hint="eastAsia"/>
                    </w:rPr>
                    <w:t>92.07</w:t>
                  </w:r>
                </w:p>
              </w:tc>
              <w:tc>
                <w:tcPr>
                  <w:tcW w:w="361" w:type="pct"/>
                  <w:tcBorders>
                    <w:tl2br w:val="nil"/>
                    <w:tr2bl w:val="nil"/>
                  </w:tcBorders>
                  <w:vAlign w:val="center"/>
                </w:tcPr>
                <w:p w14:paraId="5A854754">
                  <w:pPr>
                    <w:spacing w:line="230" w:lineRule="exact"/>
                    <w:jc w:val="center"/>
                    <w:rPr>
                      <w:rFonts w:cs="Times New Roman"/>
                      <w:color w:val="auto"/>
                      <w:szCs w:val="21"/>
                      <w:highlight w:val="none"/>
                    </w:rPr>
                  </w:pPr>
                  <w:r>
                    <w:rPr>
                      <w:rFonts w:hint="eastAsia"/>
                    </w:rPr>
                    <w:t>28.52</w:t>
                  </w:r>
                </w:p>
              </w:tc>
              <w:tc>
                <w:tcPr>
                  <w:tcW w:w="383" w:type="pct"/>
                  <w:tcBorders>
                    <w:tl2br w:val="nil"/>
                    <w:tr2bl w:val="nil"/>
                  </w:tcBorders>
                  <w:vAlign w:val="top"/>
                </w:tcPr>
                <w:p w14:paraId="4C842FBC">
                  <w:pPr>
                    <w:spacing w:line="230" w:lineRule="exact"/>
                    <w:jc w:val="center"/>
                    <w:rPr>
                      <w:rFonts w:cs="Times New Roman"/>
                      <w:color w:val="auto"/>
                      <w:szCs w:val="21"/>
                      <w:highlight w:val="none"/>
                    </w:rPr>
                  </w:pPr>
                  <w:r>
                    <w:rPr>
                      <w:rFonts w:hint="eastAsia"/>
                    </w:rPr>
                    <w:t>1.2</w:t>
                  </w:r>
                </w:p>
              </w:tc>
              <w:tc>
                <w:tcPr>
                  <w:tcW w:w="298" w:type="pct"/>
                  <w:tcBorders>
                    <w:tl2br w:val="nil"/>
                    <w:tr2bl w:val="nil"/>
                  </w:tcBorders>
                  <w:vAlign w:val="top"/>
                </w:tcPr>
                <w:p w14:paraId="3D930FDD">
                  <w:pPr>
                    <w:spacing w:line="230" w:lineRule="exact"/>
                    <w:jc w:val="center"/>
                    <w:rPr>
                      <w:rFonts w:cs="Times New Roman"/>
                      <w:color w:val="auto"/>
                      <w:szCs w:val="21"/>
                      <w:highlight w:val="none"/>
                    </w:rPr>
                  </w:pPr>
                  <w:r>
                    <w:rPr>
                      <w:rFonts w:hint="eastAsia"/>
                    </w:rPr>
                    <w:t>18.</w:t>
                  </w:r>
                  <w:r>
                    <w:rPr>
                      <w:rFonts w:hint="eastAsia"/>
                      <w:lang w:val="en-US" w:eastAsia="zh-CN"/>
                    </w:rPr>
                    <w:t>8</w:t>
                  </w:r>
                </w:p>
              </w:tc>
              <w:tc>
                <w:tcPr>
                  <w:tcW w:w="286" w:type="pct"/>
                  <w:tcBorders>
                    <w:tl2br w:val="nil"/>
                    <w:tr2bl w:val="nil"/>
                  </w:tcBorders>
                  <w:vAlign w:val="top"/>
                </w:tcPr>
                <w:p w14:paraId="722B50F9">
                  <w:pPr>
                    <w:spacing w:line="230" w:lineRule="exact"/>
                    <w:jc w:val="center"/>
                    <w:rPr>
                      <w:rFonts w:cs="Times New Roman"/>
                      <w:color w:val="auto"/>
                      <w:szCs w:val="21"/>
                      <w:highlight w:val="none"/>
                    </w:rPr>
                  </w:pPr>
                  <w:r>
                    <w:rPr>
                      <w:rFonts w:hint="eastAsia"/>
                    </w:rPr>
                    <w:t>77.87</w:t>
                  </w:r>
                </w:p>
              </w:tc>
              <w:tc>
                <w:tcPr>
                  <w:tcW w:w="246" w:type="pct"/>
                  <w:vMerge w:val="continue"/>
                  <w:tcBorders>
                    <w:tl2br w:val="nil"/>
                    <w:tr2bl w:val="nil"/>
                  </w:tcBorders>
                  <w:vAlign w:val="center"/>
                </w:tcPr>
                <w:p w14:paraId="24F758EB">
                  <w:pPr>
                    <w:spacing w:line="230" w:lineRule="exact"/>
                    <w:jc w:val="center"/>
                    <w:rPr>
                      <w:rFonts w:cs="Times New Roman"/>
                      <w:color w:val="auto"/>
                      <w:szCs w:val="21"/>
                      <w:highlight w:val="none"/>
                    </w:rPr>
                  </w:pPr>
                </w:p>
              </w:tc>
              <w:tc>
                <w:tcPr>
                  <w:tcW w:w="417" w:type="pct"/>
                  <w:tcBorders>
                    <w:tl2br w:val="nil"/>
                    <w:tr2bl w:val="nil"/>
                  </w:tcBorders>
                </w:tcPr>
                <w:p w14:paraId="6BCA8B2F">
                  <w:pPr>
                    <w:spacing w:line="230" w:lineRule="exact"/>
                    <w:jc w:val="center"/>
                    <w:rPr>
                      <w:rFonts w:cs="Times New Roman"/>
                      <w:color w:val="auto"/>
                      <w:szCs w:val="21"/>
                      <w:highlight w:val="none"/>
                    </w:rPr>
                  </w:pPr>
                  <w:r>
                    <w:rPr>
                      <w:rFonts w:cs="Times New Roman"/>
                      <w:color w:val="auto"/>
                      <w:szCs w:val="21"/>
                      <w:highlight w:val="none"/>
                    </w:rPr>
                    <w:t>20</w:t>
                  </w:r>
                </w:p>
              </w:tc>
              <w:tc>
                <w:tcPr>
                  <w:tcW w:w="315" w:type="pct"/>
                  <w:tcBorders>
                    <w:tl2br w:val="nil"/>
                    <w:tr2bl w:val="nil"/>
                  </w:tcBorders>
                  <w:vAlign w:val="center"/>
                </w:tcPr>
                <w:p w14:paraId="00BAF5EF">
                  <w:pPr>
                    <w:spacing w:line="230" w:lineRule="exact"/>
                    <w:jc w:val="center"/>
                    <w:rPr>
                      <w:rFonts w:cs="Times New Roman"/>
                      <w:color w:val="auto"/>
                      <w:szCs w:val="21"/>
                      <w:highlight w:val="none"/>
                    </w:rPr>
                  </w:pPr>
                  <w:r>
                    <w:rPr>
                      <w:rFonts w:hint="eastAsia"/>
                    </w:rPr>
                    <w:t>5</w:t>
                  </w:r>
                  <w:r>
                    <w:rPr>
                      <w:rFonts w:hint="eastAsia"/>
                      <w:lang w:val="en-US" w:eastAsia="zh-CN"/>
                    </w:rPr>
                    <w:t>7</w:t>
                  </w:r>
                  <w:r>
                    <w:rPr>
                      <w:rFonts w:hint="eastAsia"/>
                    </w:rPr>
                    <w:t>.87</w:t>
                  </w:r>
                </w:p>
              </w:tc>
              <w:tc>
                <w:tcPr>
                  <w:tcW w:w="355" w:type="pct"/>
                  <w:tcBorders>
                    <w:tl2br w:val="nil"/>
                    <w:tr2bl w:val="nil"/>
                  </w:tcBorders>
                </w:tcPr>
                <w:p w14:paraId="6FA166F1">
                  <w:pPr>
                    <w:spacing w:line="230" w:lineRule="exact"/>
                    <w:jc w:val="center"/>
                    <w:rPr>
                      <w:rFonts w:cs="Times New Roman"/>
                      <w:color w:val="auto"/>
                      <w:szCs w:val="21"/>
                      <w:highlight w:val="none"/>
                    </w:rPr>
                  </w:pPr>
                  <w:r>
                    <w:rPr>
                      <w:rFonts w:cs="Times New Roman"/>
                      <w:color w:val="auto"/>
                      <w:szCs w:val="21"/>
                      <w:highlight w:val="none"/>
                    </w:rPr>
                    <w:t>1</w:t>
                  </w:r>
                </w:p>
              </w:tc>
            </w:tr>
            <w:tr w14:paraId="657C9F5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02" w:hRule="atLeast"/>
                <w:jc w:val="center"/>
              </w:trPr>
              <w:tc>
                <w:tcPr>
                  <w:tcW w:w="298" w:type="pct"/>
                  <w:tcBorders>
                    <w:tl2br w:val="nil"/>
                    <w:tr2bl w:val="nil"/>
                  </w:tcBorders>
                  <w:vAlign w:val="center"/>
                </w:tcPr>
                <w:p w14:paraId="4E7AD402">
                  <w:pPr>
                    <w:spacing w:line="230" w:lineRule="exact"/>
                    <w:jc w:val="center"/>
                    <w:rPr>
                      <w:rFonts w:cs="Times New Roman"/>
                      <w:color w:val="auto"/>
                      <w:szCs w:val="21"/>
                      <w:highlight w:val="none"/>
                    </w:rPr>
                  </w:pPr>
                  <w:r>
                    <w:rPr>
                      <w:rFonts w:cs="Times New Roman"/>
                      <w:color w:val="auto"/>
                      <w:szCs w:val="21"/>
                      <w:highlight w:val="none"/>
                    </w:rPr>
                    <w:t>9</w:t>
                  </w:r>
                </w:p>
              </w:tc>
              <w:tc>
                <w:tcPr>
                  <w:tcW w:w="472" w:type="pct"/>
                  <w:tcBorders>
                    <w:tl2br w:val="nil"/>
                    <w:tr2bl w:val="nil"/>
                  </w:tcBorders>
                  <w:vAlign w:val="center"/>
                </w:tcPr>
                <w:p w14:paraId="72760C57">
                  <w:pPr>
                    <w:snapToGrid w:val="0"/>
                    <w:spacing w:line="230" w:lineRule="exact"/>
                    <w:jc w:val="center"/>
                    <w:rPr>
                      <w:rFonts w:cs="Times New Roman"/>
                      <w:color w:val="auto"/>
                      <w:szCs w:val="21"/>
                      <w:highlight w:val="none"/>
                    </w:rPr>
                  </w:pPr>
                  <w:r>
                    <w:rPr>
                      <w:rFonts w:cs="Times New Roman"/>
                      <w:color w:val="auto"/>
                      <w:szCs w:val="21"/>
                      <w:highlight w:val="none"/>
                    </w:rPr>
                    <w:t>中切机4</w:t>
                  </w:r>
                </w:p>
              </w:tc>
              <w:tc>
                <w:tcPr>
                  <w:tcW w:w="536" w:type="pct"/>
                  <w:tcBorders>
                    <w:tl2br w:val="nil"/>
                    <w:tr2bl w:val="nil"/>
                  </w:tcBorders>
                </w:tcPr>
                <w:p w14:paraId="0E21918C">
                  <w:pPr>
                    <w:widowControl/>
                    <w:spacing w:line="230" w:lineRule="exact"/>
                    <w:jc w:val="center"/>
                    <w:rPr>
                      <w:rFonts w:cs="Times New Roman"/>
                      <w:color w:val="auto"/>
                      <w:szCs w:val="21"/>
                      <w:highlight w:val="none"/>
                    </w:rPr>
                  </w:pPr>
                  <w:r>
                    <w:rPr>
                      <w:rFonts w:cs="Times New Roman"/>
                      <w:color w:val="auto"/>
                      <w:szCs w:val="21"/>
                      <w:highlight w:val="none"/>
                    </w:rPr>
                    <w:t>/</w:t>
                  </w:r>
                </w:p>
              </w:tc>
              <w:tc>
                <w:tcPr>
                  <w:tcW w:w="354" w:type="pct"/>
                  <w:tcBorders>
                    <w:tl2br w:val="nil"/>
                    <w:tr2bl w:val="nil"/>
                  </w:tcBorders>
                </w:tcPr>
                <w:p w14:paraId="77B300D4">
                  <w:pPr>
                    <w:spacing w:line="230" w:lineRule="exact"/>
                    <w:jc w:val="center"/>
                    <w:rPr>
                      <w:rFonts w:hint="default" w:eastAsia="宋体" w:cs="Times New Roman"/>
                      <w:color w:val="auto"/>
                      <w:szCs w:val="21"/>
                      <w:highlight w:val="none"/>
                      <w:lang w:val="en-US" w:eastAsia="zh-CN"/>
                    </w:rPr>
                  </w:pPr>
                  <w:r>
                    <w:rPr>
                      <w:rFonts w:hint="eastAsia" w:cs="Times New Roman"/>
                      <w:color w:val="auto"/>
                      <w:szCs w:val="21"/>
                      <w:highlight w:val="none"/>
                      <w:lang w:val="en-US" w:eastAsia="zh-CN"/>
                    </w:rPr>
                    <w:t>93</w:t>
                  </w:r>
                </w:p>
              </w:tc>
              <w:tc>
                <w:tcPr>
                  <w:tcW w:w="314" w:type="pct"/>
                  <w:vMerge w:val="continue"/>
                  <w:tcBorders>
                    <w:tl2br w:val="nil"/>
                    <w:tr2bl w:val="nil"/>
                  </w:tcBorders>
                  <w:vAlign w:val="center"/>
                </w:tcPr>
                <w:p w14:paraId="1E2DF956">
                  <w:pPr>
                    <w:spacing w:line="230" w:lineRule="exact"/>
                    <w:jc w:val="center"/>
                    <w:rPr>
                      <w:rFonts w:cs="Times New Roman"/>
                      <w:color w:val="auto"/>
                      <w:szCs w:val="21"/>
                      <w:highlight w:val="none"/>
                    </w:rPr>
                  </w:pPr>
                </w:p>
              </w:tc>
              <w:tc>
                <w:tcPr>
                  <w:tcW w:w="361" w:type="pct"/>
                  <w:tcBorders>
                    <w:tl2br w:val="nil"/>
                    <w:tr2bl w:val="nil"/>
                  </w:tcBorders>
                  <w:vAlign w:val="center"/>
                </w:tcPr>
                <w:p w14:paraId="569FCCC1">
                  <w:pPr>
                    <w:spacing w:line="230" w:lineRule="exact"/>
                    <w:jc w:val="center"/>
                    <w:rPr>
                      <w:rFonts w:cs="Times New Roman"/>
                      <w:color w:val="auto"/>
                      <w:szCs w:val="21"/>
                      <w:highlight w:val="none"/>
                    </w:rPr>
                  </w:pPr>
                  <w:r>
                    <w:rPr>
                      <w:rFonts w:hint="eastAsia"/>
                    </w:rPr>
                    <w:t>97.51</w:t>
                  </w:r>
                </w:p>
              </w:tc>
              <w:tc>
                <w:tcPr>
                  <w:tcW w:w="361" w:type="pct"/>
                  <w:tcBorders>
                    <w:tl2br w:val="nil"/>
                    <w:tr2bl w:val="nil"/>
                  </w:tcBorders>
                  <w:vAlign w:val="center"/>
                </w:tcPr>
                <w:p w14:paraId="1455EE58">
                  <w:pPr>
                    <w:spacing w:line="230" w:lineRule="exact"/>
                    <w:jc w:val="center"/>
                    <w:rPr>
                      <w:rFonts w:cs="Times New Roman"/>
                      <w:color w:val="auto"/>
                      <w:szCs w:val="21"/>
                      <w:highlight w:val="none"/>
                    </w:rPr>
                  </w:pPr>
                  <w:r>
                    <w:rPr>
                      <w:rFonts w:hint="eastAsia"/>
                    </w:rPr>
                    <w:t>28.52</w:t>
                  </w:r>
                </w:p>
              </w:tc>
              <w:tc>
                <w:tcPr>
                  <w:tcW w:w="383" w:type="pct"/>
                  <w:tcBorders>
                    <w:tl2br w:val="nil"/>
                    <w:tr2bl w:val="nil"/>
                  </w:tcBorders>
                  <w:vAlign w:val="top"/>
                </w:tcPr>
                <w:p w14:paraId="26361024">
                  <w:pPr>
                    <w:spacing w:line="230" w:lineRule="exact"/>
                    <w:jc w:val="center"/>
                    <w:rPr>
                      <w:rFonts w:cs="Times New Roman"/>
                      <w:color w:val="auto"/>
                      <w:szCs w:val="21"/>
                      <w:highlight w:val="none"/>
                    </w:rPr>
                  </w:pPr>
                  <w:r>
                    <w:rPr>
                      <w:rFonts w:hint="eastAsia"/>
                    </w:rPr>
                    <w:t>1.2</w:t>
                  </w:r>
                </w:p>
              </w:tc>
              <w:tc>
                <w:tcPr>
                  <w:tcW w:w="298" w:type="pct"/>
                  <w:tcBorders>
                    <w:tl2br w:val="nil"/>
                    <w:tr2bl w:val="nil"/>
                  </w:tcBorders>
                  <w:vAlign w:val="top"/>
                </w:tcPr>
                <w:p w14:paraId="7DD2B37F">
                  <w:pPr>
                    <w:spacing w:line="230" w:lineRule="exact"/>
                    <w:jc w:val="center"/>
                    <w:rPr>
                      <w:rFonts w:cs="Times New Roman"/>
                      <w:color w:val="auto"/>
                      <w:szCs w:val="21"/>
                      <w:highlight w:val="none"/>
                    </w:rPr>
                  </w:pPr>
                  <w:r>
                    <w:rPr>
                      <w:rFonts w:hint="eastAsia"/>
                    </w:rPr>
                    <w:t>14.</w:t>
                  </w:r>
                  <w:r>
                    <w:rPr>
                      <w:rFonts w:hint="eastAsia"/>
                      <w:lang w:val="en-US" w:eastAsia="zh-CN"/>
                    </w:rPr>
                    <w:t>1</w:t>
                  </w:r>
                </w:p>
              </w:tc>
              <w:tc>
                <w:tcPr>
                  <w:tcW w:w="286" w:type="pct"/>
                  <w:tcBorders>
                    <w:tl2br w:val="nil"/>
                    <w:tr2bl w:val="nil"/>
                  </w:tcBorders>
                  <w:vAlign w:val="top"/>
                </w:tcPr>
                <w:p w14:paraId="26CA954C">
                  <w:pPr>
                    <w:spacing w:line="230" w:lineRule="exact"/>
                    <w:jc w:val="center"/>
                    <w:rPr>
                      <w:rFonts w:cs="Times New Roman"/>
                      <w:color w:val="auto"/>
                      <w:szCs w:val="21"/>
                      <w:highlight w:val="none"/>
                    </w:rPr>
                  </w:pPr>
                  <w:r>
                    <w:rPr>
                      <w:rFonts w:hint="eastAsia"/>
                    </w:rPr>
                    <w:t>77.89</w:t>
                  </w:r>
                </w:p>
              </w:tc>
              <w:tc>
                <w:tcPr>
                  <w:tcW w:w="246" w:type="pct"/>
                  <w:vMerge w:val="continue"/>
                  <w:tcBorders>
                    <w:tl2br w:val="nil"/>
                    <w:tr2bl w:val="nil"/>
                  </w:tcBorders>
                  <w:vAlign w:val="center"/>
                </w:tcPr>
                <w:p w14:paraId="296FABA9">
                  <w:pPr>
                    <w:spacing w:line="230" w:lineRule="exact"/>
                    <w:jc w:val="center"/>
                    <w:rPr>
                      <w:rFonts w:cs="Times New Roman"/>
                      <w:color w:val="auto"/>
                      <w:szCs w:val="21"/>
                      <w:highlight w:val="none"/>
                    </w:rPr>
                  </w:pPr>
                </w:p>
              </w:tc>
              <w:tc>
                <w:tcPr>
                  <w:tcW w:w="417" w:type="pct"/>
                  <w:tcBorders>
                    <w:tl2br w:val="nil"/>
                    <w:tr2bl w:val="nil"/>
                  </w:tcBorders>
                </w:tcPr>
                <w:p w14:paraId="3E224A9F">
                  <w:pPr>
                    <w:spacing w:line="230" w:lineRule="exact"/>
                    <w:jc w:val="center"/>
                    <w:rPr>
                      <w:rFonts w:cs="Times New Roman"/>
                      <w:color w:val="auto"/>
                      <w:szCs w:val="21"/>
                      <w:highlight w:val="none"/>
                    </w:rPr>
                  </w:pPr>
                  <w:r>
                    <w:rPr>
                      <w:rFonts w:cs="Times New Roman"/>
                      <w:color w:val="auto"/>
                      <w:szCs w:val="21"/>
                      <w:highlight w:val="none"/>
                    </w:rPr>
                    <w:t>20</w:t>
                  </w:r>
                </w:p>
              </w:tc>
              <w:tc>
                <w:tcPr>
                  <w:tcW w:w="315" w:type="pct"/>
                  <w:tcBorders>
                    <w:tl2br w:val="nil"/>
                    <w:tr2bl w:val="nil"/>
                  </w:tcBorders>
                  <w:vAlign w:val="center"/>
                </w:tcPr>
                <w:p w14:paraId="057BC305">
                  <w:pPr>
                    <w:spacing w:line="230" w:lineRule="exact"/>
                    <w:jc w:val="center"/>
                    <w:rPr>
                      <w:rFonts w:cs="Times New Roman"/>
                      <w:color w:val="auto"/>
                      <w:szCs w:val="21"/>
                      <w:highlight w:val="none"/>
                    </w:rPr>
                  </w:pPr>
                  <w:r>
                    <w:rPr>
                      <w:rFonts w:hint="eastAsia"/>
                    </w:rPr>
                    <w:t>5</w:t>
                  </w:r>
                  <w:r>
                    <w:rPr>
                      <w:rFonts w:hint="eastAsia"/>
                      <w:lang w:val="en-US" w:eastAsia="zh-CN"/>
                    </w:rPr>
                    <w:t>7</w:t>
                  </w:r>
                  <w:r>
                    <w:rPr>
                      <w:rFonts w:hint="eastAsia"/>
                    </w:rPr>
                    <w:t>.89</w:t>
                  </w:r>
                </w:p>
              </w:tc>
              <w:tc>
                <w:tcPr>
                  <w:tcW w:w="355" w:type="pct"/>
                  <w:tcBorders>
                    <w:tl2br w:val="nil"/>
                    <w:tr2bl w:val="nil"/>
                  </w:tcBorders>
                </w:tcPr>
                <w:p w14:paraId="38E51DDC">
                  <w:pPr>
                    <w:spacing w:line="230" w:lineRule="exact"/>
                    <w:jc w:val="center"/>
                    <w:rPr>
                      <w:rFonts w:cs="Times New Roman"/>
                      <w:color w:val="auto"/>
                      <w:szCs w:val="21"/>
                      <w:highlight w:val="none"/>
                    </w:rPr>
                  </w:pPr>
                  <w:r>
                    <w:rPr>
                      <w:rFonts w:cs="Times New Roman"/>
                      <w:color w:val="auto"/>
                      <w:szCs w:val="21"/>
                      <w:highlight w:val="none"/>
                    </w:rPr>
                    <w:t>1</w:t>
                  </w:r>
                </w:p>
              </w:tc>
            </w:tr>
            <w:tr w14:paraId="01DBCB9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02" w:hRule="atLeast"/>
                <w:jc w:val="center"/>
              </w:trPr>
              <w:tc>
                <w:tcPr>
                  <w:tcW w:w="298" w:type="pct"/>
                  <w:tcBorders>
                    <w:tl2br w:val="nil"/>
                    <w:tr2bl w:val="nil"/>
                  </w:tcBorders>
                  <w:vAlign w:val="center"/>
                </w:tcPr>
                <w:p w14:paraId="39DBC5F3">
                  <w:pPr>
                    <w:spacing w:line="230" w:lineRule="exact"/>
                    <w:jc w:val="center"/>
                    <w:rPr>
                      <w:rFonts w:cs="Times New Roman"/>
                      <w:color w:val="auto"/>
                      <w:szCs w:val="21"/>
                      <w:highlight w:val="none"/>
                    </w:rPr>
                  </w:pPr>
                  <w:r>
                    <w:rPr>
                      <w:rFonts w:cs="Times New Roman"/>
                      <w:color w:val="auto"/>
                      <w:szCs w:val="21"/>
                      <w:highlight w:val="none"/>
                    </w:rPr>
                    <w:t>10</w:t>
                  </w:r>
                </w:p>
              </w:tc>
              <w:tc>
                <w:tcPr>
                  <w:tcW w:w="472" w:type="pct"/>
                  <w:tcBorders>
                    <w:tl2br w:val="nil"/>
                    <w:tr2bl w:val="nil"/>
                  </w:tcBorders>
                  <w:vAlign w:val="center"/>
                </w:tcPr>
                <w:p w14:paraId="7D45E467">
                  <w:pPr>
                    <w:snapToGrid w:val="0"/>
                    <w:spacing w:line="230" w:lineRule="exact"/>
                    <w:jc w:val="center"/>
                    <w:rPr>
                      <w:rFonts w:cs="Times New Roman"/>
                      <w:color w:val="auto"/>
                      <w:szCs w:val="21"/>
                      <w:highlight w:val="none"/>
                    </w:rPr>
                  </w:pPr>
                  <w:r>
                    <w:rPr>
                      <w:rFonts w:cs="Times New Roman"/>
                      <w:color w:val="auto"/>
                      <w:szCs w:val="21"/>
                      <w:highlight w:val="none"/>
                    </w:rPr>
                    <w:t>小切机1</w:t>
                  </w:r>
                </w:p>
              </w:tc>
              <w:tc>
                <w:tcPr>
                  <w:tcW w:w="536" w:type="pct"/>
                  <w:tcBorders>
                    <w:tl2br w:val="nil"/>
                    <w:tr2bl w:val="nil"/>
                  </w:tcBorders>
                </w:tcPr>
                <w:p w14:paraId="7AEF3293">
                  <w:pPr>
                    <w:widowControl/>
                    <w:spacing w:line="230" w:lineRule="exact"/>
                    <w:jc w:val="center"/>
                    <w:rPr>
                      <w:rFonts w:cs="Times New Roman"/>
                      <w:bCs/>
                      <w:color w:val="auto"/>
                      <w:szCs w:val="21"/>
                      <w:highlight w:val="none"/>
                    </w:rPr>
                  </w:pPr>
                  <w:r>
                    <w:rPr>
                      <w:rFonts w:cs="Times New Roman"/>
                      <w:color w:val="auto"/>
                      <w:szCs w:val="21"/>
                      <w:highlight w:val="none"/>
                    </w:rPr>
                    <w:t>/</w:t>
                  </w:r>
                </w:p>
              </w:tc>
              <w:tc>
                <w:tcPr>
                  <w:tcW w:w="354" w:type="pct"/>
                  <w:tcBorders>
                    <w:tl2br w:val="nil"/>
                    <w:tr2bl w:val="nil"/>
                  </w:tcBorders>
                  <w:vAlign w:val="center"/>
                </w:tcPr>
                <w:p w14:paraId="7DC7A030">
                  <w:pPr>
                    <w:spacing w:line="230" w:lineRule="exact"/>
                    <w:jc w:val="center"/>
                    <w:rPr>
                      <w:rFonts w:hint="default" w:eastAsia="宋体" w:cs="Times New Roman"/>
                      <w:color w:val="auto"/>
                      <w:szCs w:val="21"/>
                      <w:highlight w:val="none"/>
                      <w:lang w:val="en-US" w:eastAsia="zh-CN"/>
                    </w:rPr>
                  </w:pPr>
                  <w:r>
                    <w:rPr>
                      <w:rFonts w:hint="eastAsia" w:cs="Times New Roman"/>
                      <w:color w:val="auto"/>
                      <w:szCs w:val="21"/>
                      <w:highlight w:val="none"/>
                      <w:lang w:val="en-US" w:eastAsia="zh-CN"/>
                    </w:rPr>
                    <w:t>90</w:t>
                  </w:r>
                </w:p>
              </w:tc>
              <w:tc>
                <w:tcPr>
                  <w:tcW w:w="314" w:type="pct"/>
                  <w:vMerge w:val="continue"/>
                  <w:tcBorders>
                    <w:tl2br w:val="nil"/>
                    <w:tr2bl w:val="nil"/>
                  </w:tcBorders>
                  <w:vAlign w:val="center"/>
                </w:tcPr>
                <w:p w14:paraId="50527F16">
                  <w:pPr>
                    <w:spacing w:line="230" w:lineRule="exact"/>
                    <w:jc w:val="center"/>
                    <w:rPr>
                      <w:rFonts w:cs="Times New Roman"/>
                      <w:color w:val="auto"/>
                      <w:szCs w:val="21"/>
                      <w:highlight w:val="none"/>
                    </w:rPr>
                  </w:pPr>
                </w:p>
              </w:tc>
              <w:tc>
                <w:tcPr>
                  <w:tcW w:w="361" w:type="pct"/>
                  <w:tcBorders>
                    <w:tl2br w:val="nil"/>
                    <w:tr2bl w:val="nil"/>
                  </w:tcBorders>
                  <w:vAlign w:val="center"/>
                </w:tcPr>
                <w:p w14:paraId="61094AC0">
                  <w:pPr>
                    <w:spacing w:line="230" w:lineRule="exact"/>
                    <w:jc w:val="center"/>
                    <w:rPr>
                      <w:rFonts w:cs="Times New Roman"/>
                      <w:color w:val="auto"/>
                      <w:szCs w:val="21"/>
                      <w:highlight w:val="none"/>
                    </w:rPr>
                  </w:pPr>
                  <w:r>
                    <w:rPr>
                      <w:rFonts w:hint="eastAsia"/>
                    </w:rPr>
                    <w:t>35.48</w:t>
                  </w:r>
                </w:p>
              </w:tc>
              <w:tc>
                <w:tcPr>
                  <w:tcW w:w="361" w:type="pct"/>
                  <w:tcBorders>
                    <w:tl2br w:val="nil"/>
                    <w:tr2bl w:val="nil"/>
                  </w:tcBorders>
                  <w:vAlign w:val="center"/>
                </w:tcPr>
                <w:p w14:paraId="47364D26">
                  <w:pPr>
                    <w:spacing w:line="230" w:lineRule="exact"/>
                    <w:jc w:val="center"/>
                    <w:rPr>
                      <w:rFonts w:cs="Times New Roman"/>
                      <w:color w:val="auto"/>
                      <w:szCs w:val="21"/>
                      <w:highlight w:val="none"/>
                    </w:rPr>
                  </w:pPr>
                  <w:r>
                    <w:rPr>
                      <w:rFonts w:hint="eastAsia"/>
                    </w:rPr>
                    <w:t>29.76</w:t>
                  </w:r>
                </w:p>
              </w:tc>
              <w:tc>
                <w:tcPr>
                  <w:tcW w:w="383" w:type="pct"/>
                  <w:tcBorders>
                    <w:tl2br w:val="nil"/>
                    <w:tr2bl w:val="nil"/>
                  </w:tcBorders>
                  <w:shd w:val="clear" w:color="auto" w:fill="auto"/>
                  <w:vAlign w:val="top"/>
                </w:tcPr>
                <w:p w14:paraId="43CA4F3B">
                  <w:pPr>
                    <w:spacing w:line="230" w:lineRule="exact"/>
                    <w:jc w:val="center"/>
                    <w:rPr>
                      <w:rFonts w:ascii="Times New Roman" w:hAnsi="Times New Roman" w:eastAsia="宋体" w:cs="Times New Roman"/>
                      <w:color w:val="auto"/>
                      <w:kern w:val="2"/>
                      <w:sz w:val="21"/>
                      <w:szCs w:val="21"/>
                      <w:highlight w:val="none"/>
                      <w:lang w:val="en-US" w:eastAsia="zh-CN" w:bidi="ar-SA"/>
                    </w:rPr>
                  </w:pPr>
                  <w:r>
                    <w:rPr>
                      <w:rFonts w:hint="eastAsia"/>
                    </w:rPr>
                    <w:t>1.2</w:t>
                  </w:r>
                </w:p>
              </w:tc>
              <w:tc>
                <w:tcPr>
                  <w:tcW w:w="298" w:type="pct"/>
                  <w:tcBorders>
                    <w:tl2br w:val="nil"/>
                    <w:tr2bl w:val="nil"/>
                  </w:tcBorders>
                  <w:vAlign w:val="center"/>
                </w:tcPr>
                <w:p w14:paraId="0C795EDC">
                  <w:pPr>
                    <w:spacing w:line="230" w:lineRule="exact"/>
                    <w:jc w:val="center"/>
                    <w:rPr>
                      <w:rFonts w:cs="Times New Roman"/>
                      <w:color w:val="auto"/>
                      <w:szCs w:val="21"/>
                      <w:highlight w:val="none"/>
                    </w:rPr>
                  </w:pPr>
                  <w:r>
                    <w:rPr>
                      <w:rFonts w:hint="eastAsia"/>
                    </w:rPr>
                    <w:t>17.6</w:t>
                  </w:r>
                </w:p>
              </w:tc>
              <w:tc>
                <w:tcPr>
                  <w:tcW w:w="286" w:type="pct"/>
                  <w:tcBorders>
                    <w:tl2br w:val="nil"/>
                    <w:tr2bl w:val="nil"/>
                  </w:tcBorders>
                  <w:vAlign w:val="center"/>
                </w:tcPr>
                <w:p w14:paraId="267D9402">
                  <w:pPr>
                    <w:spacing w:line="230" w:lineRule="exact"/>
                    <w:jc w:val="center"/>
                    <w:rPr>
                      <w:rFonts w:cs="Times New Roman"/>
                      <w:color w:val="auto"/>
                      <w:szCs w:val="21"/>
                      <w:highlight w:val="none"/>
                    </w:rPr>
                  </w:pPr>
                  <w:r>
                    <w:rPr>
                      <w:rFonts w:hint="eastAsia"/>
                    </w:rPr>
                    <w:t>74.87</w:t>
                  </w:r>
                </w:p>
              </w:tc>
              <w:tc>
                <w:tcPr>
                  <w:tcW w:w="246" w:type="pct"/>
                  <w:vMerge w:val="continue"/>
                  <w:tcBorders>
                    <w:tl2br w:val="nil"/>
                    <w:tr2bl w:val="nil"/>
                  </w:tcBorders>
                  <w:vAlign w:val="center"/>
                </w:tcPr>
                <w:p w14:paraId="6357E90F">
                  <w:pPr>
                    <w:spacing w:line="230" w:lineRule="exact"/>
                    <w:jc w:val="center"/>
                    <w:rPr>
                      <w:rFonts w:cs="Times New Roman"/>
                      <w:color w:val="auto"/>
                      <w:szCs w:val="21"/>
                      <w:highlight w:val="none"/>
                    </w:rPr>
                  </w:pPr>
                </w:p>
              </w:tc>
              <w:tc>
                <w:tcPr>
                  <w:tcW w:w="417" w:type="pct"/>
                  <w:tcBorders>
                    <w:tl2br w:val="nil"/>
                    <w:tr2bl w:val="nil"/>
                  </w:tcBorders>
                </w:tcPr>
                <w:p w14:paraId="173E3B24">
                  <w:pPr>
                    <w:spacing w:line="230" w:lineRule="exact"/>
                    <w:jc w:val="center"/>
                    <w:rPr>
                      <w:rFonts w:cs="Times New Roman"/>
                      <w:color w:val="auto"/>
                      <w:szCs w:val="21"/>
                      <w:highlight w:val="none"/>
                    </w:rPr>
                  </w:pPr>
                  <w:r>
                    <w:rPr>
                      <w:rFonts w:cs="Times New Roman"/>
                      <w:color w:val="auto"/>
                      <w:szCs w:val="21"/>
                      <w:highlight w:val="none"/>
                    </w:rPr>
                    <w:t>20</w:t>
                  </w:r>
                </w:p>
              </w:tc>
              <w:tc>
                <w:tcPr>
                  <w:tcW w:w="315" w:type="pct"/>
                  <w:tcBorders>
                    <w:tl2br w:val="nil"/>
                    <w:tr2bl w:val="nil"/>
                  </w:tcBorders>
                  <w:vAlign w:val="center"/>
                </w:tcPr>
                <w:p w14:paraId="0E9E5DB4">
                  <w:pPr>
                    <w:spacing w:line="230" w:lineRule="exact"/>
                    <w:jc w:val="center"/>
                    <w:rPr>
                      <w:rFonts w:cs="Times New Roman"/>
                      <w:color w:val="auto"/>
                      <w:szCs w:val="21"/>
                      <w:highlight w:val="none"/>
                    </w:rPr>
                  </w:pPr>
                  <w:r>
                    <w:rPr>
                      <w:rFonts w:hint="eastAsia"/>
                    </w:rPr>
                    <w:t>5</w:t>
                  </w:r>
                  <w:r>
                    <w:rPr>
                      <w:rFonts w:hint="eastAsia"/>
                      <w:lang w:val="en-US" w:eastAsia="zh-CN"/>
                    </w:rPr>
                    <w:t>4</w:t>
                  </w:r>
                  <w:r>
                    <w:rPr>
                      <w:rFonts w:hint="eastAsia"/>
                    </w:rPr>
                    <w:t>.87</w:t>
                  </w:r>
                </w:p>
              </w:tc>
              <w:tc>
                <w:tcPr>
                  <w:tcW w:w="355" w:type="pct"/>
                  <w:tcBorders>
                    <w:tl2br w:val="nil"/>
                    <w:tr2bl w:val="nil"/>
                  </w:tcBorders>
                </w:tcPr>
                <w:p w14:paraId="621C643C">
                  <w:pPr>
                    <w:spacing w:line="230" w:lineRule="exact"/>
                    <w:jc w:val="center"/>
                    <w:rPr>
                      <w:rFonts w:cs="Times New Roman"/>
                      <w:color w:val="auto"/>
                      <w:szCs w:val="21"/>
                      <w:highlight w:val="none"/>
                    </w:rPr>
                  </w:pPr>
                  <w:r>
                    <w:rPr>
                      <w:rFonts w:cs="Times New Roman"/>
                      <w:color w:val="auto"/>
                      <w:szCs w:val="21"/>
                      <w:highlight w:val="none"/>
                    </w:rPr>
                    <w:t>1</w:t>
                  </w:r>
                </w:p>
              </w:tc>
            </w:tr>
            <w:tr w14:paraId="59A6343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02" w:hRule="atLeast"/>
                <w:jc w:val="center"/>
              </w:trPr>
              <w:tc>
                <w:tcPr>
                  <w:tcW w:w="298" w:type="pct"/>
                  <w:tcBorders>
                    <w:tl2br w:val="nil"/>
                    <w:tr2bl w:val="nil"/>
                  </w:tcBorders>
                  <w:vAlign w:val="center"/>
                </w:tcPr>
                <w:p w14:paraId="4FAAF479">
                  <w:pPr>
                    <w:spacing w:line="230" w:lineRule="exact"/>
                    <w:jc w:val="center"/>
                    <w:rPr>
                      <w:rFonts w:cs="Times New Roman"/>
                      <w:color w:val="auto"/>
                      <w:szCs w:val="21"/>
                      <w:highlight w:val="none"/>
                    </w:rPr>
                  </w:pPr>
                  <w:r>
                    <w:rPr>
                      <w:rFonts w:cs="Times New Roman"/>
                      <w:color w:val="auto"/>
                      <w:szCs w:val="21"/>
                      <w:highlight w:val="none"/>
                    </w:rPr>
                    <w:t>11</w:t>
                  </w:r>
                </w:p>
              </w:tc>
              <w:tc>
                <w:tcPr>
                  <w:tcW w:w="472" w:type="pct"/>
                  <w:tcBorders>
                    <w:tl2br w:val="nil"/>
                    <w:tr2bl w:val="nil"/>
                  </w:tcBorders>
                </w:tcPr>
                <w:p w14:paraId="2F367BDA">
                  <w:pPr>
                    <w:snapToGrid w:val="0"/>
                    <w:spacing w:line="230" w:lineRule="exact"/>
                    <w:jc w:val="center"/>
                    <w:rPr>
                      <w:rFonts w:cs="Times New Roman"/>
                      <w:color w:val="auto"/>
                      <w:szCs w:val="21"/>
                      <w:highlight w:val="none"/>
                    </w:rPr>
                  </w:pPr>
                  <w:r>
                    <w:rPr>
                      <w:rFonts w:cs="Times New Roman"/>
                      <w:color w:val="auto"/>
                      <w:szCs w:val="21"/>
                      <w:highlight w:val="none"/>
                    </w:rPr>
                    <w:t>小切机2</w:t>
                  </w:r>
                </w:p>
              </w:tc>
              <w:tc>
                <w:tcPr>
                  <w:tcW w:w="536" w:type="pct"/>
                  <w:tcBorders>
                    <w:tl2br w:val="nil"/>
                    <w:tr2bl w:val="nil"/>
                  </w:tcBorders>
                </w:tcPr>
                <w:p w14:paraId="4A20040F">
                  <w:pPr>
                    <w:widowControl/>
                    <w:spacing w:line="230" w:lineRule="exact"/>
                    <w:jc w:val="center"/>
                    <w:rPr>
                      <w:rFonts w:cs="Times New Roman"/>
                      <w:color w:val="auto"/>
                      <w:szCs w:val="21"/>
                      <w:highlight w:val="none"/>
                    </w:rPr>
                  </w:pPr>
                  <w:r>
                    <w:rPr>
                      <w:rFonts w:cs="Times New Roman"/>
                      <w:color w:val="auto"/>
                      <w:szCs w:val="21"/>
                      <w:highlight w:val="none"/>
                    </w:rPr>
                    <w:t>/</w:t>
                  </w:r>
                </w:p>
              </w:tc>
              <w:tc>
                <w:tcPr>
                  <w:tcW w:w="354" w:type="pct"/>
                  <w:tcBorders>
                    <w:tl2br w:val="nil"/>
                    <w:tr2bl w:val="nil"/>
                  </w:tcBorders>
                </w:tcPr>
                <w:p w14:paraId="6BCD3BA4">
                  <w:pPr>
                    <w:spacing w:line="230" w:lineRule="exact"/>
                    <w:jc w:val="center"/>
                    <w:rPr>
                      <w:rFonts w:hint="default" w:eastAsia="宋体" w:cs="Times New Roman"/>
                      <w:color w:val="auto"/>
                      <w:szCs w:val="21"/>
                      <w:highlight w:val="none"/>
                      <w:lang w:val="en-US" w:eastAsia="zh-CN"/>
                    </w:rPr>
                  </w:pPr>
                  <w:r>
                    <w:rPr>
                      <w:rFonts w:hint="eastAsia" w:cs="Times New Roman"/>
                      <w:color w:val="auto"/>
                      <w:szCs w:val="21"/>
                      <w:highlight w:val="none"/>
                      <w:lang w:val="en-US" w:eastAsia="zh-CN"/>
                    </w:rPr>
                    <w:t>90</w:t>
                  </w:r>
                </w:p>
              </w:tc>
              <w:tc>
                <w:tcPr>
                  <w:tcW w:w="314" w:type="pct"/>
                  <w:vMerge w:val="continue"/>
                  <w:tcBorders>
                    <w:tl2br w:val="nil"/>
                    <w:tr2bl w:val="nil"/>
                  </w:tcBorders>
                  <w:vAlign w:val="center"/>
                </w:tcPr>
                <w:p w14:paraId="37BB9220">
                  <w:pPr>
                    <w:spacing w:line="230" w:lineRule="exact"/>
                    <w:jc w:val="center"/>
                    <w:rPr>
                      <w:rFonts w:cs="Times New Roman"/>
                      <w:color w:val="auto"/>
                      <w:szCs w:val="21"/>
                      <w:highlight w:val="none"/>
                    </w:rPr>
                  </w:pPr>
                </w:p>
              </w:tc>
              <w:tc>
                <w:tcPr>
                  <w:tcW w:w="361" w:type="pct"/>
                  <w:tcBorders>
                    <w:tl2br w:val="nil"/>
                    <w:tr2bl w:val="nil"/>
                  </w:tcBorders>
                  <w:vAlign w:val="center"/>
                </w:tcPr>
                <w:p w14:paraId="3877F05B">
                  <w:pPr>
                    <w:spacing w:line="230" w:lineRule="exact"/>
                    <w:jc w:val="center"/>
                    <w:rPr>
                      <w:rFonts w:cs="Times New Roman"/>
                      <w:color w:val="auto"/>
                      <w:szCs w:val="21"/>
                      <w:highlight w:val="none"/>
                    </w:rPr>
                  </w:pPr>
                  <w:r>
                    <w:rPr>
                      <w:rFonts w:hint="eastAsia"/>
                    </w:rPr>
                    <w:t>41.53</w:t>
                  </w:r>
                </w:p>
              </w:tc>
              <w:tc>
                <w:tcPr>
                  <w:tcW w:w="361" w:type="pct"/>
                  <w:tcBorders>
                    <w:tl2br w:val="nil"/>
                    <w:tr2bl w:val="nil"/>
                  </w:tcBorders>
                  <w:vAlign w:val="center"/>
                </w:tcPr>
                <w:p w14:paraId="556206DF">
                  <w:pPr>
                    <w:spacing w:line="230" w:lineRule="exact"/>
                    <w:jc w:val="center"/>
                    <w:rPr>
                      <w:rFonts w:cs="Times New Roman"/>
                      <w:color w:val="auto"/>
                      <w:szCs w:val="21"/>
                      <w:highlight w:val="none"/>
                    </w:rPr>
                  </w:pPr>
                  <w:r>
                    <w:rPr>
                      <w:rFonts w:hint="eastAsia"/>
                    </w:rPr>
                    <w:t>28.83</w:t>
                  </w:r>
                </w:p>
              </w:tc>
              <w:tc>
                <w:tcPr>
                  <w:tcW w:w="383" w:type="pct"/>
                  <w:tcBorders>
                    <w:tl2br w:val="nil"/>
                    <w:tr2bl w:val="nil"/>
                  </w:tcBorders>
                  <w:shd w:val="clear" w:color="auto" w:fill="auto"/>
                  <w:vAlign w:val="top"/>
                </w:tcPr>
                <w:p w14:paraId="6AD4C073">
                  <w:pPr>
                    <w:spacing w:line="230" w:lineRule="exact"/>
                    <w:jc w:val="center"/>
                    <w:rPr>
                      <w:rFonts w:ascii="Times New Roman" w:hAnsi="Times New Roman" w:eastAsia="宋体" w:cs="Times New Roman"/>
                      <w:color w:val="auto"/>
                      <w:kern w:val="2"/>
                      <w:sz w:val="21"/>
                      <w:szCs w:val="21"/>
                      <w:highlight w:val="none"/>
                      <w:lang w:val="en-US" w:eastAsia="zh-CN" w:bidi="ar-SA"/>
                    </w:rPr>
                  </w:pPr>
                  <w:r>
                    <w:rPr>
                      <w:rFonts w:hint="eastAsia"/>
                    </w:rPr>
                    <w:t>1.2</w:t>
                  </w:r>
                </w:p>
              </w:tc>
              <w:tc>
                <w:tcPr>
                  <w:tcW w:w="298" w:type="pct"/>
                  <w:tcBorders>
                    <w:tl2br w:val="nil"/>
                    <w:tr2bl w:val="nil"/>
                  </w:tcBorders>
                  <w:vAlign w:val="top"/>
                </w:tcPr>
                <w:p w14:paraId="4BB1C827">
                  <w:pPr>
                    <w:spacing w:line="230" w:lineRule="exact"/>
                    <w:jc w:val="center"/>
                    <w:rPr>
                      <w:rFonts w:cs="Times New Roman"/>
                      <w:color w:val="auto"/>
                      <w:szCs w:val="21"/>
                      <w:highlight w:val="none"/>
                    </w:rPr>
                  </w:pPr>
                  <w:r>
                    <w:rPr>
                      <w:rFonts w:hint="eastAsia"/>
                    </w:rPr>
                    <w:t>18.5</w:t>
                  </w:r>
                </w:p>
              </w:tc>
              <w:tc>
                <w:tcPr>
                  <w:tcW w:w="286" w:type="pct"/>
                  <w:tcBorders>
                    <w:tl2br w:val="nil"/>
                    <w:tr2bl w:val="nil"/>
                  </w:tcBorders>
                  <w:vAlign w:val="top"/>
                </w:tcPr>
                <w:p w14:paraId="3F586403">
                  <w:pPr>
                    <w:spacing w:line="230" w:lineRule="exact"/>
                    <w:jc w:val="center"/>
                    <w:rPr>
                      <w:rFonts w:cs="Times New Roman"/>
                      <w:color w:val="auto"/>
                      <w:szCs w:val="21"/>
                      <w:highlight w:val="none"/>
                    </w:rPr>
                  </w:pPr>
                  <w:r>
                    <w:rPr>
                      <w:rFonts w:hint="eastAsia"/>
                    </w:rPr>
                    <w:t>74.87</w:t>
                  </w:r>
                </w:p>
              </w:tc>
              <w:tc>
                <w:tcPr>
                  <w:tcW w:w="246" w:type="pct"/>
                  <w:vMerge w:val="continue"/>
                  <w:tcBorders>
                    <w:tl2br w:val="nil"/>
                    <w:tr2bl w:val="nil"/>
                  </w:tcBorders>
                  <w:vAlign w:val="center"/>
                </w:tcPr>
                <w:p w14:paraId="06E96121">
                  <w:pPr>
                    <w:spacing w:line="230" w:lineRule="exact"/>
                    <w:jc w:val="center"/>
                    <w:rPr>
                      <w:rFonts w:cs="Times New Roman"/>
                      <w:color w:val="auto"/>
                      <w:szCs w:val="21"/>
                      <w:highlight w:val="none"/>
                    </w:rPr>
                  </w:pPr>
                </w:p>
              </w:tc>
              <w:tc>
                <w:tcPr>
                  <w:tcW w:w="417" w:type="pct"/>
                  <w:tcBorders>
                    <w:tl2br w:val="nil"/>
                    <w:tr2bl w:val="nil"/>
                  </w:tcBorders>
                </w:tcPr>
                <w:p w14:paraId="02021269">
                  <w:pPr>
                    <w:spacing w:line="230" w:lineRule="exact"/>
                    <w:jc w:val="center"/>
                    <w:rPr>
                      <w:rFonts w:cs="Times New Roman"/>
                      <w:color w:val="auto"/>
                      <w:szCs w:val="21"/>
                      <w:highlight w:val="none"/>
                    </w:rPr>
                  </w:pPr>
                  <w:r>
                    <w:rPr>
                      <w:rFonts w:cs="Times New Roman"/>
                      <w:color w:val="auto"/>
                      <w:szCs w:val="21"/>
                      <w:highlight w:val="none"/>
                    </w:rPr>
                    <w:t>20</w:t>
                  </w:r>
                </w:p>
              </w:tc>
              <w:tc>
                <w:tcPr>
                  <w:tcW w:w="315" w:type="pct"/>
                  <w:tcBorders>
                    <w:tl2br w:val="nil"/>
                    <w:tr2bl w:val="nil"/>
                  </w:tcBorders>
                  <w:vAlign w:val="center"/>
                </w:tcPr>
                <w:p w14:paraId="650FE332">
                  <w:pPr>
                    <w:spacing w:line="230" w:lineRule="exact"/>
                    <w:jc w:val="center"/>
                    <w:rPr>
                      <w:rFonts w:cs="Times New Roman"/>
                      <w:color w:val="auto"/>
                      <w:szCs w:val="21"/>
                      <w:highlight w:val="none"/>
                    </w:rPr>
                  </w:pPr>
                  <w:r>
                    <w:rPr>
                      <w:rFonts w:hint="eastAsia"/>
                    </w:rPr>
                    <w:t>5</w:t>
                  </w:r>
                  <w:r>
                    <w:rPr>
                      <w:rFonts w:hint="eastAsia"/>
                      <w:lang w:val="en-US" w:eastAsia="zh-CN"/>
                    </w:rPr>
                    <w:t>4</w:t>
                  </w:r>
                  <w:r>
                    <w:rPr>
                      <w:rFonts w:hint="eastAsia"/>
                    </w:rPr>
                    <w:t>.87</w:t>
                  </w:r>
                </w:p>
              </w:tc>
              <w:tc>
                <w:tcPr>
                  <w:tcW w:w="355" w:type="pct"/>
                  <w:tcBorders>
                    <w:tl2br w:val="nil"/>
                    <w:tr2bl w:val="nil"/>
                  </w:tcBorders>
                </w:tcPr>
                <w:p w14:paraId="2D12C209">
                  <w:pPr>
                    <w:spacing w:line="230" w:lineRule="exact"/>
                    <w:jc w:val="center"/>
                    <w:rPr>
                      <w:rFonts w:cs="Times New Roman"/>
                      <w:color w:val="auto"/>
                      <w:szCs w:val="21"/>
                      <w:highlight w:val="none"/>
                    </w:rPr>
                  </w:pPr>
                  <w:r>
                    <w:rPr>
                      <w:rFonts w:cs="Times New Roman"/>
                      <w:color w:val="auto"/>
                      <w:szCs w:val="21"/>
                      <w:highlight w:val="none"/>
                    </w:rPr>
                    <w:t>1</w:t>
                  </w:r>
                </w:p>
              </w:tc>
            </w:tr>
            <w:tr w14:paraId="5C457EE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02" w:hRule="atLeast"/>
                <w:jc w:val="center"/>
              </w:trPr>
              <w:tc>
                <w:tcPr>
                  <w:tcW w:w="298" w:type="pct"/>
                  <w:tcBorders>
                    <w:tl2br w:val="nil"/>
                    <w:tr2bl w:val="nil"/>
                  </w:tcBorders>
                  <w:vAlign w:val="center"/>
                </w:tcPr>
                <w:p w14:paraId="119BFF50">
                  <w:pPr>
                    <w:spacing w:line="230" w:lineRule="exact"/>
                    <w:jc w:val="center"/>
                    <w:rPr>
                      <w:rFonts w:cs="Times New Roman"/>
                      <w:color w:val="auto"/>
                      <w:szCs w:val="21"/>
                      <w:highlight w:val="none"/>
                    </w:rPr>
                  </w:pPr>
                  <w:r>
                    <w:rPr>
                      <w:rFonts w:cs="Times New Roman"/>
                      <w:color w:val="auto"/>
                      <w:szCs w:val="21"/>
                      <w:highlight w:val="none"/>
                    </w:rPr>
                    <w:t>12</w:t>
                  </w:r>
                </w:p>
              </w:tc>
              <w:tc>
                <w:tcPr>
                  <w:tcW w:w="472" w:type="pct"/>
                  <w:tcBorders>
                    <w:tl2br w:val="nil"/>
                    <w:tr2bl w:val="nil"/>
                  </w:tcBorders>
                </w:tcPr>
                <w:p w14:paraId="1AE66C0C">
                  <w:pPr>
                    <w:snapToGrid w:val="0"/>
                    <w:spacing w:line="230" w:lineRule="exact"/>
                    <w:jc w:val="center"/>
                    <w:rPr>
                      <w:rFonts w:cs="Times New Roman"/>
                      <w:color w:val="auto"/>
                      <w:szCs w:val="21"/>
                      <w:highlight w:val="none"/>
                    </w:rPr>
                  </w:pPr>
                  <w:r>
                    <w:rPr>
                      <w:rFonts w:cs="Times New Roman"/>
                      <w:color w:val="auto"/>
                      <w:szCs w:val="21"/>
                      <w:highlight w:val="none"/>
                    </w:rPr>
                    <w:t>小切机3</w:t>
                  </w:r>
                </w:p>
              </w:tc>
              <w:tc>
                <w:tcPr>
                  <w:tcW w:w="536" w:type="pct"/>
                  <w:tcBorders>
                    <w:tl2br w:val="nil"/>
                    <w:tr2bl w:val="nil"/>
                  </w:tcBorders>
                </w:tcPr>
                <w:p w14:paraId="54771EBD">
                  <w:pPr>
                    <w:widowControl/>
                    <w:spacing w:line="230" w:lineRule="exact"/>
                    <w:jc w:val="center"/>
                    <w:rPr>
                      <w:rFonts w:cs="Times New Roman"/>
                      <w:color w:val="auto"/>
                      <w:szCs w:val="21"/>
                      <w:highlight w:val="none"/>
                    </w:rPr>
                  </w:pPr>
                  <w:r>
                    <w:rPr>
                      <w:rFonts w:cs="Times New Roman"/>
                      <w:color w:val="auto"/>
                      <w:szCs w:val="21"/>
                      <w:highlight w:val="none"/>
                    </w:rPr>
                    <w:t>/</w:t>
                  </w:r>
                </w:p>
              </w:tc>
              <w:tc>
                <w:tcPr>
                  <w:tcW w:w="354" w:type="pct"/>
                  <w:tcBorders>
                    <w:tl2br w:val="nil"/>
                    <w:tr2bl w:val="nil"/>
                  </w:tcBorders>
                </w:tcPr>
                <w:p w14:paraId="3541E6A0">
                  <w:pPr>
                    <w:spacing w:line="230" w:lineRule="exact"/>
                    <w:jc w:val="center"/>
                    <w:rPr>
                      <w:rFonts w:hint="default" w:eastAsia="宋体" w:cs="Times New Roman"/>
                      <w:color w:val="auto"/>
                      <w:szCs w:val="21"/>
                      <w:highlight w:val="none"/>
                      <w:lang w:val="en-US" w:eastAsia="zh-CN"/>
                    </w:rPr>
                  </w:pPr>
                  <w:r>
                    <w:rPr>
                      <w:rFonts w:hint="eastAsia" w:cs="Times New Roman"/>
                      <w:color w:val="auto"/>
                      <w:szCs w:val="21"/>
                      <w:highlight w:val="none"/>
                      <w:lang w:val="en-US" w:eastAsia="zh-CN"/>
                    </w:rPr>
                    <w:t>90</w:t>
                  </w:r>
                </w:p>
              </w:tc>
              <w:tc>
                <w:tcPr>
                  <w:tcW w:w="314" w:type="pct"/>
                  <w:vMerge w:val="continue"/>
                  <w:tcBorders>
                    <w:tl2br w:val="nil"/>
                    <w:tr2bl w:val="nil"/>
                  </w:tcBorders>
                  <w:vAlign w:val="center"/>
                </w:tcPr>
                <w:p w14:paraId="6C820E6A">
                  <w:pPr>
                    <w:spacing w:line="230" w:lineRule="exact"/>
                    <w:jc w:val="center"/>
                    <w:rPr>
                      <w:rFonts w:cs="Times New Roman"/>
                      <w:color w:val="auto"/>
                      <w:szCs w:val="21"/>
                      <w:highlight w:val="none"/>
                    </w:rPr>
                  </w:pPr>
                </w:p>
              </w:tc>
              <w:tc>
                <w:tcPr>
                  <w:tcW w:w="361" w:type="pct"/>
                  <w:tcBorders>
                    <w:tl2br w:val="nil"/>
                    <w:tr2bl w:val="nil"/>
                  </w:tcBorders>
                  <w:vAlign w:val="center"/>
                </w:tcPr>
                <w:p w14:paraId="7E3B50ED">
                  <w:pPr>
                    <w:spacing w:line="230" w:lineRule="exact"/>
                    <w:jc w:val="center"/>
                    <w:rPr>
                      <w:rFonts w:cs="Times New Roman"/>
                      <w:color w:val="auto"/>
                      <w:szCs w:val="21"/>
                      <w:highlight w:val="none"/>
                    </w:rPr>
                  </w:pPr>
                  <w:r>
                    <w:rPr>
                      <w:rFonts w:hint="eastAsia"/>
                    </w:rPr>
                    <w:t>47.24</w:t>
                  </w:r>
                </w:p>
              </w:tc>
              <w:tc>
                <w:tcPr>
                  <w:tcW w:w="361" w:type="pct"/>
                  <w:tcBorders>
                    <w:tl2br w:val="nil"/>
                    <w:tr2bl w:val="nil"/>
                  </w:tcBorders>
                  <w:vAlign w:val="center"/>
                </w:tcPr>
                <w:p w14:paraId="3F8FDD7C">
                  <w:pPr>
                    <w:spacing w:line="230" w:lineRule="exact"/>
                    <w:jc w:val="center"/>
                    <w:rPr>
                      <w:rFonts w:cs="Times New Roman"/>
                      <w:color w:val="auto"/>
                      <w:szCs w:val="21"/>
                      <w:highlight w:val="none"/>
                    </w:rPr>
                  </w:pPr>
                  <w:r>
                    <w:rPr>
                      <w:rFonts w:hint="eastAsia"/>
                    </w:rPr>
                    <w:t>28.6</w:t>
                  </w:r>
                </w:p>
              </w:tc>
              <w:tc>
                <w:tcPr>
                  <w:tcW w:w="383" w:type="pct"/>
                  <w:tcBorders>
                    <w:tl2br w:val="nil"/>
                    <w:tr2bl w:val="nil"/>
                  </w:tcBorders>
                  <w:shd w:val="clear" w:color="auto" w:fill="auto"/>
                  <w:vAlign w:val="top"/>
                </w:tcPr>
                <w:p w14:paraId="67D09E0E">
                  <w:pPr>
                    <w:spacing w:line="230" w:lineRule="exact"/>
                    <w:jc w:val="center"/>
                    <w:rPr>
                      <w:rFonts w:ascii="Times New Roman" w:hAnsi="Times New Roman" w:eastAsia="宋体" w:cs="Times New Roman"/>
                      <w:color w:val="auto"/>
                      <w:kern w:val="2"/>
                      <w:sz w:val="21"/>
                      <w:szCs w:val="21"/>
                      <w:highlight w:val="none"/>
                      <w:lang w:val="en-US" w:eastAsia="zh-CN" w:bidi="ar-SA"/>
                    </w:rPr>
                  </w:pPr>
                  <w:r>
                    <w:rPr>
                      <w:rFonts w:hint="eastAsia"/>
                    </w:rPr>
                    <w:t>1.2</w:t>
                  </w:r>
                </w:p>
              </w:tc>
              <w:tc>
                <w:tcPr>
                  <w:tcW w:w="298" w:type="pct"/>
                  <w:tcBorders>
                    <w:tl2br w:val="nil"/>
                    <w:tr2bl w:val="nil"/>
                  </w:tcBorders>
                  <w:vAlign w:val="top"/>
                </w:tcPr>
                <w:p w14:paraId="1709DF9A">
                  <w:pPr>
                    <w:spacing w:line="230" w:lineRule="exact"/>
                    <w:jc w:val="center"/>
                    <w:rPr>
                      <w:rFonts w:cs="Times New Roman"/>
                      <w:color w:val="auto"/>
                      <w:szCs w:val="21"/>
                      <w:highlight w:val="none"/>
                    </w:rPr>
                  </w:pPr>
                  <w:r>
                    <w:rPr>
                      <w:rFonts w:hint="eastAsia"/>
                    </w:rPr>
                    <w:t>18.7</w:t>
                  </w:r>
                </w:p>
              </w:tc>
              <w:tc>
                <w:tcPr>
                  <w:tcW w:w="286" w:type="pct"/>
                  <w:tcBorders>
                    <w:tl2br w:val="nil"/>
                    <w:tr2bl w:val="nil"/>
                  </w:tcBorders>
                  <w:vAlign w:val="top"/>
                </w:tcPr>
                <w:p w14:paraId="685DCDA6">
                  <w:pPr>
                    <w:spacing w:line="230" w:lineRule="exact"/>
                    <w:jc w:val="center"/>
                    <w:rPr>
                      <w:rFonts w:cs="Times New Roman"/>
                      <w:color w:val="auto"/>
                      <w:szCs w:val="21"/>
                      <w:highlight w:val="none"/>
                    </w:rPr>
                  </w:pPr>
                  <w:r>
                    <w:rPr>
                      <w:rFonts w:hint="eastAsia"/>
                    </w:rPr>
                    <w:t>74.87</w:t>
                  </w:r>
                </w:p>
              </w:tc>
              <w:tc>
                <w:tcPr>
                  <w:tcW w:w="246" w:type="pct"/>
                  <w:vMerge w:val="continue"/>
                  <w:tcBorders>
                    <w:tl2br w:val="nil"/>
                    <w:tr2bl w:val="nil"/>
                  </w:tcBorders>
                  <w:vAlign w:val="center"/>
                </w:tcPr>
                <w:p w14:paraId="43194720">
                  <w:pPr>
                    <w:spacing w:line="230" w:lineRule="exact"/>
                    <w:jc w:val="center"/>
                    <w:rPr>
                      <w:rFonts w:cs="Times New Roman"/>
                      <w:color w:val="auto"/>
                      <w:szCs w:val="21"/>
                      <w:highlight w:val="none"/>
                    </w:rPr>
                  </w:pPr>
                </w:p>
              </w:tc>
              <w:tc>
                <w:tcPr>
                  <w:tcW w:w="417" w:type="pct"/>
                  <w:tcBorders>
                    <w:tl2br w:val="nil"/>
                    <w:tr2bl w:val="nil"/>
                  </w:tcBorders>
                </w:tcPr>
                <w:p w14:paraId="246A1585">
                  <w:pPr>
                    <w:spacing w:line="230" w:lineRule="exact"/>
                    <w:jc w:val="center"/>
                    <w:rPr>
                      <w:rFonts w:cs="Times New Roman"/>
                      <w:color w:val="auto"/>
                      <w:szCs w:val="21"/>
                      <w:highlight w:val="none"/>
                    </w:rPr>
                  </w:pPr>
                  <w:r>
                    <w:rPr>
                      <w:rFonts w:cs="Times New Roman"/>
                      <w:color w:val="auto"/>
                      <w:szCs w:val="21"/>
                      <w:highlight w:val="none"/>
                    </w:rPr>
                    <w:t>20</w:t>
                  </w:r>
                </w:p>
              </w:tc>
              <w:tc>
                <w:tcPr>
                  <w:tcW w:w="315" w:type="pct"/>
                  <w:tcBorders>
                    <w:tl2br w:val="nil"/>
                    <w:tr2bl w:val="nil"/>
                  </w:tcBorders>
                  <w:vAlign w:val="center"/>
                </w:tcPr>
                <w:p w14:paraId="10F3D4E4">
                  <w:pPr>
                    <w:spacing w:line="230" w:lineRule="exact"/>
                    <w:jc w:val="center"/>
                    <w:rPr>
                      <w:rFonts w:cs="Times New Roman"/>
                      <w:color w:val="auto"/>
                      <w:szCs w:val="21"/>
                      <w:highlight w:val="none"/>
                    </w:rPr>
                  </w:pPr>
                  <w:r>
                    <w:rPr>
                      <w:rFonts w:hint="eastAsia"/>
                    </w:rPr>
                    <w:t>5</w:t>
                  </w:r>
                  <w:r>
                    <w:rPr>
                      <w:rFonts w:hint="eastAsia"/>
                      <w:lang w:val="en-US" w:eastAsia="zh-CN"/>
                    </w:rPr>
                    <w:t>4</w:t>
                  </w:r>
                  <w:r>
                    <w:rPr>
                      <w:rFonts w:hint="eastAsia"/>
                    </w:rPr>
                    <w:t>.87</w:t>
                  </w:r>
                </w:p>
              </w:tc>
              <w:tc>
                <w:tcPr>
                  <w:tcW w:w="355" w:type="pct"/>
                  <w:tcBorders>
                    <w:tl2br w:val="nil"/>
                    <w:tr2bl w:val="nil"/>
                  </w:tcBorders>
                </w:tcPr>
                <w:p w14:paraId="2EE83731">
                  <w:pPr>
                    <w:spacing w:line="230" w:lineRule="exact"/>
                    <w:jc w:val="center"/>
                    <w:rPr>
                      <w:rFonts w:cs="Times New Roman"/>
                      <w:color w:val="auto"/>
                      <w:szCs w:val="21"/>
                      <w:highlight w:val="none"/>
                    </w:rPr>
                  </w:pPr>
                  <w:r>
                    <w:rPr>
                      <w:rFonts w:cs="Times New Roman"/>
                      <w:color w:val="auto"/>
                      <w:szCs w:val="21"/>
                      <w:highlight w:val="none"/>
                    </w:rPr>
                    <w:t>1</w:t>
                  </w:r>
                </w:p>
              </w:tc>
            </w:tr>
            <w:tr w14:paraId="5F3D061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02" w:hRule="atLeast"/>
                <w:jc w:val="center"/>
              </w:trPr>
              <w:tc>
                <w:tcPr>
                  <w:tcW w:w="298" w:type="pct"/>
                  <w:tcBorders>
                    <w:tl2br w:val="nil"/>
                    <w:tr2bl w:val="nil"/>
                  </w:tcBorders>
                  <w:vAlign w:val="center"/>
                </w:tcPr>
                <w:p w14:paraId="77350FED">
                  <w:pPr>
                    <w:spacing w:line="230" w:lineRule="exact"/>
                    <w:jc w:val="center"/>
                    <w:rPr>
                      <w:rFonts w:cs="Times New Roman"/>
                      <w:color w:val="auto"/>
                      <w:szCs w:val="21"/>
                      <w:highlight w:val="none"/>
                    </w:rPr>
                  </w:pPr>
                  <w:r>
                    <w:rPr>
                      <w:rFonts w:cs="Times New Roman"/>
                      <w:color w:val="auto"/>
                      <w:szCs w:val="21"/>
                      <w:highlight w:val="none"/>
                    </w:rPr>
                    <w:t>13</w:t>
                  </w:r>
                </w:p>
              </w:tc>
              <w:tc>
                <w:tcPr>
                  <w:tcW w:w="472" w:type="pct"/>
                  <w:tcBorders>
                    <w:tl2br w:val="nil"/>
                    <w:tr2bl w:val="nil"/>
                  </w:tcBorders>
                </w:tcPr>
                <w:p w14:paraId="77ECCAC7">
                  <w:pPr>
                    <w:snapToGrid w:val="0"/>
                    <w:spacing w:line="230" w:lineRule="exact"/>
                    <w:jc w:val="center"/>
                    <w:rPr>
                      <w:rFonts w:cs="Times New Roman"/>
                      <w:color w:val="auto"/>
                      <w:szCs w:val="21"/>
                      <w:highlight w:val="none"/>
                    </w:rPr>
                  </w:pPr>
                  <w:r>
                    <w:rPr>
                      <w:rFonts w:cs="Times New Roman"/>
                      <w:color w:val="auto"/>
                      <w:szCs w:val="21"/>
                      <w:highlight w:val="none"/>
                    </w:rPr>
                    <w:t>小切机4</w:t>
                  </w:r>
                </w:p>
              </w:tc>
              <w:tc>
                <w:tcPr>
                  <w:tcW w:w="536" w:type="pct"/>
                  <w:tcBorders>
                    <w:tl2br w:val="nil"/>
                    <w:tr2bl w:val="nil"/>
                  </w:tcBorders>
                </w:tcPr>
                <w:p w14:paraId="41C4BED2">
                  <w:pPr>
                    <w:widowControl/>
                    <w:spacing w:line="230" w:lineRule="exact"/>
                    <w:jc w:val="center"/>
                    <w:rPr>
                      <w:rFonts w:cs="Times New Roman"/>
                      <w:color w:val="auto"/>
                      <w:szCs w:val="21"/>
                      <w:highlight w:val="none"/>
                    </w:rPr>
                  </w:pPr>
                  <w:r>
                    <w:rPr>
                      <w:rFonts w:cs="Times New Roman"/>
                      <w:color w:val="auto"/>
                      <w:szCs w:val="21"/>
                      <w:highlight w:val="none"/>
                    </w:rPr>
                    <w:t>/</w:t>
                  </w:r>
                </w:p>
              </w:tc>
              <w:tc>
                <w:tcPr>
                  <w:tcW w:w="354" w:type="pct"/>
                  <w:tcBorders>
                    <w:tl2br w:val="nil"/>
                    <w:tr2bl w:val="nil"/>
                  </w:tcBorders>
                </w:tcPr>
                <w:p w14:paraId="24C81056">
                  <w:pPr>
                    <w:spacing w:line="230" w:lineRule="exact"/>
                    <w:jc w:val="center"/>
                    <w:rPr>
                      <w:rFonts w:hint="default" w:eastAsia="宋体" w:cs="Times New Roman"/>
                      <w:color w:val="auto"/>
                      <w:szCs w:val="21"/>
                      <w:highlight w:val="none"/>
                      <w:lang w:val="en-US" w:eastAsia="zh-CN"/>
                    </w:rPr>
                  </w:pPr>
                  <w:r>
                    <w:rPr>
                      <w:rFonts w:hint="eastAsia" w:cs="Times New Roman"/>
                      <w:color w:val="auto"/>
                      <w:szCs w:val="21"/>
                      <w:highlight w:val="none"/>
                      <w:lang w:val="en-US" w:eastAsia="zh-CN"/>
                    </w:rPr>
                    <w:t>90</w:t>
                  </w:r>
                </w:p>
              </w:tc>
              <w:tc>
                <w:tcPr>
                  <w:tcW w:w="314" w:type="pct"/>
                  <w:vMerge w:val="continue"/>
                  <w:tcBorders>
                    <w:tl2br w:val="nil"/>
                    <w:tr2bl w:val="nil"/>
                  </w:tcBorders>
                  <w:vAlign w:val="center"/>
                </w:tcPr>
                <w:p w14:paraId="0AA1EC11">
                  <w:pPr>
                    <w:spacing w:line="230" w:lineRule="exact"/>
                    <w:jc w:val="center"/>
                    <w:rPr>
                      <w:rFonts w:cs="Times New Roman"/>
                      <w:color w:val="auto"/>
                      <w:szCs w:val="21"/>
                      <w:highlight w:val="none"/>
                    </w:rPr>
                  </w:pPr>
                </w:p>
              </w:tc>
              <w:tc>
                <w:tcPr>
                  <w:tcW w:w="361" w:type="pct"/>
                  <w:tcBorders>
                    <w:tl2br w:val="nil"/>
                    <w:tr2bl w:val="nil"/>
                  </w:tcBorders>
                  <w:vAlign w:val="center"/>
                </w:tcPr>
                <w:p w14:paraId="1ABC6167">
                  <w:pPr>
                    <w:spacing w:line="230" w:lineRule="exact"/>
                    <w:jc w:val="center"/>
                    <w:rPr>
                      <w:rFonts w:cs="Times New Roman"/>
                      <w:color w:val="auto"/>
                      <w:szCs w:val="21"/>
                      <w:highlight w:val="none"/>
                    </w:rPr>
                  </w:pPr>
                  <w:r>
                    <w:rPr>
                      <w:rFonts w:hint="eastAsia"/>
                    </w:rPr>
                    <w:t>52.6</w:t>
                  </w:r>
                </w:p>
              </w:tc>
              <w:tc>
                <w:tcPr>
                  <w:tcW w:w="361" w:type="pct"/>
                  <w:tcBorders>
                    <w:tl2br w:val="nil"/>
                    <w:tr2bl w:val="nil"/>
                  </w:tcBorders>
                  <w:vAlign w:val="center"/>
                </w:tcPr>
                <w:p w14:paraId="0DCB6F6B">
                  <w:pPr>
                    <w:spacing w:line="230" w:lineRule="exact"/>
                    <w:jc w:val="center"/>
                    <w:rPr>
                      <w:rFonts w:cs="Times New Roman"/>
                      <w:color w:val="auto"/>
                      <w:szCs w:val="21"/>
                      <w:highlight w:val="none"/>
                    </w:rPr>
                  </w:pPr>
                  <w:r>
                    <w:rPr>
                      <w:rFonts w:hint="eastAsia"/>
                    </w:rPr>
                    <w:t>28.37</w:t>
                  </w:r>
                </w:p>
              </w:tc>
              <w:tc>
                <w:tcPr>
                  <w:tcW w:w="383" w:type="pct"/>
                  <w:tcBorders>
                    <w:tl2br w:val="nil"/>
                    <w:tr2bl w:val="nil"/>
                  </w:tcBorders>
                  <w:shd w:val="clear" w:color="auto" w:fill="auto"/>
                  <w:vAlign w:val="top"/>
                </w:tcPr>
                <w:p w14:paraId="7184D195">
                  <w:pPr>
                    <w:spacing w:line="230" w:lineRule="exact"/>
                    <w:jc w:val="center"/>
                    <w:rPr>
                      <w:rFonts w:ascii="Times New Roman" w:hAnsi="Times New Roman" w:eastAsia="宋体" w:cs="Times New Roman"/>
                      <w:color w:val="auto"/>
                      <w:kern w:val="2"/>
                      <w:sz w:val="21"/>
                      <w:szCs w:val="21"/>
                      <w:highlight w:val="none"/>
                      <w:lang w:val="en-US" w:eastAsia="zh-CN" w:bidi="ar-SA"/>
                    </w:rPr>
                  </w:pPr>
                  <w:r>
                    <w:rPr>
                      <w:rFonts w:hint="eastAsia"/>
                    </w:rPr>
                    <w:t>1.2</w:t>
                  </w:r>
                </w:p>
              </w:tc>
              <w:tc>
                <w:tcPr>
                  <w:tcW w:w="298" w:type="pct"/>
                  <w:tcBorders>
                    <w:tl2br w:val="nil"/>
                    <w:tr2bl w:val="nil"/>
                  </w:tcBorders>
                  <w:vAlign w:val="top"/>
                </w:tcPr>
                <w:p w14:paraId="48E1A610">
                  <w:pPr>
                    <w:spacing w:line="230" w:lineRule="exact"/>
                    <w:jc w:val="center"/>
                    <w:rPr>
                      <w:rFonts w:cs="Times New Roman"/>
                      <w:color w:val="auto"/>
                      <w:szCs w:val="21"/>
                      <w:highlight w:val="none"/>
                    </w:rPr>
                  </w:pPr>
                  <w:r>
                    <w:rPr>
                      <w:rFonts w:hint="eastAsia"/>
                    </w:rPr>
                    <w:t>1</w:t>
                  </w:r>
                  <w:r>
                    <w:rPr>
                      <w:rFonts w:hint="eastAsia"/>
                      <w:lang w:val="en-US" w:eastAsia="zh-CN"/>
                    </w:rPr>
                    <w:t>9.0</w:t>
                  </w:r>
                </w:p>
              </w:tc>
              <w:tc>
                <w:tcPr>
                  <w:tcW w:w="286" w:type="pct"/>
                  <w:tcBorders>
                    <w:tl2br w:val="nil"/>
                    <w:tr2bl w:val="nil"/>
                  </w:tcBorders>
                  <w:vAlign w:val="top"/>
                </w:tcPr>
                <w:p w14:paraId="33840A4A">
                  <w:pPr>
                    <w:spacing w:line="230" w:lineRule="exact"/>
                    <w:jc w:val="center"/>
                    <w:rPr>
                      <w:rFonts w:cs="Times New Roman"/>
                      <w:color w:val="auto"/>
                      <w:szCs w:val="21"/>
                      <w:highlight w:val="none"/>
                    </w:rPr>
                  </w:pPr>
                  <w:r>
                    <w:rPr>
                      <w:rFonts w:hint="eastAsia"/>
                    </w:rPr>
                    <w:t>74.87</w:t>
                  </w:r>
                </w:p>
              </w:tc>
              <w:tc>
                <w:tcPr>
                  <w:tcW w:w="246" w:type="pct"/>
                  <w:vMerge w:val="continue"/>
                  <w:tcBorders>
                    <w:tl2br w:val="nil"/>
                    <w:tr2bl w:val="nil"/>
                  </w:tcBorders>
                  <w:vAlign w:val="center"/>
                </w:tcPr>
                <w:p w14:paraId="3253CD11">
                  <w:pPr>
                    <w:spacing w:line="230" w:lineRule="exact"/>
                    <w:jc w:val="center"/>
                    <w:rPr>
                      <w:rFonts w:cs="Times New Roman"/>
                      <w:color w:val="auto"/>
                      <w:szCs w:val="21"/>
                      <w:highlight w:val="none"/>
                    </w:rPr>
                  </w:pPr>
                </w:p>
              </w:tc>
              <w:tc>
                <w:tcPr>
                  <w:tcW w:w="417" w:type="pct"/>
                  <w:tcBorders>
                    <w:tl2br w:val="nil"/>
                    <w:tr2bl w:val="nil"/>
                  </w:tcBorders>
                </w:tcPr>
                <w:p w14:paraId="1051C732">
                  <w:pPr>
                    <w:spacing w:line="230" w:lineRule="exact"/>
                    <w:jc w:val="center"/>
                    <w:rPr>
                      <w:rFonts w:cs="Times New Roman"/>
                      <w:color w:val="auto"/>
                      <w:szCs w:val="21"/>
                      <w:highlight w:val="none"/>
                    </w:rPr>
                  </w:pPr>
                  <w:r>
                    <w:rPr>
                      <w:rFonts w:cs="Times New Roman"/>
                      <w:color w:val="auto"/>
                      <w:szCs w:val="21"/>
                      <w:highlight w:val="none"/>
                    </w:rPr>
                    <w:t>20</w:t>
                  </w:r>
                </w:p>
              </w:tc>
              <w:tc>
                <w:tcPr>
                  <w:tcW w:w="315" w:type="pct"/>
                  <w:tcBorders>
                    <w:tl2br w:val="nil"/>
                    <w:tr2bl w:val="nil"/>
                  </w:tcBorders>
                  <w:vAlign w:val="center"/>
                </w:tcPr>
                <w:p w14:paraId="67BDEAD0">
                  <w:pPr>
                    <w:spacing w:line="230" w:lineRule="exact"/>
                    <w:jc w:val="center"/>
                    <w:rPr>
                      <w:rFonts w:cs="Times New Roman"/>
                      <w:color w:val="auto"/>
                      <w:szCs w:val="21"/>
                      <w:highlight w:val="none"/>
                    </w:rPr>
                  </w:pPr>
                  <w:r>
                    <w:rPr>
                      <w:rFonts w:hint="eastAsia"/>
                    </w:rPr>
                    <w:t>5</w:t>
                  </w:r>
                  <w:r>
                    <w:rPr>
                      <w:rFonts w:hint="eastAsia"/>
                      <w:lang w:val="en-US" w:eastAsia="zh-CN"/>
                    </w:rPr>
                    <w:t>4</w:t>
                  </w:r>
                  <w:r>
                    <w:rPr>
                      <w:rFonts w:hint="eastAsia"/>
                    </w:rPr>
                    <w:t>.87</w:t>
                  </w:r>
                </w:p>
              </w:tc>
              <w:tc>
                <w:tcPr>
                  <w:tcW w:w="355" w:type="pct"/>
                  <w:tcBorders>
                    <w:tl2br w:val="nil"/>
                    <w:tr2bl w:val="nil"/>
                  </w:tcBorders>
                </w:tcPr>
                <w:p w14:paraId="0BE57B94">
                  <w:pPr>
                    <w:spacing w:line="230" w:lineRule="exact"/>
                    <w:jc w:val="center"/>
                    <w:rPr>
                      <w:rFonts w:cs="Times New Roman"/>
                      <w:color w:val="auto"/>
                      <w:szCs w:val="21"/>
                      <w:highlight w:val="none"/>
                    </w:rPr>
                  </w:pPr>
                  <w:r>
                    <w:rPr>
                      <w:rFonts w:cs="Times New Roman"/>
                      <w:color w:val="auto"/>
                      <w:szCs w:val="21"/>
                      <w:highlight w:val="none"/>
                    </w:rPr>
                    <w:t>1</w:t>
                  </w:r>
                </w:p>
              </w:tc>
            </w:tr>
            <w:tr w14:paraId="1CA4D21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02" w:hRule="atLeast"/>
                <w:jc w:val="center"/>
              </w:trPr>
              <w:tc>
                <w:tcPr>
                  <w:tcW w:w="298" w:type="pct"/>
                  <w:tcBorders>
                    <w:tl2br w:val="nil"/>
                    <w:tr2bl w:val="nil"/>
                  </w:tcBorders>
                  <w:vAlign w:val="center"/>
                </w:tcPr>
                <w:p w14:paraId="4C3ACE89">
                  <w:pPr>
                    <w:spacing w:line="230" w:lineRule="exact"/>
                    <w:jc w:val="center"/>
                    <w:rPr>
                      <w:rFonts w:cs="Times New Roman"/>
                      <w:color w:val="auto"/>
                      <w:szCs w:val="21"/>
                      <w:highlight w:val="none"/>
                    </w:rPr>
                  </w:pPr>
                  <w:r>
                    <w:rPr>
                      <w:rFonts w:cs="Times New Roman"/>
                      <w:color w:val="auto"/>
                      <w:szCs w:val="21"/>
                      <w:highlight w:val="none"/>
                    </w:rPr>
                    <w:t>14</w:t>
                  </w:r>
                </w:p>
              </w:tc>
              <w:tc>
                <w:tcPr>
                  <w:tcW w:w="472" w:type="pct"/>
                  <w:tcBorders>
                    <w:tl2br w:val="nil"/>
                    <w:tr2bl w:val="nil"/>
                  </w:tcBorders>
                </w:tcPr>
                <w:p w14:paraId="535DAD59">
                  <w:pPr>
                    <w:snapToGrid w:val="0"/>
                    <w:spacing w:line="230" w:lineRule="exact"/>
                    <w:jc w:val="center"/>
                    <w:rPr>
                      <w:rFonts w:cs="Times New Roman"/>
                      <w:color w:val="auto"/>
                      <w:szCs w:val="21"/>
                      <w:highlight w:val="none"/>
                    </w:rPr>
                  </w:pPr>
                  <w:r>
                    <w:rPr>
                      <w:rFonts w:cs="Times New Roman"/>
                      <w:color w:val="auto"/>
                      <w:szCs w:val="21"/>
                      <w:highlight w:val="none"/>
                    </w:rPr>
                    <w:t>小切机5</w:t>
                  </w:r>
                </w:p>
              </w:tc>
              <w:tc>
                <w:tcPr>
                  <w:tcW w:w="536" w:type="pct"/>
                  <w:tcBorders>
                    <w:tl2br w:val="nil"/>
                    <w:tr2bl w:val="nil"/>
                  </w:tcBorders>
                </w:tcPr>
                <w:p w14:paraId="04FEDE51">
                  <w:pPr>
                    <w:widowControl/>
                    <w:spacing w:line="230" w:lineRule="exact"/>
                    <w:jc w:val="center"/>
                    <w:rPr>
                      <w:rFonts w:cs="Times New Roman"/>
                      <w:color w:val="auto"/>
                      <w:szCs w:val="21"/>
                      <w:highlight w:val="none"/>
                    </w:rPr>
                  </w:pPr>
                  <w:r>
                    <w:rPr>
                      <w:rFonts w:cs="Times New Roman"/>
                      <w:color w:val="auto"/>
                      <w:szCs w:val="21"/>
                      <w:highlight w:val="none"/>
                    </w:rPr>
                    <w:t>/</w:t>
                  </w:r>
                </w:p>
              </w:tc>
              <w:tc>
                <w:tcPr>
                  <w:tcW w:w="354" w:type="pct"/>
                  <w:tcBorders>
                    <w:tl2br w:val="nil"/>
                    <w:tr2bl w:val="nil"/>
                  </w:tcBorders>
                </w:tcPr>
                <w:p w14:paraId="0DA44477">
                  <w:pPr>
                    <w:spacing w:line="230" w:lineRule="exact"/>
                    <w:jc w:val="center"/>
                    <w:rPr>
                      <w:rFonts w:hint="default" w:eastAsia="宋体" w:cs="Times New Roman"/>
                      <w:color w:val="auto"/>
                      <w:szCs w:val="21"/>
                      <w:highlight w:val="none"/>
                      <w:lang w:val="en-US" w:eastAsia="zh-CN"/>
                    </w:rPr>
                  </w:pPr>
                  <w:r>
                    <w:rPr>
                      <w:rFonts w:hint="eastAsia" w:cs="Times New Roman"/>
                      <w:color w:val="auto"/>
                      <w:szCs w:val="21"/>
                      <w:highlight w:val="none"/>
                      <w:lang w:val="en-US" w:eastAsia="zh-CN"/>
                    </w:rPr>
                    <w:t>90</w:t>
                  </w:r>
                </w:p>
              </w:tc>
              <w:tc>
                <w:tcPr>
                  <w:tcW w:w="314" w:type="pct"/>
                  <w:vMerge w:val="continue"/>
                  <w:tcBorders>
                    <w:tl2br w:val="nil"/>
                    <w:tr2bl w:val="nil"/>
                  </w:tcBorders>
                  <w:vAlign w:val="center"/>
                </w:tcPr>
                <w:p w14:paraId="44E986A6">
                  <w:pPr>
                    <w:spacing w:line="230" w:lineRule="exact"/>
                    <w:jc w:val="center"/>
                    <w:rPr>
                      <w:rFonts w:cs="Times New Roman"/>
                      <w:color w:val="auto"/>
                      <w:szCs w:val="21"/>
                      <w:highlight w:val="none"/>
                    </w:rPr>
                  </w:pPr>
                </w:p>
              </w:tc>
              <w:tc>
                <w:tcPr>
                  <w:tcW w:w="361" w:type="pct"/>
                  <w:tcBorders>
                    <w:tl2br w:val="nil"/>
                    <w:tr2bl w:val="nil"/>
                  </w:tcBorders>
                  <w:vAlign w:val="center"/>
                </w:tcPr>
                <w:p w14:paraId="1CA22CFF">
                  <w:pPr>
                    <w:spacing w:line="230" w:lineRule="exact"/>
                    <w:jc w:val="center"/>
                    <w:rPr>
                      <w:rFonts w:cs="Times New Roman"/>
                      <w:color w:val="auto"/>
                      <w:szCs w:val="21"/>
                      <w:highlight w:val="none"/>
                    </w:rPr>
                  </w:pPr>
                  <w:r>
                    <w:rPr>
                      <w:rFonts w:hint="eastAsia"/>
                    </w:rPr>
                    <w:t>59</w:t>
                  </w:r>
                </w:p>
              </w:tc>
              <w:tc>
                <w:tcPr>
                  <w:tcW w:w="361" w:type="pct"/>
                  <w:tcBorders>
                    <w:tl2br w:val="nil"/>
                    <w:tr2bl w:val="nil"/>
                  </w:tcBorders>
                  <w:vAlign w:val="center"/>
                </w:tcPr>
                <w:p w14:paraId="20B400DE">
                  <w:pPr>
                    <w:spacing w:line="230" w:lineRule="exact"/>
                    <w:jc w:val="center"/>
                    <w:rPr>
                      <w:rFonts w:cs="Times New Roman"/>
                      <w:color w:val="auto"/>
                      <w:szCs w:val="21"/>
                      <w:highlight w:val="none"/>
                    </w:rPr>
                  </w:pPr>
                  <w:r>
                    <w:rPr>
                      <w:rFonts w:hint="eastAsia"/>
                    </w:rPr>
                    <w:t>28.95</w:t>
                  </w:r>
                </w:p>
              </w:tc>
              <w:tc>
                <w:tcPr>
                  <w:tcW w:w="383" w:type="pct"/>
                  <w:tcBorders>
                    <w:tl2br w:val="nil"/>
                    <w:tr2bl w:val="nil"/>
                  </w:tcBorders>
                  <w:shd w:val="clear" w:color="auto" w:fill="auto"/>
                  <w:vAlign w:val="top"/>
                </w:tcPr>
                <w:p w14:paraId="10209614">
                  <w:pPr>
                    <w:spacing w:line="230" w:lineRule="exact"/>
                    <w:jc w:val="center"/>
                    <w:rPr>
                      <w:rFonts w:ascii="Times New Roman" w:hAnsi="Times New Roman" w:eastAsia="宋体" w:cs="Times New Roman"/>
                      <w:color w:val="auto"/>
                      <w:kern w:val="2"/>
                      <w:sz w:val="21"/>
                      <w:szCs w:val="21"/>
                      <w:highlight w:val="none"/>
                      <w:lang w:val="en-US" w:eastAsia="zh-CN" w:bidi="ar-SA"/>
                    </w:rPr>
                  </w:pPr>
                  <w:r>
                    <w:rPr>
                      <w:rFonts w:hint="eastAsia"/>
                    </w:rPr>
                    <w:t>1.2</w:t>
                  </w:r>
                </w:p>
              </w:tc>
              <w:tc>
                <w:tcPr>
                  <w:tcW w:w="298" w:type="pct"/>
                  <w:tcBorders>
                    <w:tl2br w:val="nil"/>
                    <w:tr2bl w:val="nil"/>
                  </w:tcBorders>
                  <w:vAlign w:val="top"/>
                </w:tcPr>
                <w:p w14:paraId="2FECFE26">
                  <w:pPr>
                    <w:spacing w:line="230" w:lineRule="exact"/>
                    <w:jc w:val="center"/>
                    <w:rPr>
                      <w:rFonts w:cs="Times New Roman"/>
                      <w:color w:val="auto"/>
                      <w:szCs w:val="21"/>
                      <w:highlight w:val="none"/>
                    </w:rPr>
                  </w:pPr>
                  <w:r>
                    <w:rPr>
                      <w:rFonts w:hint="eastAsia"/>
                    </w:rPr>
                    <w:t>18.</w:t>
                  </w:r>
                  <w:r>
                    <w:rPr>
                      <w:rFonts w:hint="eastAsia"/>
                      <w:lang w:val="en-US" w:eastAsia="zh-CN"/>
                    </w:rPr>
                    <w:t>4</w:t>
                  </w:r>
                </w:p>
              </w:tc>
              <w:tc>
                <w:tcPr>
                  <w:tcW w:w="286" w:type="pct"/>
                  <w:tcBorders>
                    <w:tl2br w:val="nil"/>
                    <w:tr2bl w:val="nil"/>
                  </w:tcBorders>
                  <w:vAlign w:val="top"/>
                </w:tcPr>
                <w:p w14:paraId="365AF17B">
                  <w:pPr>
                    <w:spacing w:line="230" w:lineRule="exact"/>
                    <w:jc w:val="center"/>
                    <w:rPr>
                      <w:rFonts w:cs="Times New Roman"/>
                      <w:color w:val="auto"/>
                      <w:szCs w:val="21"/>
                      <w:highlight w:val="none"/>
                    </w:rPr>
                  </w:pPr>
                  <w:r>
                    <w:rPr>
                      <w:rFonts w:hint="eastAsia"/>
                    </w:rPr>
                    <w:t>74.87</w:t>
                  </w:r>
                </w:p>
              </w:tc>
              <w:tc>
                <w:tcPr>
                  <w:tcW w:w="246" w:type="pct"/>
                  <w:vMerge w:val="continue"/>
                  <w:tcBorders>
                    <w:tl2br w:val="nil"/>
                    <w:tr2bl w:val="nil"/>
                  </w:tcBorders>
                  <w:vAlign w:val="center"/>
                </w:tcPr>
                <w:p w14:paraId="586E8762">
                  <w:pPr>
                    <w:spacing w:line="230" w:lineRule="exact"/>
                    <w:jc w:val="center"/>
                    <w:rPr>
                      <w:rFonts w:cs="Times New Roman"/>
                      <w:color w:val="auto"/>
                      <w:szCs w:val="21"/>
                      <w:highlight w:val="none"/>
                    </w:rPr>
                  </w:pPr>
                </w:p>
              </w:tc>
              <w:tc>
                <w:tcPr>
                  <w:tcW w:w="417" w:type="pct"/>
                  <w:tcBorders>
                    <w:tl2br w:val="nil"/>
                    <w:tr2bl w:val="nil"/>
                  </w:tcBorders>
                </w:tcPr>
                <w:p w14:paraId="38DA4A53">
                  <w:pPr>
                    <w:spacing w:line="230" w:lineRule="exact"/>
                    <w:jc w:val="center"/>
                    <w:rPr>
                      <w:rFonts w:cs="Times New Roman"/>
                      <w:color w:val="auto"/>
                      <w:szCs w:val="21"/>
                      <w:highlight w:val="none"/>
                    </w:rPr>
                  </w:pPr>
                  <w:r>
                    <w:rPr>
                      <w:rFonts w:cs="Times New Roman"/>
                      <w:color w:val="auto"/>
                      <w:szCs w:val="21"/>
                      <w:highlight w:val="none"/>
                    </w:rPr>
                    <w:t>20</w:t>
                  </w:r>
                </w:p>
              </w:tc>
              <w:tc>
                <w:tcPr>
                  <w:tcW w:w="315" w:type="pct"/>
                  <w:tcBorders>
                    <w:tl2br w:val="nil"/>
                    <w:tr2bl w:val="nil"/>
                  </w:tcBorders>
                  <w:vAlign w:val="center"/>
                </w:tcPr>
                <w:p w14:paraId="15E14FB8">
                  <w:pPr>
                    <w:spacing w:line="230" w:lineRule="exact"/>
                    <w:jc w:val="center"/>
                    <w:rPr>
                      <w:rFonts w:cs="Times New Roman"/>
                      <w:color w:val="auto"/>
                      <w:szCs w:val="21"/>
                      <w:highlight w:val="none"/>
                    </w:rPr>
                  </w:pPr>
                  <w:r>
                    <w:rPr>
                      <w:rFonts w:hint="eastAsia"/>
                    </w:rPr>
                    <w:t>5</w:t>
                  </w:r>
                  <w:r>
                    <w:rPr>
                      <w:rFonts w:hint="eastAsia"/>
                      <w:lang w:val="en-US" w:eastAsia="zh-CN"/>
                    </w:rPr>
                    <w:t>4</w:t>
                  </w:r>
                  <w:r>
                    <w:rPr>
                      <w:rFonts w:hint="eastAsia"/>
                    </w:rPr>
                    <w:t>.87</w:t>
                  </w:r>
                </w:p>
              </w:tc>
              <w:tc>
                <w:tcPr>
                  <w:tcW w:w="355" w:type="pct"/>
                  <w:tcBorders>
                    <w:tl2br w:val="nil"/>
                    <w:tr2bl w:val="nil"/>
                  </w:tcBorders>
                </w:tcPr>
                <w:p w14:paraId="7BD6E3EB">
                  <w:pPr>
                    <w:spacing w:line="230" w:lineRule="exact"/>
                    <w:jc w:val="center"/>
                    <w:rPr>
                      <w:rFonts w:cs="Times New Roman"/>
                      <w:color w:val="auto"/>
                      <w:szCs w:val="21"/>
                      <w:highlight w:val="none"/>
                    </w:rPr>
                  </w:pPr>
                  <w:r>
                    <w:rPr>
                      <w:rFonts w:cs="Times New Roman"/>
                      <w:color w:val="auto"/>
                      <w:szCs w:val="21"/>
                      <w:highlight w:val="none"/>
                    </w:rPr>
                    <w:t>1</w:t>
                  </w:r>
                </w:p>
              </w:tc>
            </w:tr>
            <w:tr w14:paraId="0B1AB40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02" w:hRule="atLeast"/>
                <w:jc w:val="center"/>
              </w:trPr>
              <w:tc>
                <w:tcPr>
                  <w:tcW w:w="298" w:type="pct"/>
                  <w:tcBorders>
                    <w:tl2br w:val="nil"/>
                    <w:tr2bl w:val="nil"/>
                  </w:tcBorders>
                  <w:vAlign w:val="center"/>
                </w:tcPr>
                <w:p w14:paraId="4AD80211">
                  <w:pPr>
                    <w:spacing w:line="230" w:lineRule="exact"/>
                    <w:jc w:val="center"/>
                    <w:rPr>
                      <w:rFonts w:cs="Times New Roman"/>
                      <w:color w:val="auto"/>
                      <w:szCs w:val="21"/>
                      <w:highlight w:val="none"/>
                    </w:rPr>
                  </w:pPr>
                  <w:r>
                    <w:rPr>
                      <w:rFonts w:cs="Times New Roman"/>
                      <w:color w:val="auto"/>
                      <w:szCs w:val="21"/>
                      <w:highlight w:val="none"/>
                    </w:rPr>
                    <w:t>15</w:t>
                  </w:r>
                </w:p>
              </w:tc>
              <w:tc>
                <w:tcPr>
                  <w:tcW w:w="472" w:type="pct"/>
                  <w:tcBorders>
                    <w:tl2br w:val="nil"/>
                    <w:tr2bl w:val="nil"/>
                  </w:tcBorders>
                </w:tcPr>
                <w:p w14:paraId="460E7789">
                  <w:pPr>
                    <w:snapToGrid w:val="0"/>
                    <w:spacing w:line="230" w:lineRule="exact"/>
                    <w:jc w:val="center"/>
                    <w:rPr>
                      <w:rFonts w:cs="Times New Roman"/>
                      <w:color w:val="auto"/>
                      <w:szCs w:val="21"/>
                      <w:highlight w:val="none"/>
                    </w:rPr>
                  </w:pPr>
                  <w:r>
                    <w:rPr>
                      <w:rFonts w:cs="Times New Roman"/>
                      <w:color w:val="auto"/>
                      <w:szCs w:val="21"/>
                      <w:highlight w:val="none"/>
                    </w:rPr>
                    <w:t>小切机6</w:t>
                  </w:r>
                </w:p>
              </w:tc>
              <w:tc>
                <w:tcPr>
                  <w:tcW w:w="536" w:type="pct"/>
                  <w:tcBorders>
                    <w:tl2br w:val="nil"/>
                    <w:tr2bl w:val="nil"/>
                  </w:tcBorders>
                </w:tcPr>
                <w:p w14:paraId="4F48CF57">
                  <w:pPr>
                    <w:widowControl/>
                    <w:spacing w:line="230" w:lineRule="exact"/>
                    <w:jc w:val="center"/>
                    <w:rPr>
                      <w:rFonts w:cs="Times New Roman"/>
                      <w:color w:val="auto"/>
                      <w:szCs w:val="21"/>
                      <w:highlight w:val="none"/>
                    </w:rPr>
                  </w:pPr>
                  <w:r>
                    <w:rPr>
                      <w:rFonts w:cs="Times New Roman"/>
                      <w:color w:val="auto"/>
                      <w:szCs w:val="21"/>
                      <w:highlight w:val="none"/>
                    </w:rPr>
                    <w:t>/</w:t>
                  </w:r>
                </w:p>
              </w:tc>
              <w:tc>
                <w:tcPr>
                  <w:tcW w:w="354" w:type="pct"/>
                  <w:tcBorders>
                    <w:tl2br w:val="nil"/>
                    <w:tr2bl w:val="nil"/>
                  </w:tcBorders>
                </w:tcPr>
                <w:p w14:paraId="4F046715">
                  <w:pPr>
                    <w:spacing w:line="230" w:lineRule="exact"/>
                    <w:jc w:val="center"/>
                    <w:rPr>
                      <w:rFonts w:hint="default" w:eastAsia="宋体" w:cs="Times New Roman"/>
                      <w:color w:val="auto"/>
                      <w:szCs w:val="21"/>
                      <w:highlight w:val="none"/>
                      <w:lang w:val="en-US" w:eastAsia="zh-CN"/>
                    </w:rPr>
                  </w:pPr>
                  <w:r>
                    <w:rPr>
                      <w:rFonts w:hint="eastAsia" w:cs="Times New Roman"/>
                      <w:color w:val="auto"/>
                      <w:szCs w:val="21"/>
                      <w:highlight w:val="none"/>
                      <w:lang w:val="en-US" w:eastAsia="zh-CN"/>
                    </w:rPr>
                    <w:t>90</w:t>
                  </w:r>
                </w:p>
              </w:tc>
              <w:tc>
                <w:tcPr>
                  <w:tcW w:w="314" w:type="pct"/>
                  <w:vMerge w:val="continue"/>
                  <w:tcBorders>
                    <w:tl2br w:val="nil"/>
                    <w:tr2bl w:val="nil"/>
                  </w:tcBorders>
                  <w:vAlign w:val="center"/>
                </w:tcPr>
                <w:p w14:paraId="43C7B0B9">
                  <w:pPr>
                    <w:spacing w:line="230" w:lineRule="exact"/>
                    <w:jc w:val="center"/>
                    <w:rPr>
                      <w:rFonts w:cs="Times New Roman"/>
                      <w:color w:val="auto"/>
                      <w:szCs w:val="21"/>
                      <w:highlight w:val="none"/>
                    </w:rPr>
                  </w:pPr>
                </w:p>
              </w:tc>
              <w:tc>
                <w:tcPr>
                  <w:tcW w:w="361" w:type="pct"/>
                  <w:tcBorders>
                    <w:tl2br w:val="nil"/>
                    <w:tr2bl w:val="nil"/>
                  </w:tcBorders>
                  <w:vAlign w:val="center"/>
                </w:tcPr>
                <w:p w14:paraId="2F4C2BE5">
                  <w:pPr>
                    <w:spacing w:line="230" w:lineRule="exact"/>
                    <w:jc w:val="center"/>
                    <w:rPr>
                      <w:rFonts w:cs="Times New Roman"/>
                      <w:color w:val="auto"/>
                      <w:szCs w:val="21"/>
                      <w:highlight w:val="none"/>
                    </w:rPr>
                  </w:pPr>
                  <w:r>
                    <w:rPr>
                      <w:rFonts w:hint="eastAsia"/>
                    </w:rPr>
                    <w:t>64.82</w:t>
                  </w:r>
                </w:p>
              </w:tc>
              <w:tc>
                <w:tcPr>
                  <w:tcW w:w="361" w:type="pct"/>
                  <w:tcBorders>
                    <w:tl2br w:val="nil"/>
                    <w:tr2bl w:val="nil"/>
                  </w:tcBorders>
                  <w:vAlign w:val="center"/>
                </w:tcPr>
                <w:p w14:paraId="2D773B6A">
                  <w:pPr>
                    <w:spacing w:line="230" w:lineRule="exact"/>
                    <w:jc w:val="center"/>
                    <w:rPr>
                      <w:rFonts w:cs="Times New Roman"/>
                      <w:color w:val="auto"/>
                      <w:szCs w:val="21"/>
                      <w:highlight w:val="none"/>
                    </w:rPr>
                  </w:pPr>
                  <w:r>
                    <w:rPr>
                      <w:rFonts w:hint="eastAsia"/>
                    </w:rPr>
                    <w:t>28.72</w:t>
                  </w:r>
                </w:p>
              </w:tc>
              <w:tc>
                <w:tcPr>
                  <w:tcW w:w="383" w:type="pct"/>
                  <w:tcBorders>
                    <w:tl2br w:val="nil"/>
                    <w:tr2bl w:val="nil"/>
                  </w:tcBorders>
                  <w:shd w:val="clear" w:color="auto" w:fill="auto"/>
                  <w:vAlign w:val="top"/>
                </w:tcPr>
                <w:p w14:paraId="18179A94">
                  <w:pPr>
                    <w:spacing w:line="230" w:lineRule="exact"/>
                    <w:jc w:val="center"/>
                    <w:rPr>
                      <w:rFonts w:ascii="Times New Roman" w:hAnsi="Times New Roman" w:eastAsia="宋体" w:cs="Times New Roman"/>
                      <w:color w:val="auto"/>
                      <w:kern w:val="2"/>
                      <w:sz w:val="21"/>
                      <w:szCs w:val="21"/>
                      <w:highlight w:val="none"/>
                      <w:lang w:val="en-US" w:eastAsia="zh-CN" w:bidi="ar-SA"/>
                    </w:rPr>
                  </w:pPr>
                  <w:r>
                    <w:rPr>
                      <w:rFonts w:hint="eastAsia"/>
                    </w:rPr>
                    <w:t>1.2</w:t>
                  </w:r>
                </w:p>
              </w:tc>
              <w:tc>
                <w:tcPr>
                  <w:tcW w:w="298" w:type="pct"/>
                  <w:tcBorders>
                    <w:tl2br w:val="nil"/>
                    <w:tr2bl w:val="nil"/>
                  </w:tcBorders>
                  <w:vAlign w:val="center"/>
                </w:tcPr>
                <w:p w14:paraId="77C2C753">
                  <w:pPr>
                    <w:spacing w:line="230" w:lineRule="exact"/>
                    <w:jc w:val="center"/>
                    <w:rPr>
                      <w:rFonts w:cs="Times New Roman"/>
                      <w:color w:val="auto"/>
                      <w:szCs w:val="21"/>
                      <w:highlight w:val="none"/>
                    </w:rPr>
                  </w:pPr>
                  <w:r>
                    <w:rPr>
                      <w:rFonts w:hint="eastAsia"/>
                    </w:rPr>
                    <w:t>18.6</w:t>
                  </w:r>
                </w:p>
              </w:tc>
              <w:tc>
                <w:tcPr>
                  <w:tcW w:w="286" w:type="pct"/>
                  <w:tcBorders>
                    <w:tl2br w:val="nil"/>
                    <w:tr2bl w:val="nil"/>
                  </w:tcBorders>
                  <w:vAlign w:val="center"/>
                </w:tcPr>
                <w:p w14:paraId="527F9AE7">
                  <w:pPr>
                    <w:spacing w:line="230" w:lineRule="exact"/>
                    <w:jc w:val="center"/>
                    <w:rPr>
                      <w:rFonts w:cs="Times New Roman"/>
                      <w:color w:val="auto"/>
                      <w:szCs w:val="21"/>
                      <w:highlight w:val="none"/>
                    </w:rPr>
                  </w:pPr>
                  <w:r>
                    <w:rPr>
                      <w:rFonts w:hint="eastAsia"/>
                    </w:rPr>
                    <w:t>74.87</w:t>
                  </w:r>
                </w:p>
              </w:tc>
              <w:tc>
                <w:tcPr>
                  <w:tcW w:w="246" w:type="pct"/>
                  <w:vMerge w:val="continue"/>
                  <w:tcBorders>
                    <w:tl2br w:val="nil"/>
                    <w:tr2bl w:val="nil"/>
                  </w:tcBorders>
                  <w:vAlign w:val="center"/>
                </w:tcPr>
                <w:p w14:paraId="32B56B8B">
                  <w:pPr>
                    <w:spacing w:line="230" w:lineRule="exact"/>
                    <w:jc w:val="center"/>
                    <w:rPr>
                      <w:rFonts w:cs="Times New Roman"/>
                      <w:color w:val="auto"/>
                      <w:szCs w:val="21"/>
                      <w:highlight w:val="none"/>
                    </w:rPr>
                  </w:pPr>
                </w:p>
              </w:tc>
              <w:tc>
                <w:tcPr>
                  <w:tcW w:w="417" w:type="pct"/>
                  <w:tcBorders>
                    <w:tl2br w:val="nil"/>
                    <w:tr2bl w:val="nil"/>
                  </w:tcBorders>
                </w:tcPr>
                <w:p w14:paraId="6E7F5D73">
                  <w:pPr>
                    <w:spacing w:line="230" w:lineRule="exact"/>
                    <w:jc w:val="center"/>
                    <w:rPr>
                      <w:rFonts w:cs="Times New Roman"/>
                      <w:color w:val="auto"/>
                      <w:szCs w:val="21"/>
                      <w:highlight w:val="none"/>
                    </w:rPr>
                  </w:pPr>
                  <w:r>
                    <w:rPr>
                      <w:rFonts w:cs="Times New Roman"/>
                      <w:color w:val="auto"/>
                      <w:szCs w:val="21"/>
                      <w:highlight w:val="none"/>
                    </w:rPr>
                    <w:t>20</w:t>
                  </w:r>
                </w:p>
              </w:tc>
              <w:tc>
                <w:tcPr>
                  <w:tcW w:w="315" w:type="pct"/>
                  <w:tcBorders>
                    <w:tl2br w:val="nil"/>
                    <w:tr2bl w:val="nil"/>
                  </w:tcBorders>
                  <w:vAlign w:val="center"/>
                </w:tcPr>
                <w:p w14:paraId="044CAAEA">
                  <w:pPr>
                    <w:spacing w:line="230" w:lineRule="exact"/>
                    <w:jc w:val="center"/>
                    <w:rPr>
                      <w:rFonts w:cs="Times New Roman"/>
                      <w:color w:val="auto"/>
                      <w:szCs w:val="21"/>
                      <w:highlight w:val="none"/>
                    </w:rPr>
                  </w:pPr>
                  <w:r>
                    <w:rPr>
                      <w:rFonts w:hint="eastAsia"/>
                    </w:rPr>
                    <w:t>5</w:t>
                  </w:r>
                  <w:r>
                    <w:rPr>
                      <w:rFonts w:hint="eastAsia"/>
                      <w:lang w:val="en-US" w:eastAsia="zh-CN"/>
                    </w:rPr>
                    <w:t>4</w:t>
                  </w:r>
                  <w:r>
                    <w:rPr>
                      <w:rFonts w:hint="eastAsia"/>
                    </w:rPr>
                    <w:t>.87</w:t>
                  </w:r>
                </w:p>
              </w:tc>
              <w:tc>
                <w:tcPr>
                  <w:tcW w:w="355" w:type="pct"/>
                  <w:tcBorders>
                    <w:tl2br w:val="nil"/>
                    <w:tr2bl w:val="nil"/>
                  </w:tcBorders>
                </w:tcPr>
                <w:p w14:paraId="3B0C910D">
                  <w:pPr>
                    <w:spacing w:line="230" w:lineRule="exact"/>
                    <w:jc w:val="center"/>
                    <w:rPr>
                      <w:rFonts w:cs="Times New Roman"/>
                      <w:color w:val="auto"/>
                      <w:szCs w:val="21"/>
                      <w:highlight w:val="none"/>
                    </w:rPr>
                  </w:pPr>
                  <w:r>
                    <w:rPr>
                      <w:rFonts w:cs="Times New Roman"/>
                      <w:color w:val="auto"/>
                      <w:szCs w:val="21"/>
                      <w:highlight w:val="none"/>
                    </w:rPr>
                    <w:t>1</w:t>
                  </w:r>
                </w:p>
              </w:tc>
            </w:tr>
            <w:tr w14:paraId="0BE49CE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02" w:hRule="atLeast"/>
                <w:jc w:val="center"/>
              </w:trPr>
              <w:tc>
                <w:tcPr>
                  <w:tcW w:w="298" w:type="pct"/>
                  <w:tcBorders>
                    <w:tl2br w:val="nil"/>
                    <w:tr2bl w:val="nil"/>
                  </w:tcBorders>
                  <w:vAlign w:val="center"/>
                </w:tcPr>
                <w:p w14:paraId="52C910D8">
                  <w:pPr>
                    <w:spacing w:line="230" w:lineRule="exact"/>
                    <w:jc w:val="center"/>
                    <w:rPr>
                      <w:rFonts w:cs="Times New Roman"/>
                      <w:color w:val="auto"/>
                      <w:szCs w:val="21"/>
                      <w:highlight w:val="none"/>
                    </w:rPr>
                  </w:pPr>
                  <w:r>
                    <w:rPr>
                      <w:rFonts w:cs="Times New Roman"/>
                      <w:color w:val="auto"/>
                      <w:szCs w:val="21"/>
                      <w:highlight w:val="none"/>
                    </w:rPr>
                    <w:t>16</w:t>
                  </w:r>
                </w:p>
              </w:tc>
              <w:tc>
                <w:tcPr>
                  <w:tcW w:w="472" w:type="pct"/>
                  <w:tcBorders>
                    <w:tl2br w:val="nil"/>
                    <w:tr2bl w:val="nil"/>
                  </w:tcBorders>
                  <w:vAlign w:val="center"/>
                </w:tcPr>
                <w:p w14:paraId="664162B2">
                  <w:pPr>
                    <w:snapToGrid w:val="0"/>
                    <w:spacing w:line="230" w:lineRule="exact"/>
                    <w:jc w:val="center"/>
                    <w:rPr>
                      <w:rFonts w:cs="Times New Roman"/>
                      <w:color w:val="auto"/>
                      <w:szCs w:val="21"/>
                      <w:highlight w:val="none"/>
                    </w:rPr>
                  </w:pPr>
                  <w:r>
                    <w:rPr>
                      <w:rFonts w:cs="Times New Roman"/>
                      <w:color w:val="auto"/>
                      <w:szCs w:val="21"/>
                      <w:highlight w:val="none"/>
                    </w:rPr>
                    <w:t>雕刻机1</w:t>
                  </w:r>
                </w:p>
              </w:tc>
              <w:tc>
                <w:tcPr>
                  <w:tcW w:w="536" w:type="pct"/>
                  <w:tcBorders>
                    <w:tl2br w:val="nil"/>
                    <w:tr2bl w:val="nil"/>
                  </w:tcBorders>
                </w:tcPr>
                <w:p w14:paraId="18CCE9A8">
                  <w:pPr>
                    <w:widowControl/>
                    <w:spacing w:line="230" w:lineRule="exact"/>
                    <w:jc w:val="center"/>
                    <w:rPr>
                      <w:rFonts w:cs="Times New Roman"/>
                      <w:color w:val="auto"/>
                      <w:kern w:val="0"/>
                      <w:szCs w:val="21"/>
                      <w:highlight w:val="none"/>
                      <w:lang w:bidi="ar"/>
                    </w:rPr>
                  </w:pPr>
                  <w:r>
                    <w:rPr>
                      <w:rFonts w:cs="Times New Roman"/>
                      <w:color w:val="auto"/>
                      <w:szCs w:val="21"/>
                      <w:highlight w:val="none"/>
                    </w:rPr>
                    <w:t>/</w:t>
                  </w:r>
                </w:p>
              </w:tc>
              <w:tc>
                <w:tcPr>
                  <w:tcW w:w="354" w:type="pct"/>
                  <w:tcBorders>
                    <w:tl2br w:val="nil"/>
                    <w:tr2bl w:val="nil"/>
                  </w:tcBorders>
                  <w:vAlign w:val="center"/>
                </w:tcPr>
                <w:p w14:paraId="4B51A710">
                  <w:pPr>
                    <w:spacing w:line="230" w:lineRule="exact"/>
                    <w:jc w:val="center"/>
                    <w:rPr>
                      <w:rFonts w:hint="default" w:eastAsia="宋体" w:cs="Times New Roman"/>
                      <w:color w:val="auto"/>
                      <w:szCs w:val="21"/>
                      <w:highlight w:val="none"/>
                      <w:lang w:val="en-US" w:eastAsia="zh-CN"/>
                    </w:rPr>
                  </w:pPr>
                  <w:r>
                    <w:rPr>
                      <w:rFonts w:hint="eastAsia" w:cs="Times New Roman"/>
                      <w:color w:val="auto"/>
                      <w:szCs w:val="21"/>
                      <w:highlight w:val="none"/>
                      <w:lang w:val="en-US" w:eastAsia="zh-CN"/>
                    </w:rPr>
                    <w:t>70</w:t>
                  </w:r>
                </w:p>
              </w:tc>
              <w:tc>
                <w:tcPr>
                  <w:tcW w:w="314" w:type="pct"/>
                  <w:vMerge w:val="continue"/>
                  <w:tcBorders>
                    <w:tl2br w:val="nil"/>
                    <w:tr2bl w:val="nil"/>
                  </w:tcBorders>
                  <w:vAlign w:val="center"/>
                </w:tcPr>
                <w:p w14:paraId="28C857B3">
                  <w:pPr>
                    <w:spacing w:line="230" w:lineRule="exact"/>
                    <w:jc w:val="center"/>
                    <w:rPr>
                      <w:rFonts w:cs="Times New Roman"/>
                      <w:color w:val="auto"/>
                      <w:szCs w:val="21"/>
                      <w:highlight w:val="none"/>
                    </w:rPr>
                  </w:pPr>
                </w:p>
              </w:tc>
              <w:tc>
                <w:tcPr>
                  <w:tcW w:w="361" w:type="pct"/>
                  <w:tcBorders>
                    <w:tl2br w:val="nil"/>
                    <w:tr2bl w:val="nil"/>
                  </w:tcBorders>
                  <w:vAlign w:val="center"/>
                </w:tcPr>
                <w:p w14:paraId="3FE35D95">
                  <w:pPr>
                    <w:spacing w:line="230" w:lineRule="exact"/>
                    <w:jc w:val="center"/>
                    <w:rPr>
                      <w:rFonts w:cs="Times New Roman"/>
                      <w:color w:val="auto"/>
                      <w:szCs w:val="21"/>
                      <w:highlight w:val="none"/>
                    </w:rPr>
                  </w:pPr>
                  <w:r>
                    <w:rPr>
                      <w:rFonts w:hint="eastAsia"/>
                    </w:rPr>
                    <w:t>35.49</w:t>
                  </w:r>
                </w:p>
              </w:tc>
              <w:tc>
                <w:tcPr>
                  <w:tcW w:w="361" w:type="pct"/>
                  <w:tcBorders>
                    <w:tl2br w:val="nil"/>
                    <w:tr2bl w:val="nil"/>
                  </w:tcBorders>
                  <w:vAlign w:val="center"/>
                </w:tcPr>
                <w:p w14:paraId="45CCD14D">
                  <w:pPr>
                    <w:spacing w:line="230" w:lineRule="exact"/>
                    <w:jc w:val="center"/>
                    <w:rPr>
                      <w:rFonts w:cs="Times New Roman"/>
                      <w:color w:val="auto"/>
                      <w:szCs w:val="21"/>
                      <w:highlight w:val="none"/>
                    </w:rPr>
                  </w:pPr>
                  <w:r>
                    <w:rPr>
                      <w:rFonts w:hint="eastAsia"/>
                    </w:rPr>
                    <w:t>22.01</w:t>
                  </w:r>
                </w:p>
              </w:tc>
              <w:tc>
                <w:tcPr>
                  <w:tcW w:w="383" w:type="pct"/>
                  <w:tcBorders>
                    <w:tl2br w:val="nil"/>
                    <w:tr2bl w:val="nil"/>
                  </w:tcBorders>
                  <w:vAlign w:val="center"/>
                </w:tcPr>
                <w:p w14:paraId="232BE561">
                  <w:pPr>
                    <w:spacing w:line="230" w:lineRule="exact"/>
                    <w:jc w:val="center"/>
                    <w:rPr>
                      <w:rFonts w:cs="Times New Roman"/>
                      <w:color w:val="auto"/>
                      <w:szCs w:val="21"/>
                      <w:highlight w:val="none"/>
                    </w:rPr>
                  </w:pPr>
                  <w:r>
                    <w:rPr>
                      <w:rFonts w:hint="eastAsia"/>
                    </w:rPr>
                    <w:t>1</w:t>
                  </w:r>
                </w:p>
              </w:tc>
              <w:tc>
                <w:tcPr>
                  <w:tcW w:w="298" w:type="pct"/>
                  <w:tcBorders>
                    <w:tl2br w:val="nil"/>
                    <w:tr2bl w:val="nil"/>
                  </w:tcBorders>
                  <w:vAlign w:val="center"/>
                </w:tcPr>
                <w:p w14:paraId="60430DB7">
                  <w:pPr>
                    <w:spacing w:line="230" w:lineRule="exact"/>
                    <w:jc w:val="center"/>
                    <w:rPr>
                      <w:rFonts w:cs="Times New Roman"/>
                      <w:color w:val="auto"/>
                      <w:szCs w:val="21"/>
                      <w:highlight w:val="none"/>
                    </w:rPr>
                  </w:pPr>
                  <w:r>
                    <w:rPr>
                      <w:rFonts w:hint="eastAsia"/>
                    </w:rPr>
                    <w:t>17.</w:t>
                  </w:r>
                  <w:r>
                    <w:rPr>
                      <w:rFonts w:hint="eastAsia"/>
                      <w:lang w:val="en-US" w:eastAsia="zh-CN"/>
                    </w:rPr>
                    <w:t>7</w:t>
                  </w:r>
                </w:p>
              </w:tc>
              <w:tc>
                <w:tcPr>
                  <w:tcW w:w="286" w:type="pct"/>
                  <w:tcBorders>
                    <w:tl2br w:val="nil"/>
                    <w:tr2bl w:val="nil"/>
                  </w:tcBorders>
                  <w:vAlign w:val="center"/>
                </w:tcPr>
                <w:p w14:paraId="39FFBCCB">
                  <w:pPr>
                    <w:spacing w:line="230" w:lineRule="exact"/>
                    <w:jc w:val="center"/>
                    <w:rPr>
                      <w:rFonts w:cs="Times New Roman"/>
                      <w:color w:val="auto"/>
                      <w:szCs w:val="21"/>
                      <w:highlight w:val="none"/>
                    </w:rPr>
                  </w:pPr>
                  <w:r>
                    <w:rPr>
                      <w:rFonts w:hint="eastAsia"/>
                    </w:rPr>
                    <w:t>54.87</w:t>
                  </w:r>
                </w:p>
              </w:tc>
              <w:tc>
                <w:tcPr>
                  <w:tcW w:w="246" w:type="pct"/>
                  <w:vMerge w:val="continue"/>
                  <w:tcBorders>
                    <w:tl2br w:val="nil"/>
                    <w:tr2bl w:val="nil"/>
                  </w:tcBorders>
                  <w:vAlign w:val="center"/>
                </w:tcPr>
                <w:p w14:paraId="16C6566E">
                  <w:pPr>
                    <w:spacing w:line="230" w:lineRule="exact"/>
                    <w:jc w:val="center"/>
                    <w:rPr>
                      <w:rFonts w:cs="Times New Roman"/>
                      <w:color w:val="auto"/>
                      <w:szCs w:val="21"/>
                      <w:highlight w:val="none"/>
                    </w:rPr>
                  </w:pPr>
                </w:p>
              </w:tc>
              <w:tc>
                <w:tcPr>
                  <w:tcW w:w="417" w:type="pct"/>
                  <w:tcBorders>
                    <w:tl2br w:val="nil"/>
                    <w:tr2bl w:val="nil"/>
                  </w:tcBorders>
                  <w:vAlign w:val="center"/>
                </w:tcPr>
                <w:p w14:paraId="3E99B233">
                  <w:pPr>
                    <w:spacing w:line="230" w:lineRule="exact"/>
                    <w:jc w:val="center"/>
                    <w:rPr>
                      <w:rFonts w:cs="Times New Roman"/>
                      <w:color w:val="auto"/>
                      <w:szCs w:val="21"/>
                      <w:highlight w:val="none"/>
                    </w:rPr>
                  </w:pPr>
                  <w:r>
                    <w:rPr>
                      <w:rFonts w:cs="Times New Roman"/>
                      <w:color w:val="auto"/>
                      <w:szCs w:val="21"/>
                      <w:highlight w:val="none"/>
                    </w:rPr>
                    <w:t>20</w:t>
                  </w:r>
                </w:p>
              </w:tc>
              <w:tc>
                <w:tcPr>
                  <w:tcW w:w="315" w:type="pct"/>
                  <w:tcBorders>
                    <w:tl2br w:val="nil"/>
                    <w:tr2bl w:val="nil"/>
                  </w:tcBorders>
                  <w:vAlign w:val="center"/>
                </w:tcPr>
                <w:p w14:paraId="3C24D347">
                  <w:pPr>
                    <w:spacing w:line="230" w:lineRule="exact"/>
                    <w:jc w:val="center"/>
                    <w:rPr>
                      <w:rFonts w:cs="Times New Roman"/>
                      <w:color w:val="auto"/>
                      <w:szCs w:val="21"/>
                      <w:highlight w:val="none"/>
                    </w:rPr>
                  </w:pPr>
                  <w:r>
                    <w:rPr>
                      <w:rFonts w:hint="eastAsia"/>
                    </w:rPr>
                    <w:t>3</w:t>
                  </w:r>
                  <w:r>
                    <w:rPr>
                      <w:rFonts w:hint="eastAsia"/>
                      <w:lang w:val="en-US" w:eastAsia="zh-CN"/>
                    </w:rPr>
                    <w:t>4</w:t>
                  </w:r>
                  <w:r>
                    <w:rPr>
                      <w:rFonts w:hint="eastAsia"/>
                    </w:rPr>
                    <w:t>.87</w:t>
                  </w:r>
                </w:p>
              </w:tc>
              <w:tc>
                <w:tcPr>
                  <w:tcW w:w="355" w:type="pct"/>
                  <w:tcBorders>
                    <w:tl2br w:val="nil"/>
                    <w:tr2bl w:val="nil"/>
                  </w:tcBorders>
                </w:tcPr>
                <w:p w14:paraId="57B52423">
                  <w:pPr>
                    <w:spacing w:line="230" w:lineRule="exact"/>
                    <w:jc w:val="center"/>
                    <w:rPr>
                      <w:rFonts w:cs="Times New Roman"/>
                      <w:color w:val="auto"/>
                      <w:szCs w:val="21"/>
                      <w:highlight w:val="none"/>
                    </w:rPr>
                  </w:pPr>
                  <w:r>
                    <w:rPr>
                      <w:rFonts w:cs="Times New Roman"/>
                      <w:color w:val="auto"/>
                      <w:szCs w:val="21"/>
                      <w:highlight w:val="none"/>
                    </w:rPr>
                    <w:t>1</w:t>
                  </w:r>
                </w:p>
              </w:tc>
            </w:tr>
            <w:tr w14:paraId="76AAD5F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02" w:hRule="atLeast"/>
                <w:jc w:val="center"/>
              </w:trPr>
              <w:tc>
                <w:tcPr>
                  <w:tcW w:w="298" w:type="pct"/>
                  <w:tcBorders>
                    <w:tl2br w:val="nil"/>
                    <w:tr2bl w:val="nil"/>
                  </w:tcBorders>
                  <w:vAlign w:val="center"/>
                </w:tcPr>
                <w:p w14:paraId="33A9C511">
                  <w:pPr>
                    <w:spacing w:line="230" w:lineRule="exact"/>
                    <w:jc w:val="center"/>
                    <w:rPr>
                      <w:rFonts w:cs="Times New Roman"/>
                      <w:color w:val="auto"/>
                      <w:szCs w:val="21"/>
                      <w:highlight w:val="none"/>
                    </w:rPr>
                  </w:pPr>
                  <w:r>
                    <w:rPr>
                      <w:rFonts w:cs="Times New Roman"/>
                      <w:color w:val="auto"/>
                      <w:szCs w:val="21"/>
                      <w:highlight w:val="none"/>
                    </w:rPr>
                    <w:t>17</w:t>
                  </w:r>
                </w:p>
              </w:tc>
              <w:tc>
                <w:tcPr>
                  <w:tcW w:w="472" w:type="pct"/>
                  <w:tcBorders>
                    <w:tl2br w:val="nil"/>
                    <w:tr2bl w:val="nil"/>
                  </w:tcBorders>
                  <w:vAlign w:val="center"/>
                </w:tcPr>
                <w:p w14:paraId="5ADCBE1C">
                  <w:pPr>
                    <w:snapToGrid w:val="0"/>
                    <w:spacing w:line="230" w:lineRule="exact"/>
                    <w:jc w:val="center"/>
                    <w:rPr>
                      <w:rFonts w:cs="Times New Roman"/>
                      <w:color w:val="auto"/>
                      <w:szCs w:val="21"/>
                      <w:highlight w:val="none"/>
                    </w:rPr>
                  </w:pPr>
                  <w:r>
                    <w:rPr>
                      <w:rFonts w:cs="Times New Roman"/>
                      <w:color w:val="auto"/>
                      <w:szCs w:val="21"/>
                      <w:highlight w:val="none"/>
                    </w:rPr>
                    <w:t>雕刻机2</w:t>
                  </w:r>
                </w:p>
              </w:tc>
              <w:tc>
                <w:tcPr>
                  <w:tcW w:w="536" w:type="pct"/>
                  <w:tcBorders>
                    <w:tl2br w:val="nil"/>
                    <w:tr2bl w:val="nil"/>
                  </w:tcBorders>
                </w:tcPr>
                <w:p w14:paraId="20E6D97E">
                  <w:pPr>
                    <w:widowControl/>
                    <w:spacing w:line="230" w:lineRule="exact"/>
                    <w:jc w:val="center"/>
                    <w:rPr>
                      <w:rFonts w:cs="Times New Roman"/>
                      <w:color w:val="auto"/>
                      <w:szCs w:val="21"/>
                      <w:highlight w:val="none"/>
                    </w:rPr>
                  </w:pPr>
                  <w:r>
                    <w:rPr>
                      <w:rFonts w:cs="Times New Roman"/>
                      <w:color w:val="auto"/>
                      <w:szCs w:val="21"/>
                      <w:highlight w:val="none"/>
                    </w:rPr>
                    <w:t>/</w:t>
                  </w:r>
                </w:p>
              </w:tc>
              <w:tc>
                <w:tcPr>
                  <w:tcW w:w="354" w:type="pct"/>
                  <w:tcBorders>
                    <w:tl2br w:val="nil"/>
                    <w:tr2bl w:val="nil"/>
                  </w:tcBorders>
                  <w:vAlign w:val="center"/>
                </w:tcPr>
                <w:p w14:paraId="1C00E190">
                  <w:pPr>
                    <w:spacing w:line="230" w:lineRule="exact"/>
                    <w:jc w:val="center"/>
                    <w:rPr>
                      <w:rFonts w:hint="default" w:eastAsia="宋体" w:cs="Times New Roman"/>
                      <w:color w:val="auto"/>
                      <w:szCs w:val="21"/>
                      <w:highlight w:val="none"/>
                      <w:lang w:val="en-US" w:eastAsia="zh-CN"/>
                    </w:rPr>
                  </w:pPr>
                  <w:r>
                    <w:rPr>
                      <w:rFonts w:hint="eastAsia" w:cs="Times New Roman"/>
                      <w:color w:val="auto"/>
                      <w:szCs w:val="21"/>
                      <w:highlight w:val="none"/>
                      <w:lang w:val="en-US" w:eastAsia="zh-CN"/>
                    </w:rPr>
                    <w:t>70</w:t>
                  </w:r>
                </w:p>
              </w:tc>
              <w:tc>
                <w:tcPr>
                  <w:tcW w:w="314" w:type="pct"/>
                  <w:vMerge w:val="continue"/>
                  <w:tcBorders>
                    <w:tl2br w:val="nil"/>
                    <w:tr2bl w:val="nil"/>
                  </w:tcBorders>
                  <w:vAlign w:val="center"/>
                </w:tcPr>
                <w:p w14:paraId="3762CE9F">
                  <w:pPr>
                    <w:spacing w:line="230" w:lineRule="exact"/>
                    <w:jc w:val="center"/>
                    <w:rPr>
                      <w:rFonts w:cs="Times New Roman"/>
                      <w:color w:val="auto"/>
                      <w:szCs w:val="21"/>
                      <w:highlight w:val="none"/>
                    </w:rPr>
                  </w:pPr>
                </w:p>
              </w:tc>
              <w:tc>
                <w:tcPr>
                  <w:tcW w:w="361" w:type="pct"/>
                  <w:tcBorders>
                    <w:tl2br w:val="nil"/>
                    <w:tr2bl w:val="nil"/>
                  </w:tcBorders>
                  <w:vAlign w:val="center"/>
                </w:tcPr>
                <w:p w14:paraId="4AC92E07">
                  <w:pPr>
                    <w:spacing w:line="230" w:lineRule="exact"/>
                    <w:jc w:val="center"/>
                    <w:rPr>
                      <w:rFonts w:cs="Times New Roman"/>
                      <w:color w:val="auto"/>
                      <w:szCs w:val="21"/>
                      <w:highlight w:val="none"/>
                    </w:rPr>
                  </w:pPr>
                  <w:r>
                    <w:rPr>
                      <w:rFonts w:hint="eastAsia"/>
                    </w:rPr>
                    <w:t>41.82</w:t>
                  </w:r>
                </w:p>
              </w:tc>
              <w:tc>
                <w:tcPr>
                  <w:tcW w:w="361" w:type="pct"/>
                  <w:tcBorders>
                    <w:tl2br w:val="nil"/>
                    <w:tr2bl w:val="nil"/>
                  </w:tcBorders>
                  <w:vAlign w:val="center"/>
                </w:tcPr>
                <w:p w14:paraId="63E349B2">
                  <w:pPr>
                    <w:spacing w:line="230" w:lineRule="exact"/>
                    <w:jc w:val="center"/>
                    <w:rPr>
                      <w:rFonts w:cs="Times New Roman"/>
                      <w:color w:val="auto"/>
                      <w:szCs w:val="21"/>
                      <w:highlight w:val="none"/>
                    </w:rPr>
                  </w:pPr>
                  <w:r>
                    <w:rPr>
                      <w:rFonts w:hint="eastAsia"/>
                    </w:rPr>
                    <w:t>22.36</w:t>
                  </w:r>
                </w:p>
              </w:tc>
              <w:tc>
                <w:tcPr>
                  <w:tcW w:w="383" w:type="pct"/>
                  <w:tcBorders>
                    <w:tl2br w:val="nil"/>
                    <w:tr2bl w:val="nil"/>
                  </w:tcBorders>
                  <w:vAlign w:val="top"/>
                </w:tcPr>
                <w:p w14:paraId="0F042CA7">
                  <w:pPr>
                    <w:spacing w:line="230" w:lineRule="exact"/>
                    <w:jc w:val="center"/>
                    <w:rPr>
                      <w:rFonts w:cs="Times New Roman"/>
                      <w:color w:val="auto"/>
                      <w:szCs w:val="21"/>
                      <w:highlight w:val="none"/>
                    </w:rPr>
                  </w:pPr>
                  <w:r>
                    <w:rPr>
                      <w:rFonts w:hint="eastAsia"/>
                    </w:rPr>
                    <w:t>1</w:t>
                  </w:r>
                </w:p>
              </w:tc>
              <w:tc>
                <w:tcPr>
                  <w:tcW w:w="298" w:type="pct"/>
                  <w:tcBorders>
                    <w:tl2br w:val="nil"/>
                    <w:tr2bl w:val="nil"/>
                  </w:tcBorders>
                  <w:vAlign w:val="center"/>
                </w:tcPr>
                <w:p w14:paraId="5C8F2935">
                  <w:pPr>
                    <w:spacing w:line="230" w:lineRule="exact"/>
                    <w:jc w:val="center"/>
                    <w:rPr>
                      <w:rFonts w:cs="Times New Roman"/>
                      <w:color w:val="auto"/>
                      <w:szCs w:val="21"/>
                      <w:highlight w:val="none"/>
                    </w:rPr>
                  </w:pPr>
                  <w:r>
                    <w:rPr>
                      <w:rFonts w:hint="eastAsia"/>
                    </w:rPr>
                    <w:t>18.0</w:t>
                  </w:r>
                </w:p>
              </w:tc>
              <w:tc>
                <w:tcPr>
                  <w:tcW w:w="286" w:type="pct"/>
                  <w:tcBorders>
                    <w:tl2br w:val="nil"/>
                    <w:tr2bl w:val="nil"/>
                  </w:tcBorders>
                  <w:vAlign w:val="center"/>
                </w:tcPr>
                <w:p w14:paraId="01BF0429">
                  <w:pPr>
                    <w:spacing w:line="230" w:lineRule="exact"/>
                    <w:jc w:val="center"/>
                    <w:rPr>
                      <w:rFonts w:cs="Times New Roman"/>
                      <w:color w:val="auto"/>
                      <w:szCs w:val="21"/>
                      <w:highlight w:val="none"/>
                    </w:rPr>
                  </w:pPr>
                  <w:r>
                    <w:rPr>
                      <w:rFonts w:hint="eastAsia"/>
                    </w:rPr>
                    <w:t>54.87</w:t>
                  </w:r>
                </w:p>
              </w:tc>
              <w:tc>
                <w:tcPr>
                  <w:tcW w:w="246" w:type="pct"/>
                  <w:vMerge w:val="continue"/>
                  <w:tcBorders>
                    <w:tl2br w:val="nil"/>
                    <w:tr2bl w:val="nil"/>
                  </w:tcBorders>
                  <w:vAlign w:val="center"/>
                </w:tcPr>
                <w:p w14:paraId="3EF445FA">
                  <w:pPr>
                    <w:spacing w:line="230" w:lineRule="exact"/>
                    <w:jc w:val="center"/>
                    <w:rPr>
                      <w:rFonts w:cs="Times New Roman"/>
                      <w:color w:val="auto"/>
                      <w:szCs w:val="21"/>
                      <w:highlight w:val="none"/>
                    </w:rPr>
                  </w:pPr>
                </w:p>
              </w:tc>
              <w:tc>
                <w:tcPr>
                  <w:tcW w:w="417" w:type="pct"/>
                  <w:tcBorders>
                    <w:tl2br w:val="nil"/>
                    <w:tr2bl w:val="nil"/>
                  </w:tcBorders>
                </w:tcPr>
                <w:p w14:paraId="75268B84">
                  <w:pPr>
                    <w:spacing w:line="230" w:lineRule="exact"/>
                    <w:jc w:val="center"/>
                    <w:rPr>
                      <w:rFonts w:cs="Times New Roman"/>
                      <w:color w:val="auto"/>
                      <w:szCs w:val="21"/>
                      <w:highlight w:val="none"/>
                    </w:rPr>
                  </w:pPr>
                  <w:r>
                    <w:rPr>
                      <w:rFonts w:cs="Times New Roman"/>
                      <w:color w:val="auto"/>
                      <w:szCs w:val="21"/>
                      <w:highlight w:val="none"/>
                    </w:rPr>
                    <w:t>20</w:t>
                  </w:r>
                </w:p>
              </w:tc>
              <w:tc>
                <w:tcPr>
                  <w:tcW w:w="315" w:type="pct"/>
                  <w:tcBorders>
                    <w:tl2br w:val="nil"/>
                    <w:tr2bl w:val="nil"/>
                  </w:tcBorders>
                  <w:vAlign w:val="center"/>
                </w:tcPr>
                <w:p w14:paraId="548B539D">
                  <w:pPr>
                    <w:spacing w:line="230" w:lineRule="exact"/>
                    <w:jc w:val="center"/>
                    <w:rPr>
                      <w:rFonts w:cs="Times New Roman"/>
                      <w:color w:val="auto"/>
                      <w:szCs w:val="21"/>
                      <w:highlight w:val="none"/>
                    </w:rPr>
                  </w:pPr>
                  <w:r>
                    <w:rPr>
                      <w:rFonts w:hint="eastAsia"/>
                    </w:rPr>
                    <w:t>3</w:t>
                  </w:r>
                  <w:r>
                    <w:rPr>
                      <w:rFonts w:hint="eastAsia"/>
                      <w:lang w:val="en-US" w:eastAsia="zh-CN"/>
                    </w:rPr>
                    <w:t>4</w:t>
                  </w:r>
                  <w:r>
                    <w:rPr>
                      <w:rFonts w:hint="eastAsia"/>
                    </w:rPr>
                    <w:t>.87</w:t>
                  </w:r>
                </w:p>
              </w:tc>
              <w:tc>
                <w:tcPr>
                  <w:tcW w:w="355" w:type="pct"/>
                  <w:tcBorders>
                    <w:tl2br w:val="nil"/>
                    <w:tr2bl w:val="nil"/>
                  </w:tcBorders>
                </w:tcPr>
                <w:p w14:paraId="6D3EAE4A">
                  <w:pPr>
                    <w:spacing w:line="230" w:lineRule="exact"/>
                    <w:jc w:val="center"/>
                    <w:rPr>
                      <w:rFonts w:cs="Times New Roman"/>
                      <w:color w:val="auto"/>
                      <w:szCs w:val="21"/>
                      <w:highlight w:val="none"/>
                    </w:rPr>
                  </w:pPr>
                  <w:r>
                    <w:rPr>
                      <w:rFonts w:cs="Times New Roman"/>
                      <w:color w:val="auto"/>
                      <w:szCs w:val="21"/>
                      <w:highlight w:val="none"/>
                    </w:rPr>
                    <w:t>1</w:t>
                  </w:r>
                </w:p>
              </w:tc>
            </w:tr>
            <w:tr w14:paraId="0697709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02" w:hRule="atLeast"/>
                <w:jc w:val="center"/>
              </w:trPr>
              <w:tc>
                <w:tcPr>
                  <w:tcW w:w="298" w:type="pct"/>
                  <w:tcBorders>
                    <w:tl2br w:val="nil"/>
                    <w:tr2bl w:val="nil"/>
                  </w:tcBorders>
                  <w:vAlign w:val="center"/>
                </w:tcPr>
                <w:p w14:paraId="0943A2D3">
                  <w:pPr>
                    <w:spacing w:line="230" w:lineRule="exact"/>
                    <w:jc w:val="center"/>
                    <w:rPr>
                      <w:rFonts w:cs="Times New Roman"/>
                      <w:color w:val="auto"/>
                      <w:szCs w:val="21"/>
                      <w:highlight w:val="none"/>
                    </w:rPr>
                  </w:pPr>
                  <w:r>
                    <w:rPr>
                      <w:rFonts w:cs="Times New Roman"/>
                      <w:color w:val="auto"/>
                      <w:szCs w:val="21"/>
                      <w:highlight w:val="none"/>
                    </w:rPr>
                    <w:t>18</w:t>
                  </w:r>
                </w:p>
              </w:tc>
              <w:tc>
                <w:tcPr>
                  <w:tcW w:w="472" w:type="pct"/>
                  <w:tcBorders>
                    <w:tl2br w:val="nil"/>
                    <w:tr2bl w:val="nil"/>
                  </w:tcBorders>
                  <w:vAlign w:val="center"/>
                </w:tcPr>
                <w:p w14:paraId="2455C344">
                  <w:pPr>
                    <w:snapToGrid w:val="0"/>
                    <w:spacing w:line="230" w:lineRule="exact"/>
                    <w:jc w:val="center"/>
                    <w:rPr>
                      <w:rFonts w:cs="Times New Roman"/>
                      <w:color w:val="auto"/>
                      <w:szCs w:val="21"/>
                      <w:highlight w:val="none"/>
                    </w:rPr>
                  </w:pPr>
                  <w:r>
                    <w:rPr>
                      <w:rFonts w:cs="Times New Roman"/>
                      <w:color w:val="auto"/>
                      <w:szCs w:val="21"/>
                      <w:highlight w:val="none"/>
                    </w:rPr>
                    <w:t>雕刻机3</w:t>
                  </w:r>
                </w:p>
              </w:tc>
              <w:tc>
                <w:tcPr>
                  <w:tcW w:w="536" w:type="pct"/>
                  <w:tcBorders>
                    <w:tl2br w:val="nil"/>
                    <w:tr2bl w:val="nil"/>
                  </w:tcBorders>
                </w:tcPr>
                <w:p w14:paraId="1668A82B">
                  <w:pPr>
                    <w:widowControl/>
                    <w:spacing w:line="230" w:lineRule="exact"/>
                    <w:jc w:val="center"/>
                    <w:rPr>
                      <w:rFonts w:cs="Times New Roman"/>
                      <w:color w:val="auto"/>
                      <w:szCs w:val="21"/>
                      <w:highlight w:val="none"/>
                    </w:rPr>
                  </w:pPr>
                  <w:r>
                    <w:rPr>
                      <w:rFonts w:cs="Times New Roman"/>
                      <w:color w:val="auto"/>
                      <w:szCs w:val="21"/>
                      <w:highlight w:val="none"/>
                    </w:rPr>
                    <w:t>/</w:t>
                  </w:r>
                </w:p>
              </w:tc>
              <w:tc>
                <w:tcPr>
                  <w:tcW w:w="354" w:type="pct"/>
                  <w:tcBorders>
                    <w:tl2br w:val="nil"/>
                    <w:tr2bl w:val="nil"/>
                  </w:tcBorders>
                  <w:vAlign w:val="center"/>
                </w:tcPr>
                <w:p w14:paraId="677103C4">
                  <w:pPr>
                    <w:spacing w:line="230" w:lineRule="exact"/>
                    <w:jc w:val="center"/>
                    <w:rPr>
                      <w:rFonts w:hint="default" w:eastAsia="宋体" w:cs="Times New Roman"/>
                      <w:color w:val="auto"/>
                      <w:szCs w:val="21"/>
                      <w:highlight w:val="none"/>
                      <w:lang w:val="en-US" w:eastAsia="zh-CN"/>
                    </w:rPr>
                  </w:pPr>
                  <w:r>
                    <w:rPr>
                      <w:rFonts w:hint="eastAsia" w:cs="Times New Roman"/>
                      <w:color w:val="auto"/>
                      <w:szCs w:val="21"/>
                      <w:highlight w:val="none"/>
                      <w:lang w:val="en-US" w:eastAsia="zh-CN"/>
                    </w:rPr>
                    <w:t>70</w:t>
                  </w:r>
                </w:p>
              </w:tc>
              <w:tc>
                <w:tcPr>
                  <w:tcW w:w="314" w:type="pct"/>
                  <w:vMerge w:val="continue"/>
                  <w:tcBorders>
                    <w:tl2br w:val="nil"/>
                    <w:tr2bl w:val="nil"/>
                  </w:tcBorders>
                  <w:vAlign w:val="center"/>
                </w:tcPr>
                <w:p w14:paraId="4D08C176">
                  <w:pPr>
                    <w:spacing w:line="230" w:lineRule="exact"/>
                    <w:jc w:val="center"/>
                    <w:rPr>
                      <w:rFonts w:cs="Times New Roman"/>
                      <w:color w:val="auto"/>
                      <w:szCs w:val="21"/>
                      <w:highlight w:val="none"/>
                    </w:rPr>
                  </w:pPr>
                </w:p>
              </w:tc>
              <w:tc>
                <w:tcPr>
                  <w:tcW w:w="361" w:type="pct"/>
                  <w:tcBorders>
                    <w:tl2br w:val="nil"/>
                    <w:tr2bl w:val="nil"/>
                  </w:tcBorders>
                  <w:vAlign w:val="center"/>
                </w:tcPr>
                <w:p w14:paraId="03F79ACC">
                  <w:pPr>
                    <w:spacing w:line="230" w:lineRule="exact"/>
                    <w:jc w:val="center"/>
                    <w:rPr>
                      <w:rFonts w:cs="Times New Roman"/>
                      <w:color w:val="auto"/>
                      <w:szCs w:val="21"/>
                      <w:highlight w:val="none"/>
                    </w:rPr>
                  </w:pPr>
                  <w:r>
                    <w:rPr>
                      <w:rFonts w:hint="eastAsia"/>
                    </w:rPr>
                    <w:t>46.97</w:t>
                  </w:r>
                </w:p>
              </w:tc>
              <w:tc>
                <w:tcPr>
                  <w:tcW w:w="361" w:type="pct"/>
                  <w:tcBorders>
                    <w:tl2br w:val="nil"/>
                    <w:tr2bl w:val="nil"/>
                  </w:tcBorders>
                  <w:vAlign w:val="center"/>
                </w:tcPr>
                <w:p w14:paraId="1E7B708C">
                  <w:pPr>
                    <w:spacing w:line="230" w:lineRule="exact"/>
                    <w:jc w:val="center"/>
                    <w:rPr>
                      <w:rFonts w:cs="Times New Roman"/>
                      <w:color w:val="auto"/>
                      <w:szCs w:val="21"/>
                      <w:highlight w:val="none"/>
                    </w:rPr>
                  </w:pPr>
                  <w:r>
                    <w:rPr>
                      <w:rFonts w:hint="eastAsia"/>
                    </w:rPr>
                    <w:t>22.71</w:t>
                  </w:r>
                </w:p>
              </w:tc>
              <w:tc>
                <w:tcPr>
                  <w:tcW w:w="383" w:type="pct"/>
                  <w:tcBorders>
                    <w:tl2br w:val="nil"/>
                    <w:tr2bl w:val="nil"/>
                  </w:tcBorders>
                  <w:vAlign w:val="top"/>
                </w:tcPr>
                <w:p w14:paraId="2A5B3649">
                  <w:pPr>
                    <w:spacing w:line="230" w:lineRule="exact"/>
                    <w:jc w:val="center"/>
                    <w:rPr>
                      <w:rFonts w:cs="Times New Roman"/>
                      <w:color w:val="auto"/>
                      <w:szCs w:val="21"/>
                      <w:highlight w:val="none"/>
                    </w:rPr>
                  </w:pPr>
                  <w:r>
                    <w:rPr>
                      <w:rFonts w:hint="eastAsia"/>
                    </w:rPr>
                    <w:t>1</w:t>
                  </w:r>
                </w:p>
              </w:tc>
              <w:tc>
                <w:tcPr>
                  <w:tcW w:w="298" w:type="pct"/>
                  <w:tcBorders>
                    <w:tl2br w:val="nil"/>
                    <w:tr2bl w:val="nil"/>
                  </w:tcBorders>
                  <w:vAlign w:val="center"/>
                </w:tcPr>
                <w:p w14:paraId="47C19273">
                  <w:pPr>
                    <w:spacing w:line="230" w:lineRule="exact"/>
                    <w:jc w:val="center"/>
                    <w:rPr>
                      <w:rFonts w:cs="Times New Roman"/>
                      <w:color w:val="auto"/>
                      <w:szCs w:val="21"/>
                      <w:highlight w:val="none"/>
                    </w:rPr>
                  </w:pPr>
                  <w:r>
                    <w:rPr>
                      <w:rFonts w:hint="eastAsia"/>
                    </w:rPr>
                    <w:t>18.3</w:t>
                  </w:r>
                </w:p>
              </w:tc>
              <w:tc>
                <w:tcPr>
                  <w:tcW w:w="286" w:type="pct"/>
                  <w:tcBorders>
                    <w:tl2br w:val="nil"/>
                    <w:tr2bl w:val="nil"/>
                  </w:tcBorders>
                  <w:vAlign w:val="center"/>
                </w:tcPr>
                <w:p w14:paraId="2CC369EC">
                  <w:pPr>
                    <w:spacing w:line="230" w:lineRule="exact"/>
                    <w:jc w:val="center"/>
                    <w:rPr>
                      <w:rFonts w:cs="Times New Roman"/>
                      <w:color w:val="auto"/>
                      <w:szCs w:val="21"/>
                      <w:highlight w:val="none"/>
                    </w:rPr>
                  </w:pPr>
                  <w:r>
                    <w:rPr>
                      <w:rFonts w:hint="eastAsia"/>
                    </w:rPr>
                    <w:t>54.87</w:t>
                  </w:r>
                </w:p>
              </w:tc>
              <w:tc>
                <w:tcPr>
                  <w:tcW w:w="246" w:type="pct"/>
                  <w:vMerge w:val="continue"/>
                  <w:tcBorders>
                    <w:tl2br w:val="nil"/>
                    <w:tr2bl w:val="nil"/>
                  </w:tcBorders>
                  <w:vAlign w:val="center"/>
                </w:tcPr>
                <w:p w14:paraId="77A4938A">
                  <w:pPr>
                    <w:spacing w:line="230" w:lineRule="exact"/>
                    <w:jc w:val="center"/>
                    <w:rPr>
                      <w:rFonts w:cs="Times New Roman"/>
                      <w:color w:val="auto"/>
                      <w:szCs w:val="21"/>
                      <w:highlight w:val="none"/>
                    </w:rPr>
                  </w:pPr>
                </w:p>
              </w:tc>
              <w:tc>
                <w:tcPr>
                  <w:tcW w:w="417" w:type="pct"/>
                  <w:tcBorders>
                    <w:tl2br w:val="nil"/>
                    <w:tr2bl w:val="nil"/>
                  </w:tcBorders>
                </w:tcPr>
                <w:p w14:paraId="31108F73">
                  <w:pPr>
                    <w:spacing w:line="230" w:lineRule="exact"/>
                    <w:jc w:val="center"/>
                    <w:rPr>
                      <w:rFonts w:cs="Times New Roman"/>
                      <w:color w:val="auto"/>
                      <w:szCs w:val="21"/>
                      <w:highlight w:val="none"/>
                    </w:rPr>
                  </w:pPr>
                  <w:r>
                    <w:rPr>
                      <w:rFonts w:cs="Times New Roman"/>
                      <w:color w:val="auto"/>
                      <w:szCs w:val="21"/>
                      <w:highlight w:val="none"/>
                    </w:rPr>
                    <w:t>20</w:t>
                  </w:r>
                </w:p>
              </w:tc>
              <w:tc>
                <w:tcPr>
                  <w:tcW w:w="315" w:type="pct"/>
                  <w:tcBorders>
                    <w:tl2br w:val="nil"/>
                    <w:tr2bl w:val="nil"/>
                  </w:tcBorders>
                  <w:vAlign w:val="center"/>
                </w:tcPr>
                <w:p w14:paraId="42058B38">
                  <w:pPr>
                    <w:spacing w:line="230" w:lineRule="exact"/>
                    <w:jc w:val="center"/>
                    <w:rPr>
                      <w:rFonts w:cs="Times New Roman"/>
                      <w:color w:val="auto"/>
                      <w:szCs w:val="21"/>
                      <w:highlight w:val="none"/>
                    </w:rPr>
                  </w:pPr>
                  <w:r>
                    <w:rPr>
                      <w:rFonts w:hint="eastAsia"/>
                    </w:rPr>
                    <w:t>3</w:t>
                  </w:r>
                  <w:r>
                    <w:rPr>
                      <w:rFonts w:hint="eastAsia"/>
                      <w:lang w:val="en-US" w:eastAsia="zh-CN"/>
                    </w:rPr>
                    <w:t>4</w:t>
                  </w:r>
                  <w:r>
                    <w:rPr>
                      <w:rFonts w:hint="eastAsia"/>
                    </w:rPr>
                    <w:t>.87</w:t>
                  </w:r>
                </w:p>
              </w:tc>
              <w:tc>
                <w:tcPr>
                  <w:tcW w:w="355" w:type="pct"/>
                  <w:tcBorders>
                    <w:tl2br w:val="nil"/>
                    <w:tr2bl w:val="nil"/>
                  </w:tcBorders>
                </w:tcPr>
                <w:p w14:paraId="7D3D4C68">
                  <w:pPr>
                    <w:spacing w:line="230" w:lineRule="exact"/>
                    <w:jc w:val="center"/>
                    <w:rPr>
                      <w:rFonts w:cs="Times New Roman"/>
                      <w:color w:val="auto"/>
                      <w:szCs w:val="21"/>
                      <w:highlight w:val="none"/>
                    </w:rPr>
                  </w:pPr>
                  <w:r>
                    <w:rPr>
                      <w:rFonts w:cs="Times New Roman"/>
                      <w:color w:val="auto"/>
                      <w:szCs w:val="21"/>
                      <w:highlight w:val="none"/>
                    </w:rPr>
                    <w:t>1</w:t>
                  </w:r>
                </w:p>
              </w:tc>
            </w:tr>
            <w:tr w14:paraId="16BE2F7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02" w:hRule="atLeast"/>
                <w:jc w:val="center"/>
              </w:trPr>
              <w:tc>
                <w:tcPr>
                  <w:tcW w:w="298" w:type="pct"/>
                  <w:tcBorders>
                    <w:tl2br w:val="nil"/>
                    <w:tr2bl w:val="nil"/>
                  </w:tcBorders>
                  <w:vAlign w:val="center"/>
                </w:tcPr>
                <w:p w14:paraId="5B629E49">
                  <w:pPr>
                    <w:spacing w:line="230" w:lineRule="exact"/>
                    <w:jc w:val="center"/>
                    <w:rPr>
                      <w:rFonts w:cs="Times New Roman"/>
                      <w:color w:val="auto"/>
                      <w:szCs w:val="21"/>
                      <w:highlight w:val="none"/>
                    </w:rPr>
                  </w:pPr>
                  <w:r>
                    <w:rPr>
                      <w:rFonts w:cs="Times New Roman"/>
                      <w:color w:val="auto"/>
                      <w:szCs w:val="21"/>
                      <w:highlight w:val="none"/>
                    </w:rPr>
                    <w:t>19</w:t>
                  </w:r>
                </w:p>
              </w:tc>
              <w:tc>
                <w:tcPr>
                  <w:tcW w:w="472" w:type="pct"/>
                  <w:tcBorders>
                    <w:tl2br w:val="nil"/>
                    <w:tr2bl w:val="nil"/>
                  </w:tcBorders>
                  <w:vAlign w:val="center"/>
                </w:tcPr>
                <w:p w14:paraId="17096BA0">
                  <w:pPr>
                    <w:snapToGrid w:val="0"/>
                    <w:spacing w:line="230" w:lineRule="exact"/>
                    <w:jc w:val="center"/>
                    <w:rPr>
                      <w:rFonts w:hint="eastAsia" w:eastAsia="宋体" w:cs="Times New Roman"/>
                      <w:color w:val="auto"/>
                      <w:szCs w:val="21"/>
                      <w:highlight w:val="none"/>
                      <w:lang w:eastAsia="zh-CN"/>
                    </w:rPr>
                  </w:pPr>
                  <w:r>
                    <w:rPr>
                      <w:rFonts w:cs="Times New Roman"/>
                      <w:color w:val="auto"/>
                      <w:szCs w:val="21"/>
                      <w:highlight w:val="none"/>
                    </w:rPr>
                    <w:t>雕刻机</w:t>
                  </w:r>
                  <w:r>
                    <w:rPr>
                      <w:rFonts w:hint="eastAsia" w:cs="Times New Roman"/>
                      <w:color w:val="auto"/>
                      <w:szCs w:val="21"/>
                      <w:highlight w:val="none"/>
                      <w:lang w:val="en-US" w:eastAsia="zh-CN"/>
                    </w:rPr>
                    <w:t>4</w:t>
                  </w:r>
                </w:p>
              </w:tc>
              <w:tc>
                <w:tcPr>
                  <w:tcW w:w="536" w:type="pct"/>
                  <w:tcBorders>
                    <w:tl2br w:val="nil"/>
                    <w:tr2bl w:val="nil"/>
                  </w:tcBorders>
                </w:tcPr>
                <w:p w14:paraId="5E2C050B">
                  <w:pPr>
                    <w:spacing w:line="230" w:lineRule="exact"/>
                    <w:jc w:val="center"/>
                    <w:rPr>
                      <w:rFonts w:cs="Times New Roman"/>
                      <w:color w:val="auto"/>
                      <w:szCs w:val="21"/>
                      <w:highlight w:val="none"/>
                    </w:rPr>
                  </w:pPr>
                  <w:r>
                    <w:rPr>
                      <w:rFonts w:cs="Times New Roman"/>
                      <w:color w:val="auto"/>
                      <w:szCs w:val="21"/>
                      <w:highlight w:val="none"/>
                    </w:rPr>
                    <w:t>/</w:t>
                  </w:r>
                </w:p>
              </w:tc>
              <w:tc>
                <w:tcPr>
                  <w:tcW w:w="354" w:type="pct"/>
                  <w:tcBorders>
                    <w:tl2br w:val="nil"/>
                    <w:tr2bl w:val="nil"/>
                  </w:tcBorders>
                  <w:vAlign w:val="center"/>
                </w:tcPr>
                <w:p w14:paraId="3C448B1D">
                  <w:pPr>
                    <w:spacing w:line="230" w:lineRule="exact"/>
                    <w:jc w:val="center"/>
                    <w:rPr>
                      <w:rFonts w:hint="default" w:eastAsia="宋体" w:cs="Times New Roman"/>
                      <w:color w:val="auto"/>
                      <w:szCs w:val="21"/>
                      <w:highlight w:val="none"/>
                      <w:lang w:val="en-US" w:eastAsia="zh-CN"/>
                    </w:rPr>
                  </w:pPr>
                  <w:r>
                    <w:rPr>
                      <w:rFonts w:hint="eastAsia" w:cs="Times New Roman"/>
                      <w:color w:val="auto"/>
                      <w:szCs w:val="21"/>
                      <w:highlight w:val="none"/>
                      <w:lang w:val="en-US" w:eastAsia="zh-CN"/>
                    </w:rPr>
                    <w:t>70</w:t>
                  </w:r>
                </w:p>
              </w:tc>
              <w:tc>
                <w:tcPr>
                  <w:tcW w:w="314" w:type="pct"/>
                  <w:vMerge w:val="continue"/>
                  <w:tcBorders>
                    <w:tl2br w:val="nil"/>
                    <w:tr2bl w:val="nil"/>
                  </w:tcBorders>
                  <w:vAlign w:val="center"/>
                </w:tcPr>
                <w:p w14:paraId="434E69DA">
                  <w:pPr>
                    <w:spacing w:line="230" w:lineRule="exact"/>
                    <w:jc w:val="center"/>
                    <w:rPr>
                      <w:rFonts w:cs="Times New Roman"/>
                      <w:color w:val="auto"/>
                      <w:szCs w:val="21"/>
                      <w:highlight w:val="none"/>
                    </w:rPr>
                  </w:pPr>
                </w:p>
              </w:tc>
              <w:tc>
                <w:tcPr>
                  <w:tcW w:w="361" w:type="pct"/>
                  <w:tcBorders>
                    <w:tl2br w:val="nil"/>
                    <w:tr2bl w:val="nil"/>
                  </w:tcBorders>
                  <w:vAlign w:val="center"/>
                </w:tcPr>
                <w:p w14:paraId="049220A9">
                  <w:pPr>
                    <w:spacing w:line="230" w:lineRule="exact"/>
                    <w:jc w:val="center"/>
                    <w:rPr>
                      <w:rFonts w:cs="Times New Roman"/>
                      <w:color w:val="auto"/>
                      <w:szCs w:val="21"/>
                      <w:highlight w:val="none"/>
                    </w:rPr>
                  </w:pPr>
                  <w:r>
                    <w:rPr>
                      <w:rFonts w:hint="eastAsia"/>
                    </w:rPr>
                    <w:t>52.36</w:t>
                  </w:r>
                </w:p>
              </w:tc>
              <w:tc>
                <w:tcPr>
                  <w:tcW w:w="361" w:type="pct"/>
                  <w:tcBorders>
                    <w:tl2br w:val="nil"/>
                    <w:tr2bl w:val="nil"/>
                  </w:tcBorders>
                  <w:vAlign w:val="center"/>
                </w:tcPr>
                <w:p w14:paraId="530F9957">
                  <w:pPr>
                    <w:spacing w:line="230" w:lineRule="exact"/>
                    <w:jc w:val="center"/>
                    <w:rPr>
                      <w:rFonts w:cs="Times New Roman"/>
                      <w:color w:val="auto"/>
                      <w:szCs w:val="21"/>
                      <w:highlight w:val="none"/>
                    </w:rPr>
                  </w:pPr>
                  <w:r>
                    <w:rPr>
                      <w:rFonts w:hint="eastAsia"/>
                    </w:rPr>
                    <w:t>22.25</w:t>
                  </w:r>
                </w:p>
              </w:tc>
              <w:tc>
                <w:tcPr>
                  <w:tcW w:w="383" w:type="pct"/>
                  <w:tcBorders>
                    <w:tl2br w:val="nil"/>
                    <w:tr2bl w:val="nil"/>
                  </w:tcBorders>
                  <w:shd w:val="clear" w:color="auto" w:fill="auto"/>
                  <w:vAlign w:val="top"/>
                </w:tcPr>
                <w:p w14:paraId="1881DF3B">
                  <w:pPr>
                    <w:spacing w:line="230" w:lineRule="exact"/>
                    <w:jc w:val="center"/>
                    <w:rPr>
                      <w:rFonts w:ascii="Times New Roman" w:hAnsi="Times New Roman" w:eastAsia="宋体" w:cs="Times New Roman"/>
                      <w:color w:val="auto"/>
                      <w:kern w:val="2"/>
                      <w:sz w:val="21"/>
                      <w:szCs w:val="21"/>
                      <w:highlight w:val="none"/>
                      <w:lang w:val="en-US" w:eastAsia="zh-CN" w:bidi="ar-SA"/>
                    </w:rPr>
                  </w:pPr>
                  <w:r>
                    <w:rPr>
                      <w:rFonts w:hint="eastAsia"/>
                    </w:rPr>
                    <w:t>1</w:t>
                  </w:r>
                </w:p>
              </w:tc>
              <w:tc>
                <w:tcPr>
                  <w:tcW w:w="298" w:type="pct"/>
                  <w:tcBorders>
                    <w:tl2br w:val="nil"/>
                    <w:tr2bl w:val="nil"/>
                  </w:tcBorders>
                  <w:vAlign w:val="center"/>
                </w:tcPr>
                <w:p w14:paraId="43042311">
                  <w:pPr>
                    <w:spacing w:line="230" w:lineRule="exact"/>
                    <w:jc w:val="center"/>
                    <w:rPr>
                      <w:rFonts w:cs="Times New Roman"/>
                      <w:color w:val="auto"/>
                      <w:szCs w:val="21"/>
                      <w:highlight w:val="none"/>
                    </w:rPr>
                  </w:pPr>
                  <w:r>
                    <w:rPr>
                      <w:rFonts w:hint="eastAsia"/>
                    </w:rPr>
                    <w:t>17.</w:t>
                  </w:r>
                  <w:r>
                    <w:rPr>
                      <w:rFonts w:hint="eastAsia"/>
                      <w:lang w:val="en-US" w:eastAsia="zh-CN"/>
                    </w:rPr>
                    <w:t>9</w:t>
                  </w:r>
                </w:p>
              </w:tc>
              <w:tc>
                <w:tcPr>
                  <w:tcW w:w="286" w:type="pct"/>
                  <w:tcBorders>
                    <w:tl2br w:val="nil"/>
                    <w:tr2bl w:val="nil"/>
                  </w:tcBorders>
                  <w:vAlign w:val="center"/>
                </w:tcPr>
                <w:p w14:paraId="4D380CF9">
                  <w:pPr>
                    <w:spacing w:line="230" w:lineRule="exact"/>
                    <w:jc w:val="center"/>
                    <w:rPr>
                      <w:rFonts w:cs="Times New Roman"/>
                      <w:color w:val="auto"/>
                      <w:szCs w:val="21"/>
                      <w:highlight w:val="none"/>
                    </w:rPr>
                  </w:pPr>
                  <w:r>
                    <w:rPr>
                      <w:rFonts w:hint="eastAsia"/>
                    </w:rPr>
                    <w:t>54.87</w:t>
                  </w:r>
                </w:p>
              </w:tc>
              <w:tc>
                <w:tcPr>
                  <w:tcW w:w="246" w:type="pct"/>
                  <w:vMerge w:val="continue"/>
                  <w:tcBorders>
                    <w:tl2br w:val="nil"/>
                    <w:tr2bl w:val="nil"/>
                  </w:tcBorders>
                  <w:vAlign w:val="center"/>
                </w:tcPr>
                <w:p w14:paraId="03A9347D">
                  <w:pPr>
                    <w:spacing w:line="230" w:lineRule="exact"/>
                    <w:jc w:val="center"/>
                    <w:rPr>
                      <w:rFonts w:cs="Times New Roman"/>
                      <w:color w:val="auto"/>
                      <w:szCs w:val="21"/>
                      <w:highlight w:val="none"/>
                    </w:rPr>
                  </w:pPr>
                </w:p>
              </w:tc>
              <w:tc>
                <w:tcPr>
                  <w:tcW w:w="417" w:type="pct"/>
                  <w:tcBorders>
                    <w:tl2br w:val="nil"/>
                    <w:tr2bl w:val="nil"/>
                  </w:tcBorders>
                  <w:vAlign w:val="center"/>
                </w:tcPr>
                <w:p w14:paraId="09388312">
                  <w:pPr>
                    <w:spacing w:line="230" w:lineRule="exact"/>
                    <w:jc w:val="center"/>
                    <w:rPr>
                      <w:rFonts w:cs="Times New Roman"/>
                      <w:color w:val="auto"/>
                      <w:szCs w:val="21"/>
                      <w:highlight w:val="none"/>
                    </w:rPr>
                  </w:pPr>
                  <w:r>
                    <w:rPr>
                      <w:rFonts w:cs="Times New Roman"/>
                      <w:color w:val="auto"/>
                      <w:szCs w:val="21"/>
                      <w:highlight w:val="none"/>
                    </w:rPr>
                    <w:t>20</w:t>
                  </w:r>
                </w:p>
              </w:tc>
              <w:tc>
                <w:tcPr>
                  <w:tcW w:w="315" w:type="pct"/>
                  <w:tcBorders>
                    <w:tl2br w:val="nil"/>
                    <w:tr2bl w:val="nil"/>
                  </w:tcBorders>
                  <w:vAlign w:val="center"/>
                </w:tcPr>
                <w:p w14:paraId="37375B03">
                  <w:pPr>
                    <w:spacing w:line="230" w:lineRule="exact"/>
                    <w:jc w:val="center"/>
                    <w:rPr>
                      <w:rFonts w:cs="Times New Roman"/>
                      <w:color w:val="auto"/>
                      <w:szCs w:val="21"/>
                      <w:highlight w:val="none"/>
                    </w:rPr>
                  </w:pPr>
                  <w:r>
                    <w:rPr>
                      <w:rFonts w:hint="eastAsia"/>
                    </w:rPr>
                    <w:t>3</w:t>
                  </w:r>
                  <w:r>
                    <w:rPr>
                      <w:rFonts w:hint="eastAsia"/>
                      <w:lang w:val="en-US" w:eastAsia="zh-CN"/>
                    </w:rPr>
                    <w:t>4</w:t>
                  </w:r>
                  <w:r>
                    <w:rPr>
                      <w:rFonts w:hint="eastAsia"/>
                    </w:rPr>
                    <w:t>.87</w:t>
                  </w:r>
                </w:p>
              </w:tc>
              <w:tc>
                <w:tcPr>
                  <w:tcW w:w="355" w:type="pct"/>
                  <w:tcBorders>
                    <w:tl2br w:val="nil"/>
                    <w:tr2bl w:val="nil"/>
                  </w:tcBorders>
                </w:tcPr>
                <w:p w14:paraId="4D74682F">
                  <w:pPr>
                    <w:spacing w:line="230" w:lineRule="exact"/>
                    <w:jc w:val="center"/>
                    <w:rPr>
                      <w:rFonts w:cs="Times New Roman"/>
                      <w:color w:val="auto"/>
                      <w:szCs w:val="21"/>
                      <w:highlight w:val="none"/>
                    </w:rPr>
                  </w:pPr>
                  <w:r>
                    <w:rPr>
                      <w:rFonts w:cs="Times New Roman"/>
                      <w:color w:val="auto"/>
                      <w:szCs w:val="21"/>
                      <w:highlight w:val="none"/>
                    </w:rPr>
                    <w:t>1</w:t>
                  </w:r>
                </w:p>
              </w:tc>
            </w:tr>
            <w:tr w14:paraId="20E6645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02" w:hRule="atLeast"/>
                <w:jc w:val="center"/>
              </w:trPr>
              <w:tc>
                <w:tcPr>
                  <w:tcW w:w="298" w:type="pct"/>
                  <w:tcBorders>
                    <w:tl2br w:val="nil"/>
                    <w:tr2bl w:val="nil"/>
                  </w:tcBorders>
                  <w:shd w:val="clear" w:color="auto" w:fill="auto"/>
                  <w:vAlign w:val="center"/>
                </w:tcPr>
                <w:p w14:paraId="7DA8CD33">
                  <w:pPr>
                    <w:spacing w:line="230" w:lineRule="exact"/>
                    <w:jc w:val="center"/>
                    <w:rPr>
                      <w:rFonts w:ascii="Times New Roman" w:hAnsi="Times New Roman" w:eastAsia="宋体" w:cs="Times New Roman"/>
                      <w:color w:val="auto"/>
                      <w:kern w:val="2"/>
                      <w:sz w:val="21"/>
                      <w:szCs w:val="21"/>
                      <w:highlight w:val="none"/>
                      <w:lang w:val="en-US" w:eastAsia="zh-CN" w:bidi="ar-SA"/>
                    </w:rPr>
                  </w:pPr>
                  <w:r>
                    <w:rPr>
                      <w:rFonts w:cs="Times New Roman"/>
                      <w:color w:val="auto"/>
                      <w:szCs w:val="21"/>
                      <w:highlight w:val="none"/>
                    </w:rPr>
                    <w:t>16</w:t>
                  </w:r>
                </w:p>
              </w:tc>
              <w:tc>
                <w:tcPr>
                  <w:tcW w:w="472" w:type="pct"/>
                  <w:tcBorders>
                    <w:tl2br w:val="nil"/>
                    <w:tr2bl w:val="nil"/>
                  </w:tcBorders>
                  <w:shd w:val="clear" w:color="auto" w:fill="auto"/>
                  <w:vAlign w:val="center"/>
                </w:tcPr>
                <w:p w14:paraId="57B33D1E">
                  <w:pPr>
                    <w:snapToGrid w:val="0"/>
                    <w:spacing w:line="230" w:lineRule="exact"/>
                    <w:jc w:val="center"/>
                    <w:rPr>
                      <w:rFonts w:hint="eastAsia" w:ascii="Times New Roman" w:hAnsi="Times New Roman" w:eastAsia="宋体" w:cs="Times New Roman"/>
                      <w:color w:val="auto"/>
                      <w:kern w:val="2"/>
                      <w:sz w:val="21"/>
                      <w:szCs w:val="21"/>
                      <w:highlight w:val="none"/>
                      <w:lang w:val="en-US" w:eastAsia="zh-CN" w:bidi="ar-SA"/>
                    </w:rPr>
                  </w:pPr>
                  <w:r>
                    <w:rPr>
                      <w:rFonts w:cs="Times New Roman"/>
                      <w:color w:val="auto"/>
                      <w:szCs w:val="21"/>
                      <w:highlight w:val="none"/>
                    </w:rPr>
                    <w:t>雕刻机</w:t>
                  </w:r>
                  <w:r>
                    <w:rPr>
                      <w:rFonts w:hint="eastAsia" w:cs="Times New Roman"/>
                      <w:color w:val="auto"/>
                      <w:szCs w:val="21"/>
                      <w:highlight w:val="none"/>
                      <w:lang w:val="en-US" w:eastAsia="zh-CN"/>
                    </w:rPr>
                    <w:t>5</w:t>
                  </w:r>
                </w:p>
              </w:tc>
              <w:tc>
                <w:tcPr>
                  <w:tcW w:w="536" w:type="pct"/>
                  <w:tcBorders>
                    <w:tl2br w:val="nil"/>
                    <w:tr2bl w:val="nil"/>
                  </w:tcBorders>
                  <w:shd w:val="clear" w:color="auto" w:fill="auto"/>
                  <w:vAlign w:val="top"/>
                </w:tcPr>
                <w:p w14:paraId="4E1E1C9B">
                  <w:pPr>
                    <w:widowControl/>
                    <w:spacing w:line="230" w:lineRule="exact"/>
                    <w:jc w:val="center"/>
                    <w:rPr>
                      <w:rFonts w:ascii="Times New Roman" w:hAnsi="Times New Roman" w:eastAsia="宋体" w:cs="Times New Roman"/>
                      <w:color w:val="auto"/>
                      <w:kern w:val="0"/>
                      <w:sz w:val="21"/>
                      <w:szCs w:val="21"/>
                      <w:highlight w:val="none"/>
                      <w:lang w:val="en-US" w:eastAsia="zh-CN" w:bidi="ar"/>
                    </w:rPr>
                  </w:pPr>
                  <w:r>
                    <w:rPr>
                      <w:rFonts w:cs="Times New Roman"/>
                      <w:color w:val="auto"/>
                      <w:szCs w:val="21"/>
                      <w:highlight w:val="none"/>
                    </w:rPr>
                    <w:t>/</w:t>
                  </w:r>
                </w:p>
              </w:tc>
              <w:tc>
                <w:tcPr>
                  <w:tcW w:w="354" w:type="pct"/>
                  <w:tcBorders>
                    <w:tl2br w:val="nil"/>
                    <w:tr2bl w:val="nil"/>
                  </w:tcBorders>
                  <w:shd w:val="clear" w:color="auto" w:fill="auto"/>
                  <w:vAlign w:val="center"/>
                </w:tcPr>
                <w:p w14:paraId="51B764AD">
                  <w:pPr>
                    <w:spacing w:line="230" w:lineRule="exact"/>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70</w:t>
                  </w:r>
                </w:p>
              </w:tc>
              <w:tc>
                <w:tcPr>
                  <w:tcW w:w="314" w:type="pct"/>
                  <w:vMerge w:val="continue"/>
                  <w:tcBorders>
                    <w:tl2br w:val="nil"/>
                    <w:tr2bl w:val="nil"/>
                  </w:tcBorders>
                  <w:vAlign w:val="center"/>
                </w:tcPr>
                <w:p w14:paraId="5B595390">
                  <w:pPr>
                    <w:spacing w:line="230" w:lineRule="exact"/>
                    <w:jc w:val="center"/>
                    <w:rPr>
                      <w:rFonts w:cs="Times New Roman"/>
                      <w:color w:val="auto"/>
                      <w:szCs w:val="21"/>
                      <w:highlight w:val="none"/>
                    </w:rPr>
                  </w:pPr>
                </w:p>
              </w:tc>
              <w:tc>
                <w:tcPr>
                  <w:tcW w:w="361" w:type="pct"/>
                  <w:tcBorders>
                    <w:tl2br w:val="nil"/>
                    <w:tr2bl w:val="nil"/>
                  </w:tcBorders>
                  <w:vAlign w:val="center"/>
                </w:tcPr>
                <w:p w14:paraId="6F0E5008">
                  <w:pPr>
                    <w:spacing w:line="230" w:lineRule="exact"/>
                    <w:jc w:val="center"/>
                    <w:rPr>
                      <w:rFonts w:cs="Times New Roman"/>
                      <w:color w:val="auto"/>
                      <w:szCs w:val="21"/>
                      <w:highlight w:val="none"/>
                    </w:rPr>
                  </w:pPr>
                  <w:r>
                    <w:rPr>
                      <w:rFonts w:hint="eastAsia"/>
                    </w:rPr>
                    <w:t>58.69</w:t>
                  </w:r>
                </w:p>
              </w:tc>
              <w:tc>
                <w:tcPr>
                  <w:tcW w:w="361" w:type="pct"/>
                  <w:tcBorders>
                    <w:tl2br w:val="nil"/>
                    <w:tr2bl w:val="nil"/>
                  </w:tcBorders>
                  <w:vAlign w:val="center"/>
                </w:tcPr>
                <w:p w14:paraId="7470090B">
                  <w:pPr>
                    <w:spacing w:line="230" w:lineRule="exact"/>
                    <w:jc w:val="center"/>
                    <w:rPr>
                      <w:rFonts w:cs="Times New Roman"/>
                      <w:color w:val="auto"/>
                      <w:szCs w:val="21"/>
                      <w:highlight w:val="none"/>
                    </w:rPr>
                  </w:pPr>
                  <w:r>
                    <w:rPr>
                      <w:rFonts w:hint="eastAsia"/>
                    </w:rPr>
                    <w:t>22.71</w:t>
                  </w:r>
                </w:p>
              </w:tc>
              <w:tc>
                <w:tcPr>
                  <w:tcW w:w="383" w:type="pct"/>
                  <w:tcBorders>
                    <w:tl2br w:val="nil"/>
                    <w:tr2bl w:val="nil"/>
                  </w:tcBorders>
                  <w:shd w:val="clear" w:color="auto" w:fill="auto"/>
                  <w:vAlign w:val="top"/>
                </w:tcPr>
                <w:p w14:paraId="1DDA2D54">
                  <w:pPr>
                    <w:spacing w:line="230" w:lineRule="exact"/>
                    <w:jc w:val="center"/>
                    <w:rPr>
                      <w:rFonts w:ascii="Times New Roman" w:hAnsi="Times New Roman" w:eastAsia="宋体" w:cs="Times New Roman"/>
                      <w:color w:val="auto"/>
                      <w:kern w:val="2"/>
                      <w:sz w:val="21"/>
                      <w:szCs w:val="21"/>
                      <w:highlight w:val="none"/>
                      <w:lang w:val="en-US" w:eastAsia="zh-CN" w:bidi="ar-SA"/>
                    </w:rPr>
                  </w:pPr>
                  <w:r>
                    <w:rPr>
                      <w:rFonts w:hint="eastAsia"/>
                    </w:rPr>
                    <w:t>1</w:t>
                  </w:r>
                </w:p>
              </w:tc>
              <w:tc>
                <w:tcPr>
                  <w:tcW w:w="298" w:type="pct"/>
                  <w:tcBorders>
                    <w:tl2br w:val="nil"/>
                    <w:tr2bl w:val="nil"/>
                  </w:tcBorders>
                  <w:vAlign w:val="center"/>
                </w:tcPr>
                <w:p w14:paraId="08F62B0C">
                  <w:pPr>
                    <w:spacing w:line="230" w:lineRule="exact"/>
                    <w:jc w:val="center"/>
                    <w:rPr>
                      <w:rFonts w:cs="Times New Roman"/>
                      <w:color w:val="auto"/>
                      <w:szCs w:val="21"/>
                      <w:highlight w:val="none"/>
                    </w:rPr>
                  </w:pPr>
                  <w:r>
                    <w:rPr>
                      <w:rFonts w:hint="eastAsia"/>
                    </w:rPr>
                    <w:t>18.3</w:t>
                  </w:r>
                </w:p>
              </w:tc>
              <w:tc>
                <w:tcPr>
                  <w:tcW w:w="286" w:type="pct"/>
                  <w:tcBorders>
                    <w:tl2br w:val="nil"/>
                    <w:tr2bl w:val="nil"/>
                  </w:tcBorders>
                  <w:vAlign w:val="center"/>
                </w:tcPr>
                <w:p w14:paraId="7695D3E8">
                  <w:pPr>
                    <w:spacing w:line="230" w:lineRule="exact"/>
                    <w:jc w:val="center"/>
                    <w:rPr>
                      <w:rFonts w:cs="Times New Roman"/>
                      <w:color w:val="auto"/>
                      <w:szCs w:val="21"/>
                      <w:highlight w:val="none"/>
                    </w:rPr>
                  </w:pPr>
                  <w:r>
                    <w:rPr>
                      <w:rFonts w:hint="eastAsia"/>
                    </w:rPr>
                    <w:t>54.87</w:t>
                  </w:r>
                </w:p>
              </w:tc>
              <w:tc>
                <w:tcPr>
                  <w:tcW w:w="246" w:type="pct"/>
                  <w:vMerge w:val="continue"/>
                  <w:tcBorders>
                    <w:tl2br w:val="nil"/>
                    <w:tr2bl w:val="nil"/>
                  </w:tcBorders>
                  <w:vAlign w:val="center"/>
                </w:tcPr>
                <w:p w14:paraId="77DACD80">
                  <w:pPr>
                    <w:spacing w:line="230" w:lineRule="exact"/>
                    <w:jc w:val="center"/>
                    <w:rPr>
                      <w:rFonts w:cs="Times New Roman"/>
                      <w:color w:val="auto"/>
                      <w:szCs w:val="21"/>
                      <w:highlight w:val="none"/>
                    </w:rPr>
                  </w:pPr>
                </w:p>
              </w:tc>
              <w:tc>
                <w:tcPr>
                  <w:tcW w:w="417" w:type="pct"/>
                  <w:tcBorders>
                    <w:tl2br w:val="nil"/>
                    <w:tr2bl w:val="nil"/>
                  </w:tcBorders>
                  <w:vAlign w:val="center"/>
                </w:tcPr>
                <w:p w14:paraId="55A0110E">
                  <w:pPr>
                    <w:spacing w:line="230" w:lineRule="exact"/>
                    <w:jc w:val="center"/>
                    <w:rPr>
                      <w:rFonts w:hint="default" w:eastAsia="宋体" w:cs="Times New Roman"/>
                      <w:color w:val="auto"/>
                      <w:szCs w:val="21"/>
                      <w:highlight w:val="none"/>
                      <w:lang w:val="en-US" w:eastAsia="zh-CN"/>
                    </w:rPr>
                  </w:pPr>
                  <w:r>
                    <w:rPr>
                      <w:rFonts w:hint="eastAsia" w:cs="Times New Roman"/>
                      <w:color w:val="auto"/>
                      <w:szCs w:val="21"/>
                      <w:highlight w:val="none"/>
                      <w:lang w:val="en-US" w:eastAsia="zh-CN"/>
                    </w:rPr>
                    <w:t>20</w:t>
                  </w:r>
                </w:p>
              </w:tc>
              <w:tc>
                <w:tcPr>
                  <w:tcW w:w="315" w:type="pct"/>
                  <w:tcBorders>
                    <w:tl2br w:val="nil"/>
                    <w:tr2bl w:val="nil"/>
                  </w:tcBorders>
                  <w:vAlign w:val="center"/>
                </w:tcPr>
                <w:p w14:paraId="194D8F28">
                  <w:pPr>
                    <w:spacing w:line="230" w:lineRule="exact"/>
                    <w:jc w:val="center"/>
                    <w:rPr>
                      <w:rFonts w:cs="Times New Roman"/>
                      <w:color w:val="auto"/>
                      <w:sz w:val="22"/>
                      <w:highlight w:val="none"/>
                    </w:rPr>
                  </w:pPr>
                  <w:r>
                    <w:rPr>
                      <w:rFonts w:hint="eastAsia"/>
                    </w:rPr>
                    <w:t>3</w:t>
                  </w:r>
                  <w:r>
                    <w:rPr>
                      <w:rFonts w:hint="eastAsia"/>
                      <w:lang w:val="en-US" w:eastAsia="zh-CN"/>
                    </w:rPr>
                    <w:t>4</w:t>
                  </w:r>
                  <w:r>
                    <w:rPr>
                      <w:rFonts w:hint="eastAsia"/>
                    </w:rPr>
                    <w:t>.87</w:t>
                  </w:r>
                </w:p>
              </w:tc>
              <w:tc>
                <w:tcPr>
                  <w:tcW w:w="355" w:type="pct"/>
                  <w:tcBorders>
                    <w:tl2br w:val="nil"/>
                    <w:tr2bl w:val="nil"/>
                  </w:tcBorders>
                </w:tcPr>
                <w:p w14:paraId="6595C6CF">
                  <w:pPr>
                    <w:spacing w:line="230" w:lineRule="exact"/>
                    <w:jc w:val="center"/>
                    <w:rPr>
                      <w:rFonts w:hint="eastAsia" w:eastAsia="宋体" w:cs="Times New Roman"/>
                      <w:color w:val="auto"/>
                      <w:szCs w:val="21"/>
                      <w:highlight w:val="none"/>
                      <w:lang w:val="en-US" w:eastAsia="zh-CN"/>
                    </w:rPr>
                  </w:pPr>
                  <w:r>
                    <w:rPr>
                      <w:rFonts w:hint="eastAsia" w:cs="Times New Roman"/>
                      <w:color w:val="auto"/>
                      <w:szCs w:val="21"/>
                      <w:highlight w:val="none"/>
                      <w:lang w:val="en-US" w:eastAsia="zh-CN"/>
                    </w:rPr>
                    <w:t>1</w:t>
                  </w:r>
                </w:p>
              </w:tc>
            </w:tr>
            <w:tr w14:paraId="037C321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02" w:hRule="atLeast"/>
                <w:jc w:val="center"/>
              </w:trPr>
              <w:tc>
                <w:tcPr>
                  <w:tcW w:w="298" w:type="pct"/>
                  <w:tcBorders>
                    <w:tl2br w:val="nil"/>
                    <w:tr2bl w:val="nil"/>
                  </w:tcBorders>
                  <w:shd w:val="clear" w:color="auto" w:fill="auto"/>
                  <w:vAlign w:val="center"/>
                </w:tcPr>
                <w:p w14:paraId="2148BA33">
                  <w:pPr>
                    <w:spacing w:line="230" w:lineRule="exact"/>
                    <w:jc w:val="center"/>
                    <w:rPr>
                      <w:rFonts w:ascii="Times New Roman" w:hAnsi="Times New Roman" w:eastAsia="宋体" w:cs="Times New Roman"/>
                      <w:color w:val="auto"/>
                      <w:kern w:val="2"/>
                      <w:sz w:val="21"/>
                      <w:szCs w:val="21"/>
                      <w:highlight w:val="none"/>
                      <w:lang w:val="en-US" w:eastAsia="zh-CN" w:bidi="ar-SA"/>
                    </w:rPr>
                  </w:pPr>
                  <w:r>
                    <w:rPr>
                      <w:rFonts w:cs="Times New Roman"/>
                      <w:color w:val="auto"/>
                      <w:szCs w:val="21"/>
                      <w:highlight w:val="none"/>
                    </w:rPr>
                    <w:t>17</w:t>
                  </w:r>
                </w:p>
              </w:tc>
              <w:tc>
                <w:tcPr>
                  <w:tcW w:w="472" w:type="pct"/>
                  <w:tcBorders>
                    <w:tl2br w:val="nil"/>
                    <w:tr2bl w:val="nil"/>
                  </w:tcBorders>
                  <w:shd w:val="clear" w:color="auto" w:fill="auto"/>
                  <w:vAlign w:val="center"/>
                </w:tcPr>
                <w:p w14:paraId="3C0E0D1C">
                  <w:pPr>
                    <w:snapToGrid w:val="0"/>
                    <w:spacing w:line="230" w:lineRule="exact"/>
                    <w:jc w:val="center"/>
                    <w:rPr>
                      <w:rFonts w:hint="eastAsia" w:ascii="Times New Roman" w:hAnsi="Times New Roman" w:eastAsia="宋体" w:cs="Times New Roman"/>
                      <w:color w:val="auto"/>
                      <w:kern w:val="2"/>
                      <w:sz w:val="21"/>
                      <w:szCs w:val="21"/>
                      <w:highlight w:val="none"/>
                      <w:lang w:val="en-US" w:eastAsia="zh-CN" w:bidi="ar-SA"/>
                    </w:rPr>
                  </w:pPr>
                  <w:r>
                    <w:rPr>
                      <w:rFonts w:cs="Times New Roman"/>
                      <w:color w:val="auto"/>
                      <w:szCs w:val="21"/>
                      <w:highlight w:val="none"/>
                    </w:rPr>
                    <w:t>雕刻机</w:t>
                  </w:r>
                  <w:r>
                    <w:rPr>
                      <w:rFonts w:hint="eastAsia" w:cs="Times New Roman"/>
                      <w:color w:val="auto"/>
                      <w:szCs w:val="21"/>
                      <w:highlight w:val="none"/>
                      <w:lang w:val="en-US" w:eastAsia="zh-CN"/>
                    </w:rPr>
                    <w:t>6</w:t>
                  </w:r>
                </w:p>
              </w:tc>
              <w:tc>
                <w:tcPr>
                  <w:tcW w:w="536" w:type="pct"/>
                  <w:tcBorders>
                    <w:tl2br w:val="nil"/>
                    <w:tr2bl w:val="nil"/>
                  </w:tcBorders>
                  <w:shd w:val="clear" w:color="auto" w:fill="auto"/>
                  <w:vAlign w:val="top"/>
                </w:tcPr>
                <w:p w14:paraId="4E1ADDE6">
                  <w:pPr>
                    <w:widowControl/>
                    <w:spacing w:line="230" w:lineRule="exact"/>
                    <w:jc w:val="center"/>
                    <w:rPr>
                      <w:rFonts w:ascii="Times New Roman" w:hAnsi="Times New Roman" w:eastAsia="宋体" w:cs="Times New Roman"/>
                      <w:color w:val="auto"/>
                      <w:kern w:val="2"/>
                      <w:sz w:val="21"/>
                      <w:szCs w:val="21"/>
                      <w:highlight w:val="none"/>
                      <w:lang w:val="en-US" w:eastAsia="zh-CN" w:bidi="ar-SA"/>
                    </w:rPr>
                  </w:pPr>
                  <w:r>
                    <w:rPr>
                      <w:rFonts w:cs="Times New Roman"/>
                      <w:color w:val="auto"/>
                      <w:szCs w:val="21"/>
                      <w:highlight w:val="none"/>
                    </w:rPr>
                    <w:t>/</w:t>
                  </w:r>
                </w:p>
              </w:tc>
              <w:tc>
                <w:tcPr>
                  <w:tcW w:w="354" w:type="pct"/>
                  <w:tcBorders>
                    <w:tl2br w:val="nil"/>
                    <w:tr2bl w:val="nil"/>
                  </w:tcBorders>
                  <w:shd w:val="clear" w:color="auto" w:fill="auto"/>
                  <w:vAlign w:val="center"/>
                </w:tcPr>
                <w:p w14:paraId="66874B23">
                  <w:pPr>
                    <w:spacing w:line="230" w:lineRule="exact"/>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70</w:t>
                  </w:r>
                </w:p>
              </w:tc>
              <w:tc>
                <w:tcPr>
                  <w:tcW w:w="314" w:type="pct"/>
                  <w:vMerge w:val="continue"/>
                  <w:tcBorders>
                    <w:tl2br w:val="nil"/>
                    <w:tr2bl w:val="nil"/>
                  </w:tcBorders>
                  <w:vAlign w:val="center"/>
                </w:tcPr>
                <w:p w14:paraId="3B8FFC5C">
                  <w:pPr>
                    <w:spacing w:line="230" w:lineRule="exact"/>
                    <w:jc w:val="center"/>
                    <w:rPr>
                      <w:rFonts w:cs="Times New Roman"/>
                      <w:color w:val="auto"/>
                      <w:szCs w:val="21"/>
                      <w:highlight w:val="none"/>
                    </w:rPr>
                  </w:pPr>
                </w:p>
              </w:tc>
              <w:tc>
                <w:tcPr>
                  <w:tcW w:w="361" w:type="pct"/>
                  <w:tcBorders>
                    <w:tl2br w:val="nil"/>
                    <w:tr2bl w:val="nil"/>
                  </w:tcBorders>
                  <w:vAlign w:val="center"/>
                </w:tcPr>
                <w:p w14:paraId="623B8FA5">
                  <w:pPr>
                    <w:spacing w:line="230" w:lineRule="exact"/>
                    <w:jc w:val="center"/>
                    <w:rPr>
                      <w:rFonts w:cs="Times New Roman"/>
                      <w:color w:val="auto"/>
                      <w:szCs w:val="21"/>
                      <w:highlight w:val="none"/>
                    </w:rPr>
                  </w:pPr>
                  <w:r>
                    <w:rPr>
                      <w:rFonts w:hint="eastAsia"/>
                    </w:rPr>
                    <w:t>64.43</w:t>
                  </w:r>
                </w:p>
              </w:tc>
              <w:tc>
                <w:tcPr>
                  <w:tcW w:w="361" w:type="pct"/>
                  <w:tcBorders>
                    <w:tl2br w:val="nil"/>
                    <w:tr2bl w:val="nil"/>
                  </w:tcBorders>
                  <w:vAlign w:val="center"/>
                </w:tcPr>
                <w:p w14:paraId="1CAE092F">
                  <w:pPr>
                    <w:spacing w:line="230" w:lineRule="exact"/>
                    <w:jc w:val="center"/>
                    <w:rPr>
                      <w:rFonts w:cs="Times New Roman"/>
                      <w:color w:val="auto"/>
                      <w:szCs w:val="21"/>
                      <w:highlight w:val="none"/>
                    </w:rPr>
                  </w:pPr>
                  <w:r>
                    <w:rPr>
                      <w:rFonts w:hint="eastAsia"/>
                    </w:rPr>
                    <w:t>22.48</w:t>
                  </w:r>
                </w:p>
              </w:tc>
              <w:tc>
                <w:tcPr>
                  <w:tcW w:w="383" w:type="pct"/>
                  <w:tcBorders>
                    <w:tl2br w:val="nil"/>
                    <w:tr2bl w:val="nil"/>
                  </w:tcBorders>
                  <w:shd w:val="clear" w:color="auto" w:fill="auto"/>
                  <w:vAlign w:val="top"/>
                </w:tcPr>
                <w:p w14:paraId="0089F136">
                  <w:pPr>
                    <w:spacing w:line="230" w:lineRule="exact"/>
                    <w:jc w:val="center"/>
                    <w:rPr>
                      <w:rFonts w:ascii="Times New Roman" w:hAnsi="Times New Roman" w:eastAsia="宋体" w:cs="Times New Roman"/>
                      <w:color w:val="auto"/>
                      <w:kern w:val="2"/>
                      <w:sz w:val="21"/>
                      <w:szCs w:val="21"/>
                      <w:highlight w:val="none"/>
                      <w:lang w:val="en-US" w:eastAsia="zh-CN" w:bidi="ar-SA"/>
                    </w:rPr>
                  </w:pPr>
                  <w:r>
                    <w:rPr>
                      <w:rFonts w:hint="eastAsia"/>
                    </w:rPr>
                    <w:t>1</w:t>
                  </w:r>
                </w:p>
              </w:tc>
              <w:tc>
                <w:tcPr>
                  <w:tcW w:w="298" w:type="pct"/>
                  <w:tcBorders>
                    <w:tl2br w:val="nil"/>
                    <w:tr2bl w:val="nil"/>
                  </w:tcBorders>
                  <w:vAlign w:val="center"/>
                </w:tcPr>
                <w:p w14:paraId="1BE7DB06">
                  <w:pPr>
                    <w:spacing w:line="230" w:lineRule="exact"/>
                    <w:jc w:val="center"/>
                    <w:rPr>
                      <w:rFonts w:cs="Times New Roman"/>
                      <w:color w:val="auto"/>
                      <w:szCs w:val="21"/>
                      <w:highlight w:val="none"/>
                    </w:rPr>
                  </w:pPr>
                  <w:r>
                    <w:rPr>
                      <w:rFonts w:hint="eastAsia"/>
                    </w:rPr>
                    <w:t>18.</w:t>
                  </w:r>
                  <w:r>
                    <w:rPr>
                      <w:rFonts w:hint="eastAsia"/>
                      <w:lang w:val="en-US" w:eastAsia="zh-CN"/>
                    </w:rPr>
                    <w:t>1</w:t>
                  </w:r>
                </w:p>
              </w:tc>
              <w:tc>
                <w:tcPr>
                  <w:tcW w:w="286" w:type="pct"/>
                  <w:tcBorders>
                    <w:tl2br w:val="nil"/>
                    <w:tr2bl w:val="nil"/>
                  </w:tcBorders>
                  <w:vAlign w:val="center"/>
                </w:tcPr>
                <w:p w14:paraId="5689978A">
                  <w:pPr>
                    <w:spacing w:line="230" w:lineRule="exact"/>
                    <w:jc w:val="center"/>
                    <w:rPr>
                      <w:rFonts w:cs="Times New Roman"/>
                      <w:color w:val="auto"/>
                      <w:szCs w:val="21"/>
                      <w:highlight w:val="none"/>
                    </w:rPr>
                  </w:pPr>
                  <w:r>
                    <w:rPr>
                      <w:rFonts w:hint="eastAsia"/>
                    </w:rPr>
                    <w:t>54.87</w:t>
                  </w:r>
                </w:p>
              </w:tc>
              <w:tc>
                <w:tcPr>
                  <w:tcW w:w="246" w:type="pct"/>
                  <w:vMerge w:val="continue"/>
                  <w:tcBorders>
                    <w:tl2br w:val="nil"/>
                    <w:tr2bl w:val="nil"/>
                  </w:tcBorders>
                  <w:vAlign w:val="center"/>
                </w:tcPr>
                <w:p w14:paraId="5159929A">
                  <w:pPr>
                    <w:spacing w:line="230" w:lineRule="exact"/>
                    <w:jc w:val="center"/>
                    <w:rPr>
                      <w:rFonts w:cs="Times New Roman"/>
                      <w:color w:val="auto"/>
                      <w:szCs w:val="21"/>
                      <w:highlight w:val="none"/>
                    </w:rPr>
                  </w:pPr>
                </w:p>
              </w:tc>
              <w:tc>
                <w:tcPr>
                  <w:tcW w:w="417" w:type="pct"/>
                  <w:tcBorders>
                    <w:tl2br w:val="nil"/>
                    <w:tr2bl w:val="nil"/>
                  </w:tcBorders>
                  <w:vAlign w:val="center"/>
                </w:tcPr>
                <w:p w14:paraId="42C5AA69">
                  <w:pPr>
                    <w:spacing w:line="230" w:lineRule="exact"/>
                    <w:jc w:val="center"/>
                    <w:rPr>
                      <w:rFonts w:hint="default" w:eastAsia="宋体" w:cs="Times New Roman"/>
                      <w:color w:val="auto"/>
                      <w:szCs w:val="21"/>
                      <w:highlight w:val="none"/>
                      <w:lang w:val="en-US" w:eastAsia="zh-CN"/>
                    </w:rPr>
                  </w:pPr>
                  <w:r>
                    <w:rPr>
                      <w:rFonts w:hint="eastAsia" w:cs="Times New Roman"/>
                      <w:color w:val="auto"/>
                      <w:szCs w:val="21"/>
                      <w:highlight w:val="none"/>
                      <w:lang w:val="en-US" w:eastAsia="zh-CN"/>
                    </w:rPr>
                    <w:t>20</w:t>
                  </w:r>
                </w:p>
              </w:tc>
              <w:tc>
                <w:tcPr>
                  <w:tcW w:w="315" w:type="pct"/>
                  <w:tcBorders>
                    <w:tl2br w:val="nil"/>
                    <w:tr2bl w:val="nil"/>
                  </w:tcBorders>
                  <w:vAlign w:val="center"/>
                </w:tcPr>
                <w:p w14:paraId="1F762008">
                  <w:pPr>
                    <w:spacing w:line="230" w:lineRule="exact"/>
                    <w:jc w:val="center"/>
                    <w:rPr>
                      <w:rFonts w:cs="Times New Roman"/>
                      <w:color w:val="auto"/>
                      <w:sz w:val="22"/>
                      <w:highlight w:val="none"/>
                    </w:rPr>
                  </w:pPr>
                  <w:r>
                    <w:rPr>
                      <w:rFonts w:hint="eastAsia"/>
                    </w:rPr>
                    <w:t>3</w:t>
                  </w:r>
                  <w:r>
                    <w:rPr>
                      <w:rFonts w:hint="eastAsia"/>
                      <w:lang w:val="en-US" w:eastAsia="zh-CN"/>
                    </w:rPr>
                    <w:t>4</w:t>
                  </w:r>
                  <w:r>
                    <w:rPr>
                      <w:rFonts w:hint="eastAsia"/>
                    </w:rPr>
                    <w:t>.87</w:t>
                  </w:r>
                </w:p>
              </w:tc>
              <w:tc>
                <w:tcPr>
                  <w:tcW w:w="355" w:type="pct"/>
                  <w:tcBorders>
                    <w:tl2br w:val="nil"/>
                    <w:tr2bl w:val="nil"/>
                  </w:tcBorders>
                </w:tcPr>
                <w:p w14:paraId="02E118B0">
                  <w:pPr>
                    <w:spacing w:line="230" w:lineRule="exact"/>
                    <w:jc w:val="center"/>
                    <w:rPr>
                      <w:rFonts w:hint="eastAsia" w:eastAsia="宋体" w:cs="Times New Roman"/>
                      <w:color w:val="auto"/>
                      <w:szCs w:val="21"/>
                      <w:highlight w:val="none"/>
                      <w:lang w:val="en-US" w:eastAsia="zh-CN"/>
                    </w:rPr>
                  </w:pPr>
                  <w:r>
                    <w:rPr>
                      <w:rFonts w:hint="eastAsia" w:cs="Times New Roman"/>
                      <w:color w:val="auto"/>
                      <w:szCs w:val="21"/>
                      <w:highlight w:val="none"/>
                      <w:lang w:val="en-US" w:eastAsia="zh-CN"/>
                    </w:rPr>
                    <w:t>1</w:t>
                  </w:r>
                </w:p>
              </w:tc>
            </w:tr>
            <w:tr w14:paraId="20DEF93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02" w:hRule="atLeast"/>
                <w:jc w:val="center"/>
              </w:trPr>
              <w:tc>
                <w:tcPr>
                  <w:tcW w:w="298" w:type="pct"/>
                  <w:tcBorders>
                    <w:tl2br w:val="nil"/>
                    <w:tr2bl w:val="nil"/>
                  </w:tcBorders>
                  <w:shd w:val="clear" w:color="auto" w:fill="auto"/>
                  <w:vAlign w:val="center"/>
                </w:tcPr>
                <w:p w14:paraId="7A6CBF26">
                  <w:pPr>
                    <w:spacing w:line="230" w:lineRule="exact"/>
                    <w:jc w:val="center"/>
                    <w:rPr>
                      <w:rFonts w:ascii="Times New Roman" w:hAnsi="Times New Roman" w:eastAsia="宋体" w:cs="Times New Roman"/>
                      <w:color w:val="auto"/>
                      <w:kern w:val="2"/>
                      <w:sz w:val="21"/>
                      <w:szCs w:val="21"/>
                      <w:highlight w:val="none"/>
                      <w:lang w:val="en-US" w:eastAsia="zh-CN" w:bidi="ar-SA"/>
                    </w:rPr>
                  </w:pPr>
                  <w:r>
                    <w:rPr>
                      <w:rFonts w:cs="Times New Roman"/>
                      <w:color w:val="auto"/>
                      <w:szCs w:val="21"/>
                      <w:highlight w:val="none"/>
                    </w:rPr>
                    <w:t>18</w:t>
                  </w:r>
                </w:p>
              </w:tc>
              <w:tc>
                <w:tcPr>
                  <w:tcW w:w="472" w:type="pct"/>
                  <w:tcBorders>
                    <w:tl2br w:val="nil"/>
                    <w:tr2bl w:val="nil"/>
                  </w:tcBorders>
                  <w:shd w:val="clear" w:color="auto" w:fill="auto"/>
                  <w:vAlign w:val="center"/>
                </w:tcPr>
                <w:p w14:paraId="3908FD56">
                  <w:pPr>
                    <w:snapToGrid w:val="0"/>
                    <w:spacing w:line="230" w:lineRule="exact"/>
                    <w:jc w:val="center"/>
                    <w:rPr>
                      <w:rFonts w:hint="eastAsia" w:ascii="Times New Roman" w:hAnsi="Times New Roman" w:eastAsia="宋体" w:cs="Times New Roman"/>
                      <w:color w:val="auto"/>
                      <w:kern w:val="2"/>
                      <w:sz w:val="21"/>
                      <w:szCs w:val="21"/>
                      <w:highlight w:val="none"/>
                      <w:lang w:val="en-US" w:eastAsia="zh-CN" w:bidi="ar-SA"/>
                    </w:rPr>
                  </w:pPr>
                  <w:r>
                    <w:rPr>
                      <w:rFonts w:cs="Times New Roman"/>
                      <w:color w:val="auto"/>
                      <w:szCs w:val="21"/>
                      <w:highlight w:val="none"/>
                    </w:rPr>
                    <w:t>雕刻机</w:t>
                  </w:r>
                  <w:r>
                    <w:rPr>
                      <w:rFonts w:hint="eastAsia" w:cs="Times New Roman"/>
                      <w:color w:val="auto"/>
                      <w:szCs w:val="21"/>
                      <w:highlight w:val="none"/>
                      <w:lang w:val="en-US" w:eastAsia="zh-CN"/>
                    </w:rPr>
                    <w:t>7</w:t>
                  </w:r>
                </w:p>
              </w:tc>
              <w:tc>
                <w:tcPr>
                  <w:tcW w:w="536" w:type="pct"/>
                  <w:tcBorders>
                    <w:tl2br w:val="nil"/>
                    <w:tr2bl w:val="nil"/>
                  </w:tcBorders>
                  <w:shd w:val="clear" w:color="auto" w:fill="auto"/>
                  <w:vAlign w:val="top"/>
                </w:tcPr>
                <w:p w14:paraId="2E55CE38">
                  <w:pPr>
                    <w:widowControl/>
                    <w:spacing w:line="230" w:lineRule="exact"/>
                    <w:jc w:val="center"/>
                    <w:rPr>
                      <w:rFonts w:ascii="Times New Roman" w:hAnsi="Times New Roman" w:eastAsia="宋体" w:cs="Times New Roman"/>
                      <w:color w:val="auto"/>
                      <w:kern w:val="2"/>
                      <w:sz w:val="21"/>
                      <w:szCs w:val="21"/>
                      <w:highlight w:val="none"/>
                      <w:lang w:val="en-US" w:eastAsia="zh-CN" w:bidi="ar-SA"/>
                    </w:rPr>
                  </w:pPr>
                  <w:r>
                    <w:rPr>
                      <w:rFonts w:cs="Times New Roman"/>
                      <w:color w:val="auto"/>
                      <w:szCs w:val="21"/>
                      <w:highlight w:val="none"/>
                    </w:rPr>
                    <w:t>/</w:t>
                  </w:r>
                </w:p>
              </w:tc>
              <w:tc>
                <w:tcPr>
                  <w:tcW w:w="354" w:type="pct"/>
                  <w:tcBorders>
                    <w:tl2br w:val="nil"/>
                    <w:tr2bl w:val="nil"/>
                  </w:tcBorders>
                  <w:shd w:val="clear" w:color="auto" w:fill="auto"/>
                  <w:vAlign w:val="center"/>
                </w:tcPr>
                <w:p w14:paraId="74553678">
                  <w:pPr>
                    <w:spacing w:line="230" w:lineRule="exact"/>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70</w:t>
                  </w:r>
                </w:p>
              </w:tc>
              <w:tc>
                <w:tcPr>
                  <w:tcW w:w="314" w:type="pct"/>
                  <w:vMerge w:val="continue"/>
                  <w:tcBorders>
                    <w:tl2br w:val="nil"/>
                    <w:tr2bl w:val="nil"/>
                  </w:tcBorders>
                  <w:vAlign w:val="center"/>
                </w:tcPr>
                <w:p w14:paraId="72A479B6">
                  <w:pPr>
                    <w:spacing w:line="230" w:lineRule="exact"/>
                    <w:jc w:val="center"/>
                    <w:rPr>
                      <w:rFonts w:cs="Times New Roman"/>
                      <w:color w:val="auto"/>
                      <w:szCs w:val="21"/>
                      <w:highlight w:val="none"/>
                    </w:rPr>
                  </w:pPr>
                </w:p>
              </w:tc>
              <w:tc>
                <w:tcPr>
                  <w:tcW w:w="361" w:type="pct"/>
                  <w:tcBorders>
                    <w:tl2br w:val="nil"/>
                    <w:tr2bl w:val="nil"/>
                  </w:tcBorders>
                  <w:vAlign w:val="center"/>
                </w:tcPr>
                <w:p w14:paraId="6D8AB35B">
                  <w:pPr>
                    <w:spacing w:line="230" w:lineRule="exact"/>
                    <w:jc w:val="center"/>
                    <w:rPr>
                      <w:rFonts w:cs="Times New Roman"/>
                      <w:color w:val="auto"/>
                      <w:szCs w:val="21"/>
                      <w:highlight w:val="none"/>
                    </w:rPr>
                  </w:pPr>
                  <w:r>
                    <w:rPr>
                      <w:rFonts w:hint="eastAsia"/>
                    </w:rPr>
                    <w:t>80.24</w:t>
                  </w:r>
                </w:p>
              </w:tc>
              <w:tc>
                <w:tcPr>
                  <w:tcW w:w="361" w:type="pct"/>
                  <w:tcBorders>
                    <w:tl2br w:val="nil"/>
                    <w:tr2bl w:val="nil"/>
                  </w:tcBorders>
                  <w:vAlign w:val="center"/>
                </w:tcPr>
                <w:p w14:paraId="4591EE0C">
                  <w:pPr>
                    <w:spacing w:line="230" w:lineRule="exact"/>
                    <w:jc w:val="center"/>
                    <w:rPr>
                      <w:rFonts w:cs="Times New Roman"/>
                      <w:color w:val="auto"/>
                      <w:szCs w:val="21"/>
                      <w:highlight w:val="none"/>
                    </w:rPr>
                  </w:pPr>
                  <w:r>
                    <w:rPr>
                      <w:rFonts w:hint="eastAsia"/>
                    </w:rPr>
                    <w:t>22.6</w:t>
                  </w:r>
                </w:p>
              </w:tc>
              <w:tc>
                <w:tcPr>
                  <w:tcW w:w="383" w:type="pct"/>
                  <w:tcBorders>
                    <w:tl2br w:val="nil"/>
                    <w:tr2bl w:val="nil"/>
                  </w:tcBorders>
                  <w:shd w:val="clear" w:color="auto" w:fill="auto"/>
                  <w:vAlign w:val="top"/>
                </w:tcPr>
                <w:p w14:paraId="41C6E896">
                  <w:pPr>
                    <w:spacing w:line="230" w:lineRule="exact"/>
                    <w:jc w:val="center"/>
                    <w:rPr>
                      <w:rFonts w:ascii="Times New Roman" w:hAnsi="Times New Roman" w:eastAsia="宋体" w:cs="Times New Roman"/>
                      <w:color w:val="auto"/>
                      <w:kern w:val="2"/>
                      <w:sz w:val="21"/>
                      <w:szCs w:val="21"/>
                      <w:highlight w:val="none"/>
                      <w:lang w:val="en-US" w:eastAsia="zh-CN" w:bidi="ar-SA"/>
                    </w:rPr>
                  </w:pPr>
                  <w:r>
                    <w:rPr>
                      <w:rFonts w:hint="eastAsia"/>
                    </w:rPr>
                    <w:t>1</w:t>
                  </w:r>
                </w:p>
              </w:tc>
              <w:tc>
                <w:tcPr>
                  <w:tcW w:w="298" w:type="pct"/>
                  <w:tcBorders>
                    <w:tl2br w:val="nil"/>
                    <w:tr2bl w:val="nil"/>
                  </w:tcBorders>
                  <w:vAlign w:val="center"/>
                </w:tcPr>
                <w:p w14:paraId="6E0CA140">
                  <w:pPr>
                    <w:spacing w:line="230" w:lineRule="exact"/>
                    <w:jc w:val="center"/>
                    <w:rPr>
                      <w:rFonts w:cs="Times New Roman"/>
                      <w:color w:val="auto"/>
                      <w:szCs w:val="21"/>
                      <w:highlight w:val="none"/>
                    </w:rPr>
                  </w:pPr>
                  <w:r>
                    <w:rPr>
                      <w:rFonts w:hint="eastAsia"/>
                    </w:rPr>
                    <w:t>18.</w:t>
                  </w:r>
                  <w:r>
                    <w:rPr>
                      <w:rFonts w:hint="eastAsia"/>
                      <w:lang w:val="en-US" w:eastAsia="zh-CN"/>
                    </w:rPr>
                    <w:t>2</w:t>
                  </w:r>
                </w:p>
              </w:tc>
              <w:tc>
                <w:tcPr>
                  <w:tcW w:w="286" w:type="pct"/>
                  <w:tcBorders>
                    <w:tl2br w:val="nil"/>
                    <w:tr2bl w:val="nil"/>
                  </w:tcBorders>
                  <w:vAlign w:val="center"/>
                </w:tcPr>
                <w:p w14:paraId="06321824">
                  <w:pPr>
                    <w:spacing w:line="230" w:lineRule="exact"/>
                    <w:jc w:val="center"/>
                    <w:rPr>
                      <w:rFonts w:cs="Times New Roman"/>
                      <w:color w:val="auto"/>
                      <w:szCs w:val="21"/>
                      <w:highlight w:val="none"/>
                    </w:rPr>
                  </w:pPr>
                  <w:r>
                    <w:rPr>
                      <w:rFonts w:hint="eastAsia"/>
                    </w:rPr>
                    <w:t>54.87</w:t>
                  </w:r>
                </w:p>
              </w:tc>
              <w:tc>
                <w:tcPr>
                  <w:tcW w:w="246" w:type="pct"/>
                  <w:vMerge w:val="continue"/>
                  <w:tcBorders>
                    <w:tl2br w:val="nil"/>
                    <w:tr2bl w:val="nil"/>
                  </w:tcBorders>
                  <w:vAlign w:val="center"/>
                </w:tcPr>
                <w:p w14:paraId="2BDA127C">
                  <w:pPr>
                    <w:spacing w:line="230" w:lineRule="exact"/>
                    <w:jc w:val="center"/>
                    <w:rPr>
                      <w:rFonts w:cs="Times New Roman"/>
                      <w:color w:val="auto"/>
                      <w:szCs w:val="21"/>
                      <w:highlight w:val="none"/>
                    </w:rPr>
                  </w:pPr>
                </w:p>
              </w:tc>
              <w:tc>
                <w:tcPr>
                  <w:tcW w:w="417" w:type="pct"/>
                  <w:tcBorders>
                    <w:tl2br w:val="nil"/>
                    <w:tr2bl w:val="nil"/>
                  </w:tcBorders>
                  <w:vAlign w:val="center"/>
                </w:tcPr>
                <w:p w14:paraId="17ED8D72">
                  <w:pPr>
                    <w:spacing w:line="230" w:lineRule="exact"/>
                    <w:jc w:val="center"/>
                    <w:rPr>
                      <w:rFonts w:hint="default" w:eastAsia="宋体" w:cs="Times New Roman"/>
                      <w:color w:val="auto"/>
                      <w:szCs w:val="21"/>
                      <w:highlight w:val="none"/>
                      <w:lang w:val="en-US" w:eastAsia="zh-CN"/>
                    </w:rPr>
                  </w:pPr>
                  <w:r>
                    <w:rPr>
                      <w:rFonts w:hint="eastAsia" w:cs="Times New Roman"/>
                      <w:color w:val="auto"/>
                      <w:szCs w:val="21"/>
                      <w:highlight w:val="none"/>
                      <w:lang w:val="en-US" w:eastAsia="zh-CN"/>
                    </w:rPr>
                    <w:t>20</w:t>
                  </w:r>
                </w:p>
              </w:tc>
              <w:tc>
                <w:tcPr>
                  <w:tcW w:w="315" w:type="pct"/>
                  <w:tcBorders>
                    <w:tl2br w:val="nil"/>
                    <w:tr2bl w:val="nil"/>
                  </w:tcBorders>
                  <w:vAlign w:val="center"/>
                </w:tcPr>
                <w:p w14:paraId="4BCBDBC7">
                  <w:pPr>
                    <w:spacing w:line="230" w:lineRule="exact"/>
                    <w:jc w:val="center"/>
                    <w:rPr>
                      <w:rFonts w:cs="Times New Roman"/>
                      <w:color w:val="auto"/>
                      <w:sz w:val="22"/>
                      <w:highlight w:val="none"/>
                    </w:rPr>
                  </w:pPr>
                  <w:r>
                    <w:rPr>
                      <w:rFonts w:hint="eastAsia"/>
                    </w:rPr>
                    <w:t>3</w:t>
                  </w:r>
                  <w:r>
                    <w:rPr>
                      <w:rFonts w:hint="eastAsia"/>
                      <w:lang w:val="en-US" w:eastAsia="zh-CN"/>
                    </w:rPr>
                    <w:t>4</w:t>
                  </w:r>
                  <w:r>
                    <w:rPr>
                      <w:rFonts w:hint="eastAsia"/>
                    </w:rPr>
                    <w:t>.87</w:t>
                  </w:r>
                </w:p>
              </w:tc>
              <w:tc>
                <w:tcPr>
                  <w:tcW w:w="355" w:type="pct"/>
                  <w:tcBorders>
                    <w:tl2br w:val="nil"/>
                    <w:tr2bl w:val="nil"/>
                  </w:tcBorders>
                </w:tcPr>
                <w:p w14:paraId="702950A3">
                  <w:pPr>
                    <w:spacing w:line="230" w:lineRule="exact"/>
                    <w:jc w:val="center"/>
                    <w:rPr>
                      <w:rFonts w:hint="eastAsia" w:eastAsia="宋体" w:cs="Times New Roman"/>
                      <w:color w:val="auto"/>
                      <w:szCs w:val="21"/>
                      <w:highlight w:val="none"/>
                      <w:lang w:val="en-US" w:eastAsia="zh-CN"/>
                    </w:rPr>
                  </w:pPr>
                  <w:r>
                    <w:rPr>
                      <w:rFonts w:hint="eastAsia" w:cs="Times New Roman"/>
                      <w:color w:val="auto"/>
                      <w:szCs w:val="21"/>
                      <w:highlight w:val="none"/>
                      <w:lang w:val="en-US" w:eastAsia="zh-CN"/>
                    </w:rPr>
                    <w:t>1</w:t>
                  </w:r>
                </w:p>
              </w:tc>
            </w:tr>
            <w:tr w14:paraId="409CCC2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6" w:hRule="atLeast"/>
                <w:jc w:val="center"/>
              </w:trPr>
              <w:tc>
                <w:tcPr>
                  <w:tcW w:w="298" w:type="pct"/>
                  <w:tcBorders>
                    <w:tl2br w:val="nil"/>
                    <w:tr2bl w:val="nil"/>
                  </w:tcBorders>
                  <w:shd w:val="clear" w:color="auto" w:fill="auto"/>
                  <w:vAlign w:val="center"/>
                </w:tcPr>
                <w:p w14:paraId="6C127EA9">
                  <w:pPr>
                    <w:spacing w:line="230" w:lineRule="exact"/>
                    <w:jc w:val="center"/>
                    <w:rPr>
                      <w:rFonts w:ascii="Times New Roman" w:hAnsi="Times New Roman" w:eastAsia="宋体" w:cs="Times New Roman"/>
                      <w:color w:val="auto"/>
                      <w:kern w:val="2"/>
                      <w:sz w:val="21"/>
                      <w:szCs w:val="21"/>
                      <w:highlight w:val="none"/>
                      <w:lang w:val="en-US" w:eastAsia="zh-CN" w:bidi="ar-SA"/>
                    </w:rPr>
                  </w:pPr>
                  <w:r>
                    <w:rPr>
                      <w:rFonts w:cs="Times New Roman"/>
                      <w:color w:val="auto"/>
                      <w:szCs w:val="21"/>
                      <w:highlight w:val="none"/>
                    </w:rPr>
                    <w:t>19</w:t>
                  </w:r>
                </w:p>
              </w:tc>
              <w:tc>
                <w:tcPr>
                  <w:tcW w:w="472" w:type="pct"/>
                  <w:tcBorders>
                    <w:tl2br w:val="nil"/>
                    <w:tr2bl w:val="nil"/>
                  </w:tcBorders>
                  <w:shd w:val="clear" w:color="auto" w:fill="auto"/>
                  <w:vAlign w:val="center"/>
                </w:tcPr>
                <w:p w14:paraId="2050A102">
                  <w:pPr>
                    <w:snapToGrid w:val="0"/>
                    <w:spacing w:line="230" w:lineRule="exact"/>
                    <w:jc w:val="center"/>
                    <w:rPr>
                      <w:rFonts w:hint="eastAsia" w:ascii="Times New Roman" w:hAnsi="Times New Roman" w:eastAsia="宋体" w:cs="Times New Roman"/>
                      <w:color w:val="auto"/>
                      <w:kern w:val="2"/>
                      <w:sz w:val="21"/>
                      <w:szCs w:val="21"/>
                      <w:highlight w:val="none"/>
                      <w:lang w:val="en-US" w:eastAsia="zh-CN" w:bidi="ar-SA"/>
                    </w:rPr>
                  </w:pPr>
                  <w:r>
                    <w:rPr>
                      <w:rFonts w:cs="Times New Roman"/>
                      <w:color w:val="auto"/>
                      <w:szCs w:val="21"/>
                      <w:highlight w:val="none"/>
                    </w:rPr>
                    <w:t>雕刻机</w:t>
                  </w:r>
                  <w:r>
                    <w:rPr>
                      <w:rFonts w:hint="eastAsia" w:cs="Times New Roman"/>
                      <w:color w:val="auto"/>
                      <w:szCs w:val="21"/>
                      <w:highlight w:val="none"/>
                      <w:lang w:val="en-US" w:eastAsia="zh-CN"/>
                    </w:rPr>
                    <w:t>8</w:t>
                  </w:r>
                </w:p>
              </w:tc>
              <w:tc>
                <w:tcPr>
                  <w:tcW w:w="536" w:type="pct"/>
                  <w:tcBorders>
                    <w:tl2br w:val="nil"/>
                    <w:tr2bl w:val="nil"/>
                  </w:tcBorders>
                  <w:shd w:val="clear" w:color="auto" w:fill="auto"/>
                  <w:vAlign w:val="top"/>
                </w:tcPr>
                <w:p w14:paraId="52F2E99D">
                  <w:pPr>
                    <w:spacing w:line="230" w:lineRule="exact"/>
                    <w:jc w:val="center"/>
                    <w:rPr>
                      <w:rFonts w:ascii="Times New Roman" w:hAnsi="Times New Roman" w:eastAsia="宋体" w:cs="Times New Roman"/>
                      <w:color w:val="auto"/>
                      <w:kern w:val="2"/>
                      <w:sz w:val="21"/>
                      <w:szCs w:val="21"/>
                      <w:highlight w:val="none"/>
                      <w:lang w:val="en-US" w:eastAsia="zh-CN" w:bidi="ar-SA"/>
                    </w:rPr>
                  </w:pPr>
                  <w:r>
                    <w:rPr>
                      <w:rFonts w:cs="Times New Roman"/>
                      <w:color w:val="auto"/>
                      <w:szCs w:val="21"/>
                      <w:highlight w:val="none"/>
                    </w:rPr>
                    <w:t>/</w:t>
                  </w:r>
                </w:p>
              </w:tc>
              <w:tc>
                <w:tcPr>
                  <w:tcW w:w="354" w:type="pct"/>
                  <w:tcBorders>
                    <w:tl2br w:val="nil"/>
                    <w:tr2bl w:val="nil"/>
                  </w:tcBorders>
                  <w:shd w:val="clear" w:color="auto" w:fill="auto"/>
                  <w:vAlign w:val="center"/>
                </w:tcPr>
                <w:p w14:paraId="23C67CBA">
                  <w:pPr>
                    <w:spacing w:line="230" w:lineRule="exact"/>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70</w:t>
                  </w:r>
                </w:p>
              </w:tc>
              <w:tc>
                <w:tcPr>
                  <w:tcW w:w="314" w:type="pct"/>
                  <w:vMerge w:val="continue"/>
                  <w:tcBorders>
                    <w:tl2br w:val="nil"/>
                    <w:tr2bl w:val="nil"/>
                  </w:tcBorders>
                  <w:vAlign w:val="center"/>
                </w:tcPr>
                <w:p w14:paraId="09B29DA4">
                  <w:pPr>
                    <w:spacing w:line="230" w:lineRule="exact"/>
                    <w:jc w:val="center"/>
                    <w:rPr>
                      <w:rFonts w:cs="Times New Roman"/>
                      <w:color w:val="auto"/>
                      <w:szCs w:val="21"/>
                      <w:highlight w:val="none"/>
                    </w:rPr>
                  </w:pPr>
                </w:p>
              </w:tc>
              <w:tc>
                <w:tcPr>
                  <w:tcW w:w="361" w:type="pct"/>
                  <w:tcBorders>
                    <w:tl2br w:val="nil"/>
                    <w:tr2bl w:val="nil"/>
                  </w:tcBorders>
                  <w:vAlign w:val="center"/>
                </w:tcPr>
                <w:p w14:paraId="053D644E">
                  <w:pPr>
                    <w:spacing w:line="230" w:lineRule="exact"/>
                    <w:jc w:val="center"/>
                    <w:rPr>
                      <w:rFonts w:cs="Times New Roman"/>
                      <w:color w:val="auto"/>
                      <w:szCs w:val="21"/>
                      <w:highlight w:val="none"/>
                    </w:rPr>
                  </w:pPr>
                  <w:r>
                    <w:rPr>
                      <w:rFonts w:hint="eastAsia"/>
                    </w:rPr>
                    <w:t>85.87</w:t>
                  </w:r>
                </w:p>
              </w:tc>
              <w:tc>
                <w:tcPr>
                  <w:tcW w:w="361" w:type="pct"/>
                  <w:tcBorders>
                    <w:tl2br w:val="nil"/>
                    <w:tr2bl w:val="nil"/>
                  </w:tcBorders>
                  <w:vAlign w:val="center"/>
                </w:tcPr>
                <w:p w14:paraId="56971EB0">
                  <w:pPr>
                    <w:spacing w:line="230" w:lineRule="exact"/>
                    <w:jc w:val="center"/>
                    <w:rPr>
                      <w:rFonts w:cs="Times New Roman"/>
                      <w:color w:val="auto"/>
                      <w:szCs w:val="21"/>
                      <w:highlight w:val="none"/>
                    </w:rPr>
                  </w:pPr>
                  <w:r>
                    <w:rPr>
                      <w:rFonts w:hint="eastAsia"/>
                    </w:rPr>
                    <w:t>22.48</w:t>
                  </w:r>
                </w:p>
              </w:tc>
              <w:tc>
                <w:tcPr>
                  <w:tcW w:w="383" w:type="pct"/>
                  <w:tcBorders>
                    <w:tl2br w:val="nil"/>
                    <w:tr2bl w:val="nil"/>
                  </w:tcBorders>
                  <w:shd w:val="clear" w:color="auto" w:fill="auto"/>
                  <w:vAlign w:val="top"/>
                </w:tcPr>
                <w:p w14:paraId="20CF65D8">
                  <w:pPr>
                    <w:spacing w:line="230" w:lineRule="exact"/>
                    <w:jc w:val="center"/>
                    <w:rPr>
                      <w:rFonts w:ascii="Times New Roman" w:hAnsi="Times New Roman" w:eastAsia="宋体" w:cs="Times New Roman"/>
                      <w:color w:val="auto"/>
                      <w:kern w:val="2"/>
                      <w:sz w:val="21"/>
                      <w:szCs w:val="21"/>
                      <w:highlight w:val="none"/>
                      <w:lang w:val="en-US" w:eastAsia="zh-CN" w:bidi="ar-SA"/>
                    </w:rPr>
                  </w:pPr>
                  <w:r>
                    <w:rPr>
                      <w:rFonts w:hint="eastAsia"/>
                    </w:rPr>
                    <w:t>1</w:t>
                  </w:r>
                </w:p>
              </w:tc>
              <w:tc>
                <w:tcPr>
                  <w:tcW w:w="298" w:type="pct"/>
                  <w:tcBorders>
                    <w:tl2br w:val="nil"/>
                    <w:tr2bl w:val="nil"/>
                  </w:tcBorders>
                  <w:vAlign w:val="center"/>
                </w:tcPr>
                <w:p w14:paraId="4BE4E1BA">
                  <w:pPr>
                    <w:spacing w:line="230" w:lineRule="exact"/>
                    <w:jc w:val="center"/>
                    <w:rPr>
                      <w:rFonts w:cs="Times New Roman"/>
                      <w:color w:val="auto"/>
                      <w:szCs w:val="21"/>
                      <w:highlight w:val="none"/>
                    </w:rPr>
                  </w:pPr>
                  <w:r>
                    <w:rPr>
                      <w:rFonts w:hint="eastAsia"/>
                    </w:rPr>
                    <w:t>18.</w:t>
                  </w:r>
                  <w:r>
                    <w:rPr>
                      <w:rFonts w:hint="eastAsia"/>
                      <w:lang w:val="en-US" w:eastAsia="zh-CN"/>
                    </w:rPr>
                    <w:t>1</w:t>
                  </w:r>
                </w:p>
              </w:tc>
              <w:tc>
                <w:tcPr>
                  <w:tcW w:w="286" w:type="pct"/>
                  <w:tcBorders>
                    <w:tl2br w:val="nil"/>
                    <w:tr2bl w:val="nil"/>
                  </w:tcBorders>
                  <w:vAlign w:val="center"/>
                </w:tcPr>
                <w:p w14:paraId="3B4FABA9">
                  <w:pPr>
                    <w:spacing w:line="230" w:lineRule="exact"/>
                    <w:jc w:val="center"/>
                    <w:rPr>
                      <w:rFonts w:cs="Times New Roman"/>
                      <w:color w:val="auto"/>
                      <w:szCs w:val="21"/>
                      <w:highlight w:val="none"/>
                    </w:rPr>
                  </w:pPr>
                  <w:r>
                    <w:rPr>
                      <w:rFonts w:hint="eastAsia"/>
                    </w:rPr>
                    <w:t>54.87</w:t>
                  </w:r>
                </w:p>
              </w:tc>
              <w:tc>
                <w:tcPr>
                  <w:tcW w:w="246" w:type="pct"/>
                  <w:vMerge w:val="continue"/>
                  <w:tcBorders>
                    <w:tl2br w:val="nil"/>
                    <w:tr2bl w:val="nil"/>
                  </w:tcBorders>
                  <w:vAlign w:val="center"/>
                </w:tcPr>
                <w:p w14:paraId="0F06BD1E">
                  <w:pPr>
                    <w:spacing w:line="230" w:lineRule="exact"/>
                    <w:jc w:val="center"/>
                    <w:rPr>
                      <w:rFonts w:cs="Times New Roman"/>
                      <w:color w:val="auto"/>
                      <w:szCs w:val="21"/>
                      <w:highlight w:val="none"/>
                    </w:rPr>
                  </w:pPr>
                </w:p>
              </w:tc>
              <w:tc>
                <w:tcPr>
                  <w:tcW w:w="417" w:type="pct"/>
                  <w:tcBorders>
                    <w:tl2br w:val="nil"/>
                    <w:tr2bl w:val="nil"/>
                  </w:tcBorders>
                  <w:vAlign w:val="center"/>
                </w:tcPr>
                <w:p w14:paraId="02FC7800">
                  <w:pPr>
                    <w:spacing w:line="230" w:lineRule="exact"/>
                    <w:jc w:val="center"/>
                    <w:rPr>
                      <w:rFonts w:hint="default" w:eastAsia="宋体" w:cs="Times New Roman"/>
                      <w:color w:val="auto"/>
                      <w:szCs w:val="21"/>
                      <w:highlight w:val="none"/>
                      <w:lang w:val="en-US" w:eastAsia="zh-CN"/>
                    </w:rPr>
                  </w:pPr>
                  <w:r>
                    <w:rPr>
                      <w:rFonts w:hint="eastAsia" w:cs="Times New Roman"/>
                      <w:color w:val="auto"/>
                      <w:szCs w:val="21"/>
                      <w:highlight w:val="none"/>
                      <w:lang w:val="en-US" w:eastAsia="zh-CN"/>
                    </w:rPr>
                    <w:t>20</w:t>
                  </w:r>
                </w:p>
              </w:tc>
              <w:tc>
                <w:tcPr>
                  <w:tcW w:w="315" w:type="pct"/>
                  <w:tcBorders>
                    <w:tl2br w:val="nil"/>
                    <w:tr2bl w:val="nil"/>
                  </w:tcBorders>
                  <w:vAlign w:val="center"/>
                </w:tcPr>
                <w:p w14:paraId="00840B7D">
                  <w:pPr>
                    <w:spacing w:line="230" w:lineRule="exact"/>
                    <w:jc w:val="center"/>
                    <w:rPr>
                      <w:rFonts w:cs="Times New Roman"/>
                      <w:color w:val="auto"/>
                      <w:sz w:val="22"/>
                      <w:highlight w:val="none"/>
                    </w:rPr>
                  </w:pPr>
                  <w:r>
                    <w:rPr>
                      <w:rFonts w:hint="eastAsia"/>
                    </w:rPr>
                    <w:t>3</w:t>
                  </w:r>
                  <w:r>
                    <w:rPr>
                      <w:rFonts w:hint="eastAsia"/>
                      <w:lang w:val="en-US" w:eastAsia="zh-CN"/>
                    </w:rPr>
                    <w:t>4</w:t>
                  </w:r>
                  <w:r>
                    <w:rPr>
                      <w:rFonts w:hint="eastAsia"/>
                    </w:rPr>
                    <w:t>.87</w:t>
                  </w:r>
                </w:p>
              </w:tc>
              <w:tc>
                <w:tcPr>
                  <w:tcW w:w="355" w:type="pct"/>
                  <w:tcBorders>
                    <w:tl2br w:val="nil"/>
                    <w:tr2bl w:val="nil"/>
                  </w:tcBorders>
                </w:tcPr>
                <w:p w14:paraId="7011931E">
                  <w:pPr>
                    <w:spacing w:line="230" w:lineRule="exact"/>
                    <w:jc w:val="center"/>
                    <w:rPr>
                      <w:rFonts w:hint="eastAsia" w:eastAsia="宋体" w:cs="Times New Roman"/>
                      <w:color w:val="auto"/>
                      <w:szCs w:val="21"/>
                      <w:highlight w:val="none"/>
                      <w:lang w:val="en-US" w:eastAsia="zh-CN"/>
                    </w:rPr>
                  </w:pPr>
                  <w:r>
                    <w:rPr>
                      <w:rFonts w:hint="eastAsia" w:cs="Times New Roman"/>
                      <w:color w:val="auto"/>
                      <w:szCs w:val="21"/>
                      <w:highlight w:val="none"/>
                      <w:lang w:val="en-US" w:eastAsia="zh-CN"/>
                    </w:rPr>
                    <w:t>1</w:t>
                  </w:r>
                </w:p>
              </w:tc>
            </w:tr>
            <w:tr w14:paraId="738D690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02" w:hRule="atLeast"/>
                <w:jc w:val="center"/>
              </w:trPr>
              <w:tc>
                <w:tcPr>
                  <w:tcW w:w="298" w:type="pct"/>
                  <w:tcBorders>
                    <w:tl2br w:val="nil"/>
                    <w:tr2bl w:val="nil"/>
                  </w:tcBorders>
                  <w:shd w:val="clear" w:color="auto" w:fill="auto"/>
                  <w:vAlign w:val="center"/>
                </w:tcPr>
                <w:p w14:paraId="7C3E5679">
                  <w:pPr>
                    <w:spacing w:line="230" w:lineRule="exact"/>
                    <w:jc w:val="center"/>
                    <w:rPr>
                      <w:rFonts w:ascii="Times New Roman" w:hAnsi="Times New Roman" w:eastAsia="宋体" w:cs="Times New Roman"/>
                      <w:color w:val="auto"/>
                      <w:kern w:val="2"/>
                      <w:sz w:val="21"/>
                      <w:szCs w:val="21"/>
                      <w:highlight w:val="none"/>
                      <w:lang w:val="en-US" w:eastAsia="zh-CN" w:bidi="ar-SA"/>
                    </w:rPr>
                  </w:pPr>
                  <w:r>
                    <w:rPr>
                      <w:rFonts w:cs="Times New Roman"/>
                      <w:color w:val="auto"/>
                      <w:szCs w:val="21"/>
                      <w:highlight w:val="none"/>
                    </w:rPr>
                    <w:t>18</w:t>
                  </w:r>
                </w:p>
              </w:tc>
              <w:tc>
                <w:tcPr>
                  <w:tcW w:w="472" w:type="pct"/>
                  <w:tcBorders>
                    <w:tl2br w:val="nil"/>
                    <w:tr2bl w:val="nil"/>
                  </w:tcBorders>
                  <w:shd w:val="clear" w:color="auto" w:fill="auto"/>
                  <w:vAlign w:val="center"/>
                </w:tcPr>
                <w:p w14:paraId="026BC01A">
                  <w:pPr>
                    <w:snapToGrid w:val="0"/>
                    <w:spacing w:line="230" w:lineRule="exact"/>
                    <w:jc w:val="center"/>
                    <w:rPr>
                      <w:rFonts w:hint="eastAsia" w:ascii="Times New Roman" w:hAnsi="Times New Roman" w:eastAsia="宋体" w:cs="Times New Roman"/>
                      <w:color w:val="auto"/>
                      <w:kern w:val="2"/>
                      <w:sz w:val="21"/>
                      <w:szCs w:val="21"/>
                      <w:highlight w:val="none"/>
                      <w:lang w:val="en-US" w:eastAsia="zh-CN" w:bidi="ar-SA"/>
                    </w:rPr>
                  </w:pPr>
                  <w:r>
                    <w:rPr>
                      <w:rFonts w:cs="Times New Roman"/>
                      <w:color w:val="auto"/>
                      <w:szCs w:val="21"/>
                      <w:highlight w:val="none"/>
                    </w:rPr>
                    <w:t>雕刻机</w:t>
                  </w:r>
                  <w:r>
                    <w:rPr>
                      <w:rFonts w:hint="eastAsia" w:cs="Times New Roman"/>
                      <w:color w:val="auto"/>
                      <w:szCs w:val="21"/>
                      <w:highlight w:val="none"/>
                      <w:lang w:val="en-US" w:eastAsia="zh-CN"/>
                    </w:rPr>
                    <w:t>9</w:t>
                  </w:r>
                </w:p>
              </w:tc>
              <w:tc>
                <w:tcPr>
                  <w:tcW w:w="536" w:type="pct"/>
                  <w:tcBorders>
                    <w:tl2br w:val="nil"/>
                    <w:tr2bl w:val="nil"/>
                  </w:tcBorders>
                  <w:shd w:val="clear" w:color="auto" w:fill="auto"/>
                  <w:vAlign w:val="top"/>
                </w:tcPr>
                <w:p w14:paraId="6FF2ABDC">
                  <w:pPr>
                    <w:widowControl/>
                    <w:spacing w:line="230" w:lineRule="exact"/>
                    <w:jc w:val="center"/>
                    <w:rPr>
                      <w:rFonts w:ascii="Times New Roman" w:hAnsi="Times New Roman" w:eastAsia="宋体" w:cs="Times New Roman"/>
                      <w:color w:val="auto"/>
                      <w:kern w:val="2"/>
                      <w:sz w:val="21"/>
                      <w:szCs w:val="21"/>
                      <w:highlight w:val="none"/>
                      <w:lang w:val="en-US" w:eastAsia="zh-CN" w:bidi="ar-SA"/>
                    </w:rPr>
                  </w:pPr>
                  <w:r>
                    <w:rPr>
                      <w:rFonts w:cs="Times New Roman"/>
                      <w:color w:val="auto"/>
                      <w:szCs w:val="21"/>
                      <w:highlight w:val="none"/>
                    </w:rPr>
                    <w:t>/</w:t>
                  </w:r>
                </w:p>
              </w:tc>
              <w:tc>
                <w:tcPr>
                  <w:tcW w:w="354" w:type="pct"/>
                  <w:tcBorders>
                    <w:tl2br w:val="nil"/>
                    <w:tr2bl w:val="nil"/>
                  </w:tcBorders>
                  <w:shd w:val="clear" w:color="auto" w:fill="auto"/>
                  <w:vAlign w:val="center"/>
                </w:tcPr>
                <w:p w14:paraId="7C92FB1E">
                  <w:pPr>
                    <w:spacing w:line="230" w:lineRule="exact"/>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70</w:t>
                  </w:r>
                </w:p>
              </w:tc>
              <w:tc>
                <w:tcPr>
                  <w:tcW w:w="314" w:type="pct"/>
                  <w:vMerge w:val="continue"/>
                  <w:tcBorders>
                    <w:tl2br w:val="nil"/>
                    <w:tr2bl w:val="nil"/>
                  </w:tcBorders>
                  <w:vAlign w:val="center"/>
                </w:tcPr>
                <w:p w14:paraId="0AFB4E9D">
                  <w:pPr>
                    <w:spacing w:line="230" w:lineRule="exact"/>
                    <w:jc w:val="center"/>
                    <w:rPr>
                      <w:rFonts w:cs="Times New Roman"/>
                      <w:color w:val="auto"/>
                      <w:szCs w:val="21"/>
                      <w:highlight w:val="none"/>
                    </w:rPr>
                  </w:pPr>
                </w:p>
              </w:tc>
              <w:tc>
                <w:tcPr>
                  <w:tcW w:w="361" w:type="pct"/>
                  <w:tcBorders>
                    <w:tl2br w:val="nil"/>
                    <w:tr2bl w:val="nil"/>
                  </w:tcBorders>
                  <w:vAlign w:val="center"/>
                </w:tcPr>
                <w:p w14:paraId="1839771D">
                  <w:pPr>
                    <w:spacing w:line="230" w:lineRule="exact"/>
                    <w:jc w:val="center"/>
                    <w:rPr>
                      <w:rFonts w:cs="Times New Roman"/>
                      <w:color w:val="auto"/>
                      <w:szCs w:val="21"/>
                      <w:highlight w:val="none"/>
                    </w:rPr>
                  </w:pPr>
                  <w:r>
                    <w:rPr>
                      <w:rFonts w:hint="eastAsia"/>
                    </w:rPr>
                    <w:t>91.72</w:t>
                  </w:r>
                </w:p>
              </w:tc>
              <w:tc>
                <w:tcPr>
                  <w:tcW w:w="361" w:type="pct"/>
                  <w:tcBorders>
                    <w:tl2br w:val="nil"/>
                    <w:tr2bl w:val="nil"/>
                  </w:tcBorders>
                  <w:vAlign w:val="center"/>
                </w:tcPr>
                <w:p w14:paraId="75DF5600">
                  <w:pPr>
                    <w:spacing w:line="230" w:lineRule="exact"/>
                    <w:jc w:val="center"/>
                    <w:rPr>
                      <w:rFonts w:cs="Times New Roman"/>
                      <w:color w:val="auto"/>
                      <w:szCs w:val="21"/>
                      <w:highlight w:val="none"/>
                    </w:rPr>
                  </w:pPr>
                  <w:r>
                    <w:rPr>
                      <w:rFonts w:hint="eastAsia"/>
                    </w:rPr>
                    <w:t>22.6</w:t>
                  </w:r>
                </w:p>
              </w:tc>
              <w:tc>
                <w:tcPr>
                  <w:tcW w:w="383" w:type="pct"/>
                  <w:tcBorders>
                    <w:tl2br w:val="nil"/>
                    <w:tr2bl w:val="nil"/>
                  </w:tcBorders>
                  <w:shd w:val="clear" w:color="auto" w:fill="auto"/>
                  <w:vAlign w:val="top"/>
                </w:tcPr>
                <w:p w14:paraId="4CE0F8B0">
                  <w:pPr>
                    <w:spacing w:line="230" w:lineRule="exact"/>
                    <w:jc w:val="center"/>
                    <w:rPr>
                      <w:rFonts w:ascii="Times New Roman" w:hAnsi="Times New Roman" w:eastAsia="宋体" w:cs="Times New Roman"/>
                      <w:color w:val="auto"/>
                      <w:kern w:val="2"/>
                      <w:sz w:val="21"/>
                      <w:szCs w:val="21"/>
                      <w:highlight w:val="none"/>
                      <w:lang w:val="en-US" w:eastAsia="zh-CN" w:bidi="ar-SA"/>
                    </w:rPr>
                  </w:pPr>
                  <w:r>
                    <w:rPr>
                      <w:rFonts w:hint="eastAsia"/>
                    </w:rPr>
                    <w:t>1</w:t>
                  </w:r>
                </w:p>
              </w:tc>
              <w:tc>
                <w:tcPr>
                  <w:tcW w:w="298" w:type="pct"/>
                  <w:tcBorders>
                    <w:tl2br w:val="nil"/>
                    <w:tr2bl w:val="nil"/>
                  </w:tcBorders>
                  <w:vAlign w:val="center"/>
                </w:tcPr>
                <w:p w14:paraId="6196D54B">
                  <w:pPr>
                    <w:spacing w:line="230" w:lineRule="exact"/>
                    <w:jc w:val="center"/>
                    <w:rPr>
                      <w:rFonts w:cs="Times New Roman"/>
                      <w:color w:val="auto"/>
                      <w:szCs w:val="21"/>
                      <w:highlight w:val="none"/>
                    </w:rPr>
                  </w:pPr>
                  <w:r>
                    <w:rPr>
                      <w:rFonts w:hint="eastAsia"/>
                    </w:rPr>
                    <w:t>18.</w:t>
                  </w:r>
                  <w:r>
                    <w:rPr>
                      <w:rFonts w:hint="eastAsia"/>
                      <w:lang w:val="en-US" w:eastAsia="zh-CN"/>
                    </w:rPr>
                    <w:t>2</w:t>
                  </w:r>
                </w:p>
              </w:tc>
              <w:tc>
                <w:tcPr>
                  <w:tcW w:w="286" w:type="pct"/>
                  <w:tcBorders>
                    <w:tl2br w:val="nil"/>
                    <w:tr2bl w:val="nil"/>
                  </w:tcBorders>
                  <w:vAlign w:val="center"/>
                </w:tcPr>
                <w:p w14:paraId="66B5F741">
                  <w:pPr>
                    <w:spacing w:line="230" w:lineRule="exact"/>
                    <w:jc w:val="center"/>
                    <w:rPr>
                      <w:rFonts w:cs="Times New Roman"/>
                      <w:color w:val="auto"/>
                      <w:szCs w:val="21"/>
                      <w:highlight w:val="none"/>
                    </w:rPr>
                  </w:pPr>
                  <w:r>
                    <w:rPr>
                      <w:rFonts w:hint="eastAsia"/>
                    </w:rPr>
                    <w:t>54.87</w:t>
                  </w:r>
                </w:p>
              </w:tc>
              <w:tc>
                <w:tcPr>
                  <w:tcW w:w="246" w:type="pct"/>
                  <w:vMerge w:val="continue"/>
                  <w:tcBorders>
                    <w:tl2br w:val="nil"/>
                    <w:tr2bl w:val="nil"/>
                  </w:tcBorders>
                  <w:vAlign w:val="center"/>
                </w:tcPr>
                <w:p w14:paraId="4498D098">
                  <w:pPr>
                    <w:spacing w:line="230" w:lineRule="exact"/>
                    <w:jc w:val="center"/>
                    <w:rPr>
                      <w:rFonts w:cs="Times New Roman"/>
                      <w:color w:val="auto"/>
                      <w:szCs w:val="21"/>
                      <w:highlight w:val="none"/>
                    </w:rPr>
                  </w:pPr>
                </w:p>
              </w:tc>
              <w:tc>
                <w:tcPr>
                  <w:tcW w:w="417" w:type="pct"/>
                  <w:tcBorders>
                    <w:tl2br w:val="nil"/>
                    <w:tr2bl w:val="nil"/>
                  </w:tcBorders>
                  <w:vAlign w:val="center"/>
                </w:tcPr>
                <w:p w14:paraId="425AB9E1">
                  <w:pPr>
                    <w:spacing w:line="230" w:lineRule="exact"/>
                    <w:jc w:val="center"/>
                    <w:rPr>
                      <w:rFonts w:hint="default" w:eastAsia="宋体" w:cs="Times New Roman"/>
                      <w:color w:val="auto"/>
                      <w:szCs w:val="21"/>
                      <w:highlight w:val="none"/>
                      <w:lang w:val="en-US" w:eastAsia="zh-CN"/>
                    </w:rPr>
                  </w:pPr>
                  <w:r>
                    <w:rPr>
                      <w:rFonts w:hint="eastAsia" w:cs="Times New Roman"/>
                      <w:color w:val="auto"/>
                      <w:szCs w:val="21"/>
                      <w:highlight w:val="none"/>
                      <w:lang w:val="en-US" w:eastAsia="zh-CN"/>
                    </w:rPr>
                    <w:t>20</w:t>
                  </w:r>
                </w:p>
              </w:tc>
              <w:tc>
                <w:tcPr>
                  <w:tcW w:w="315" w:type="pct"/>
                  <w:tcBorders>
                    <w:tl2br w:val="nil"/>
                    <w:tr2bl w:val="nil"/>
                  </w:tcBorders>
                  <w:vAlign w:val="center"/>
                </w:tcPr>
                <w:p w14:paraId="5C9C82B9">
                  <w:pPr>
                    <w:spacing w:line="230" w:lineRule="exact"/>
                    <w:jc w:val="center"/>
                    <w:rPr>
                      <w:rFonts w:cs="Times New Roman"/>
                      <w:color w:val="auto"/>
                      <w:sz w:val="22"/>
                      <w:highlight w:val="none"/>
                    </w:rPr>
                  </w:pPr>
                  <w:r>
                    <w:rPr>
                      <w:rFonts w:hint="eastAsia"/>
                    </w:rPr>
                    <w:t>3</w:t>
                  </w:r>
                  <w:r>
                    <w:rPr>
                      <w:rFonts w:hint="eastAsia"/>
                      <w:lang w:val="en-US" w:eastAsia="zh-CN"/>
                    </w:rPr>
                    <w:t>4</w:t>
                  </w:r>
                  <w:r>
                    <w:rPr>
                      <w:rFonts w:hint="eastAsia"/>
                    </w:rPr>
                    <w:t>.87</w:t>
                  </w:r>
                </w:p>
              </w:tc>
              <w:tc>
                <w:tcPr>
                  <w:tcW w:w="355" w:type="pct"/>
                  <w:tcBorders>
                    <w:tl2br w:val="nil"/>
                    <w:tr2bl w:val="nil"/>
                  </w:tcBorders>
                </w:tcPr>
                <w:p w14:paraId="46AFBACB">
                  <w:pPr>
                    <w:spacing w:line="230" w:lineRule="exact"/>
                    <w:jc w:val="center"/>
                    <w:rPr>
                      <w:rFonts w:hint="eastAsia" w:eastAsia="宋体" w:cs="Times New Roman"/>
                      <w:color w:val="auto"/>
                      <w:szCs w:val="21"/>
                      <w:highlight w:val="none"/>
                      <w:lang w:val="en-US" w:eastAsia="zh-CN"/>
                    </w:rPr>
                  </w:pPr>
                  <w:r>
                    <w:rPr>
                      <w:rFonts w:hint="eastAsia" w:cs="Times New Roman"/>
                      <w:color w:val="auto"/>
                      <w:szCs w:val="21"/>
                      <w:highlight w:val="none"/>
                      <w:lang w:val="en-US" w:eastAsia="zh-CN"/>
                    </w:rPr>
                    <w:t>1</w:t>
                  </w:r>
                </w:p>
              </w:tc>
            </w:tr>
            <w:tr w14:paraId="68780F9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02" w:hRule="atLeast"/>
                <w:jc w:val="center"/>
              </w:trPr>
              <w:tc>
                <w:tcPr>
                  <w:tcW w:w="298" w:type="pct"/>
                  <w:tcBorders>
                    <w:tl2br w:val="nil"/>
                    <w:tr2bl w:val="nil"/>
                  </w:tcBorders>
                  <w:shd w:val="clear" w:color="auto" w:fill="auto"/>
                  <w:vAlign w:val="center"/>
                </w:tcPr>
                <w:p w14:paraId="43E05E16">
                  <w:pPr>
                    <w:spacing w:line="230" w:lineRule="exact"/>
                    <w:jc w:val="center"/>
                    <w:rPr>
                      <w:rFonts w:ascii="Times New Roman" w:hAnsi="Times New Roman" w:eastAsia="宋体" w:cs="Times New Roman"/>
                      <w:color w:val="auto"/>
                      <w:kern w:val="2"/>
                      <w:sz w:val="21"/>
                      <w:szCs w:val="21"/>
                      <w:highlight w:val="none"/>
                      <w:lang w:val="en-US" w:eastAsia="zh-CN" w:bidi="ar-SA"/>
                    </w:rPr>
                  </w:pPr>
                  <w:r>
                    <w:rPr>
                      <w:rFonts w:cs="Times New Roman"/>
                      <w:color w:val="auto"/>
                      <w:szCs w:val="21"/>
                      <w:highlight w:val="none"/>
                    </w:rPr>
                    <w:t>19</w:t>
                  </w:r>
                </w:p>
              </w:tc>
              <w:tc>
                <w:tcPr>
                  <w:tcW w:w="472" w:type="pct"/>
                  <w:tcBorders>
                    <w:tl2br w:val="nil"/>
                    <w:tr2bl w:val="nil"/>
                  </w:tcBorders>
                  <w:shd w:val="clear" w:color="auto" w:fill="auto"/>
                  <w:vAlign w:val="center"/>
                </w:tcPr>
                <w:p w14:paraId="0267639C">
                  <w:pPr>
                    <w:snapToGrid w:val="0"/>
                    <w:spacing w:line="230" w:lineRule="exact"/>
                    <w:jc w:val="center"/>
                    <w:rPr>
                      <w:rFonts w:hint="default" w:ascii="Times New Roman" w:hAnsi="Times New Roman" w:eastAsia="宋体" w:cs="Times New Roman"/>
                      <w:color w:val="auto"/>
                      <w:kern w:val="2"/>
                      <w:sz w:val="21"/>
                      <w:szCs w:val="21"/>
                      <w:highlight w:val="none"/>
                      <w:lang w:val="en-US" w:eastAsia="zh-CN" w:bidi="ar-SA"/>
                    </w:rPr>
                  </w:pPr>
                  <w:r>
                    <w:rPr>
                      <w:rFonts w:cs="Times New Roman"/>
                      <w:color w:val="auto"/>
                      <w:szCs w:val="21"/>
                      <w:highlight w:val="none"/>
                    </w:rPr>
                    <w:t>雕刻机</w:t>
                  </w:r>
                  <w:r>
                    <w:rPr>
                      <w:rFonts w:hint="eastAsia" w:cs="Times New Roman"/>
                      <w:color w:val="auto"/>
                      <w:szCs w:val="21"/>
                      <w:highlight w:val="none"/>
                      <w:lang w:val="en-US" w:eastAsia="zh-CN"/>
                    </w:rPr>
                    <w:t>10</w:t>
                  </w:r>
                </w:p>
              </w:tc>
              <w:tc>
                <w:tcPr>
                  <w:tcW w:w="536" w:type="pct"/>
                  <w:tcBorders>
                    <w:tl2br w:val="nil"/>
                    <w:tr2bl w:val="nil"/>
                  </w:tcBorders>
                  <w:shd w:val="clear" w:color="auto" w:fill="auto"/>
                  <w:vAlign w:val="top"/>
                </w:tcPr>
                <w:p w14:paraId="548A123D">
                  <w:pPr>
                    <w:spacing w:line="230" w:lineRule="exact"/>
                    <w:jc w:val="center"/>
                    <w:rPr>
                      <w:rFonts w:ascii="Times New Roman" w:hAnsi="Times New Roman" w:eastAsia="宋体" w:cs="Times New Roman"/>
                      <w:color w:val="auto"/>
                      <w:kern w:val="2"/>
                      <w:sz w:val="21"/>
                      <w:szCs w:val="21"/>
                      <w:highlight w:val="none"/>
                      <w:lang w:val="en-US" w:eastAsia="zh-CN" w:bidi="ar-SA"/>
                    </w:rPr>
                  </w:pPr>
                  <w:r>
                    <w:rPr>
                      <w:rFonts w:cs="Times New Roman"/>
                      <w:color w:val="auto"/>
                      <w:szCs w:val="21"/>
                      <w:highlight w:val="none"/>
                    </w:rPr>
                    <w:t>/</w:t>
                  </w:r>
                </w:p>
              </w:tc>
              <w:tc>
                <w:tcPr>
                  <w:tcW w:w="354" w:type="pct"/>
                  <w:tcBorders>
                    <w:tl2br w:val="nil"/>
                    <w:tr2bl w:val="nil"/>
                  </w:tcBorders>
                  <w:shd w:val="clear" w:color="auto" w:fill="auto"/>
                  <w:vAlign w:val="center"/>
                </w:tcPr>
                <w:p w14:paraId="19292134">
                  <w:pPr>
                    <w:spacing w:line="230" w:lineRule="exact"/>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70</w:t>
                  </w:r>
                </w:p>
              </w:tc>
              <w:tc>
                <w:tcPr>
                  <w:tcW w:w="314" w:type="pct"/>
                  <w:vMerge w:val="continue"/>
                  <w:tcBorders>
                    <w:tl2br w:val="nil"/>
                    <w:tr2bl w:val="nil"/>
                  </w:tcBorders>
                  <w:vAlign w:val="center"/>
                </w:tcPr>
                <w:p w14:paraId="30B595CF">
                  <w:pPr>
                    <w:spacing w:line="230" w:lineRule="exact"/>
                    <w:jc w:val="center"/>
                    <w:rPr>
                      <w:rFonts w:cs="Times New Roman"/>
                      <w:color w:val="auto"/>
                      <w:szCs w:val="21"/>
                      <w:highlight w:val="none"/>
                    </w:rPr>
                  </w:pPr>
                </w:p>
              </w:tc>
              <w:tc>
                <w:tcPr>
                  <w:tcW w:w="361" w:type="pct"/>
                  <w:tcBorders>
                    <w:tl2br w:val="nil"/>
                    <w:tr2bl w:val="nil"/>
                  </w:tcBorders>
                  <w:vAlign w:val="center"/>
                </w:tcPr>
                <w:p w14:paraId="5119EB80">
                  <w:pPr>
                    <w:spacing w:line="230" w:lineRule="exact"/>
                    <w:jc w:val="center"/>
                    <w:rPr>
                      <w:rFonts w:cs="Times New Roman"/>
                      <w:color w:val="auto"/>
                      <w:szCs w:val="21"/>
                      <w:highlight w:val="none"/>
                    </w:rPr>
                  </w:pPr>
                  <w:r>
                    <w:rPr>
                      <w:rFonts w:hint="eastAsia"/>
                    </w:rPr>
                    <w:t>97.93</w:t>
                  </w:r>
                </w:p>
              </w:tc>
              <w:tc>
                <w:tcPr>
                  <w:tcW w:w="361" w:type="pct"/>
                  <w:tcBorders>
                    <w:tl2br w:val="nil"/>
                    <w:tr2bl w:val="nil"/>
                  </w:tcBorders>
                  <w:vAlign w:val="center"/>
                </w:tcPr>
                <w:p w14:paraId="0C6AE49C">
                  <w:pPr>
                    <w:spacing w:line="230" w:lineRule="exact"/>
                    <w:jc w:val="center"/>
                    <w:rPr>
                      <w:rFonts w:cs="Times New Roman"/>
                      <w:color w:val="auto"/>
                      <w:szCs w:val="21"/>
                      <w:highlight w:val="none"/>
                    </w:rPr>
                  </w:pPr>
                  <w:r>
                    <w:rPr>
                      <w:rFonts w:hint="eastAsia"/>
                    </w:rPr>
                    <w:t>22.48</w:t>
                  </w:r>
                </w:p>
              </w:tc>
              <w:tc>
                <w:tcPr>
                  <w:tcW w:w="383" w:type="pct"/>
                  <w:tcBorders>
                    <w:tl2br w:val="nil"/>
                    <w:tr2bl w:val="nil"/>
                  </w:tcBorders>
                  <w:shd w:val="clear" w:color="auto" w:fill="auto"/>
                  <w:vAlign w:val="top"/>
                </w:tcPr>
                <w:p w14:paraId="4A1D095E">
                  <w:pPr>
                    <w:spacing w:line="230" w:lineRule="exact"/>
                    <w:jc w:val="center"/>
                    <w:rPr>
                      <w:rFonts w:ascii="Times New Roman" w:hAnsi="Times New Roman" w:eastAsia="宋体" w:cs="Times New Roman"/>
                      <w:color w:val="auto"/>
                      <w:kern w:val="2"/>
                      <w:sz w:val="21"/>
                      <w:szCs w:val="21"/>
                      <w:highlight w:val="none"/>
                      <w:lang w:val="en-US" w:eastAsia="zh-CN" w:bidi="ar-SA"/>
                    </w:rPr>
                  </w:pPr>
                  <w:r>
                    <w:rPr>
                      <w:rFonts w:hint="eastAsia"/>
                    </w:rPr>
                    <w:t>1</w:t>
                  </w:r>
                </w:p>
              </w:tc>
              <w:tc>
                <w:tcPr>
                  <w:tcW w:w="298" w:type="pct"/>
                  <w:tcBorders>
                    <w:tl2br w:val="nil"/>
                    <w:tr2bl w:val="nil"/>
                  </w:tcBorders>
                  <w:vAlign w:val="center"/>
                </w:tcPr>
                <w:p w14:paraId="30E8BAF0">
                  <w:pPr>
                    <w:spacing w:line="230" w:lineRule="exact"/>
                    <w:jc w:val="center"/>
                    <w:rPr>
                      <w:rFonts w:cs="Times New Roman"/>
                      <w:color w:val="auto"/>
                      <w:szCs w:val="21"/>
                      <w:highlight w:val="none"/>
                    </w:rPr>
                  </w:pPr>
                  <w:r>
                    <w:rPr>
                      <w:rFonts w:hint="eastAsia"/>
                    </w:rPr>
                    <w:t>18.</w:t>
                  </w:r>
                  <w:r>
                    <w:rPr>
                      <w:rFonts w:hint="eastAsia"/>
                      <w:lang w:val="en-US" w:eastAsia="zh-CN"/>
                    </w:rPr>
                    <w:t>1</w:t>
                  </w:r>
                </w:p>
              </w:tc>
              <w:tc>
                <w:tcPr>
                  <w:tcW w:w="286" w:type="pct"/>
                  <w:tcBorders>
                    <w:tl2br w:val="nil"/>
                    <w:tr2bl w:val="nil"/>
                  </w:tcBorders>
                  <w:vAlign w:val="center"/>
                </w:tcPr>
                <w:p w14:paraId="710542FA">
                  <w:pPr>
                    <w:spacing w:line="230" w:lineRule="exact"/>
                    <w:jc w:val="center"/>
                    <w:rPr>
                      <w:rFonts w:cs="Times New Roman"/>
                      <w:color w:val="auto"/>
                      <w:szCs w:val="21"/>
                      <w:highlight w:val="none"/>
                    </w:rPr>
                  </w:pPr>
                  <w:r>
                    <w:rPr>
                      <w:rFonts w:hint="eastAsia"/>
                    </w:rPr>
                    <w:t>54.87</w:t>
                  </w:r>
                </w:p>
              </w:tc>
              <w:tc>
                <w:tcPr>
                  <w:tcW w:w="246" w:type="pct"/>
                  <w:vMerge w:val="continue"/>
                  <w:tcBorders>
                    <w:tl2br w:val="nil"/>
                    <w:tr2bl w:val="nil"/>
                  </w:tcBorders>
                  <w:vAlign w:val="center"/>
                </w:tcPr>
                <w:p w14:paraId="3837FF10">
                  <w:pPr>
                    <w:spacing w:line="230" w:lineRule="exact"/>
                    <w:jc w:val="center"/>
                    <w:rPr>
                      <w:rFonts w:cs="Times New Roman"/>
                      <w:color w:val="auto"/>
                      <w:szCs w:val="21"/>
                      <w:highlight w:val="none"/>
                    </w:rPr>
                  </w:pPr>
                </w:p>
              </w:tc>
              <w:tc>
                <w:tcPr>
                  <w:tcW w:w="417" w:type="pct"/>
                  <w:tcBorders>
                    <w:tl2br w:val="nil"/>
                    <w:tr2bl w:val="nil"/>
                  </w:tcBorders>
                  <w:vAlign w:val="center"/>
                </w:tcPr>
                <w:p w14:paraId="1F91587C">
                  <w:pPr>
                    <w:spacing w:line="230" w:lineRule="exact"/>
                    <w:jc w:val="center"/>
                    <w:rPr>
                      <w:rFonts w:hint="default" w:eastAsia="宋体" w:cs="Times New Roman"/>
                      <w:color w:val="auto"/>
                      <w:szCs w:val="21"/>
                      <w:highlight w:val="none"/>
                      <w:lang w:val="en-US" w:eastAsia="zh-CN"/>
                    </w:rPr>
                  </w:pPr>
                  <w:r>
                    <w:rPr>
                      <w:rFonts w:hint="eastAsia" w:cs="Times New Roman"/>
                      <w:color w:val="auto"/>
                      <w:szCs w:val="21"/>
                      <w:highlight w:val="none"/>
                      <w:lang w:val="en-US" w:eastAsia="zh-CN"/>
                    </w:rPr>
                    <w:t>20</w:t>
                  </w:r>
                </w:p>
              </w:tc>
              <w:tc>
                <w:tcPr>
                  <w:tcW w:w="315" w:type="pct"/>
                  <w:tcBorders>
                    <w:tl2br w:val="nil"/>
                    <w:tr2bl w:val="nil"/>
                  </w:tcBorders>
                  <w:vAlign w:val="center"/>
                </w:tcPr>
                <w:p w14:paraId="6F0CF2E6">
                  <w:pPr>
                    <w:spacing w:line="230" w:lineRule="exact"/>
                    <w:jc w:val="center"/>
                    <w:rPr>
                      <w:rFonts w:cs="Times New Roman"/>
                      <w:color w:val="auto"/>
                      <w:sz w:val="22"/>
                      <w:highlight w:val="none"/>
                    </w:rPr>
                  </w:pPr>
                  <w:r>
                    <w:rPr>
                      <w:rFonts w:hint="eastAsia"/>
                    </w:rPr>
                    <w:t>3</w:t>
                  </w:r>
                  <w:r>
                    <w:rPr>
                      <w:rFonts w:hint="eastAsia"/>
                      <w:lang w:val="en-US" w:eastAsia="zh-CN"/>
                    </w:rPr>
                    <w:t>4</w:t>
                  </w:r>
                  <w:r>
                    <w:rPr>
                      <w:rFonts w:hint="eastAsia"/>
                    </w:rPr>
                    <w:t>.87</w:t>
                  </w:r>
                </w:p>
              </w:tc>
              <w:tc>
                <w:tcPr>
                  <w:tcW w:w="355" w:type="pct"/>
                  <w:tcBorders>
                    <w:tl2br w:val="nil"/>
                    <w:tr2bl w:val="nil"/>
                  </w:tcBorders>
                </w:tcPr>
                <w:p w14:paraId="44E0C9D5">
                  <w:pPr>
                    <w:spacing w:line="230" w:lineRule="exact"/>
                    <w:jc w:val="center"/>
                    <w:rPr>
                      <w:rFonts w:hint="eastAsia" w:eastAsia="宋体" w:cs="Times New Roman"/>
                      <w:color w:val="auto"/>
                      <w:szCs w:val="21"/>
                      <w:highlight w:val="none"/>
                      <w:lang w:val="en-US" w:eastAsia="zh-CN"/>
                    </w:rPr>
                  </w:pPr>
                  <w:r>
                    <w:rPr>
                      <w:rFonts w:hint="eastAsia" w:cs="Times New Roman"/>
                      <w:color w:val="auto"/>
                      <w:szCs w:val="21"/>
                      <w:highlight w:val="none"/>
                      <w:lang w:val="en-US" w:eastAsia="zh-CN"/>
                    </w:rPr>
                    <w:t>1</w:t>
                  </w:r>
                </w:p>
              </w:tc>
            </w:tr>
            <w:tr w14:paraId="29A0606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02" w:hRule="atLeast"/>
                <w:jc w:val="center"/>
              </w:trPr>
              <w:tc>
                <w:tcPr>
                  <w:tcW w:w="0" w:type="auto"/>
                </w:tcPr>
                <w:p w14:paraId="50963866">
                  <w:pPr>
                    <w:spacing w:line="230" w:lineRule="exact"/>
                    <w:jc w:val="center"/>
                    <w:rPr>
                      <w:rFonts w:cs="Times New Roman"/>
                      <w:color w:val="auto"/>
                      <w:szCs w:val="21"/>
                      <w:highlight w:val="none"/>
                    </w:rPr>
                  </w:pPr>
                  <w:r>
                    <w:rPr>
                      <w:rFonts w:cs="Times New Roman"/>
                      <w:color w:val="auto"/>
                      <w:szCs w:val="21"/>
                      <w:highlight w:val="none"/>
                    </w:rPr>
                    <w:t>20</w:t>
                  </w:r>
                </w:p>
              </w:tc>
              <w:tc>
                <w:tcPr>
                  <w:tcW w:w="0" w:type="auto"/>
                  <w:shd w:val="clear" w:color="auto" w:fill="auto"/>
                  <w:vAlign w:val="center"/>
                </w:tcPr>
                <w:p w14:paraId="3C7E12E0">
                  <w:pPr>
                    <w:snapToGrid w:val="0"/>
                    <w:spacing w:line="230" w:lineRule="exact"/>
                    <w:jc w:val="center"/>
                    <w:rPr>
                      <w:rFonts w:ascii="Times New Roman" w:hAnsi="Times New Roman" w:eastAsia="宋体" w:cs="Times New Roman"/>
                      <w:color w:val="auto"/>
                      <w:kern w:val="2"/>
                      <w:sz w:val="21"/>
                      <w:szCs w:val="21"/>
                      <w:highlight w:val="none"/>
                      <w:lang w:val="en-US" w:eastAsia="zh-CN" w:bidi="ar-SA"/>
                    </w:rPr>
                  </w:pPr>
                  <w:r>
                    <w:rPr>
                      <w:rFonts w:cs="Times New Roman"/>
                      <w:color w:val="auto"/>
                      <w:szCs w:val="21"/>
                      <w:highlight w:val="none"/>
                    </w:rPr>
                    <w:t>喷砂机</w:t>
                  </w:r>
                </w:p>
              </w:tc>
              <w:tc>
                <w:tcPr>
                  <w:tcW w:w="536" w:type="pct"/>
                </w:tcPr>
                <w:p w14:paraId="7B96F2AD">
                  <w:pPr>
                    <w:spacing w:line="230" w:lineRule="exact"/>
                    <w:jc w:val="center"/>
                    <w:rPr>
                      <w:rFonts w:cs="Times New Roman"/>
                      <w:color w:val="auto"/>
                      <w:szCs w:val="21"/>
                      <w:highlight w:val="none"/>
                    </w:rPr>
                  </w:pPr>
                  <w:r>
                    <w:rPr>
                      <w:rFonts w:cs="Times New Roman"/>
                      <w:color w:val="auto"/>
                      <w:szCs w:val="21"/>
                      <w:highlight w:val="none"/>
                    </w:rPr>
                    <w:t>/</w:t>
                  </w:r>
                </w:p>
              </w:tc>
              <w:tc>
                <w:tcPr>
                  <w:tcW w:w="354" w:type="pct"/>
                </w:tcPr>
                <w:p w14:paraId="67E3FB1D">
                  <w:pPr>
                    <w:spacing w:line="230" w:lineRule="exact"/>
                    <w:jc w:val="center"/>
                    <w:rPr>
                      <w:rFonts w:hint="eastAsia" w:eastAsia="宋体" w:cs="Times New Roman"/>
                      <w:color w:val="auto"/>
                      <w:szCs w:val="21"/>
                      <w:highlight w:val="none"/>
                      <w:lang w:eastAsia="zh-CN"/>
                    </w:rPr>
                  </w:pPr>
                  <w:r>
                    <w:rPr>
                      <w:rFonts w:cs="Times New Roman"/>
                      <w:color w:val="auto"/>
                      <w:szCs w:val="21"/>
                      <w:highlight w:val="none"/>
                    </w:rPr>
                    <w:t>8</w:t>
                  </w:r>
                  <w:r>
                    <w:rPr>
                      <w:rFonts w:hint="eastAsia" w:cs="Times New Roman"/>
                      <w:color w:val="auto"/>
                      <w:szCs w:val="21"/>
                      <w:highlight w:val="none"/>
                      <w:lang w:val="en-US" w:eastAsia="zh-CN"/>
                    </w:rPr>
                    <w:t>5</w:t>
                  </w:r>
                </w:p>
              </w:tc>
              <w:tc>
                <w:tcPr>
                  <w:tcW w:w="314" w:type="pct"/>
                  <w:vMerge w:val="continue"/>
                </w:tcPr>
                <w:p w14:paraId="238B441D">
                  <w:pPr>
                    <w:spacing w:line="230" w:lineRule="exact"/>
                    <w:jc w:val="center"/>
                    <w:rPr>
                      <w:rFonts w:cs="Times New Roman"/>
                      <w:color w:val="auto"/>
                      <w:szCs w:val="21"/>
                      <w:highlight w:val="none"/>
                    </w:rPr>
                  </w:pPr>
                </w:p>
              </w:tc>
              <w:tc>
                <w:tcPr>
                  <w:tcW w:w="361" w:type="pct"/>
                  <w:vAlign w:val="top"/>
                </w:tcPr>
                <w:p w14:paraId="39F56AE5">
                  <w:pPr>
                    <w:spacing w:line="230" w:lineRule="exact"/>
                    <w:jc w:val="center"/>
                    <w:rPr>
                      <w:rFonts w:cs="Times New Roman"/>
                      <w:color w:val="auto"/>
                      <w:szCs w:val="21"/>
                      <w:highlight w:val="none"/>
                    </w:rPr>
                  </w:pPr>
                  <w:r>
                    <w:rPr>
                      <w:rFonts w:hint="eastAsia"/>
                    </w:rPr>
                    <w:t>87.24</w:t>
                  </w:r>
                </w:p>
              </w:tc>
              <w:tc>
                <w:tcPr>
                  <w:tcW w:w="361" w:type="pct"/>
                  <w:vAlign w:val="top"/>
                </w:tcPr>
                <w:p w14:paraId="1AA5C3F0">
                  <w:pPr>
                    <w:spacing w:line="230" w:lineRule="exact"/>
                    <w:jc w:val="center"/>
                    <w:rPr>
                      <w:rFonts w:cs="Times New Roman"/>
                      <w:color w:val="auto"/>
                      <w:szCs w:val="21"/>
                      <w:highlight w:val="none"/>
                    </w:rPr>
                  </w:pPr>
                  <w:r>
                    <w:rPr>
                      <w:rFonts w:hint="eastAsia"/>
                    </w:rPr>
                    <w:t>7.25</w:t>
                  </w:r>
                </w:p>
              </w:tc>
              <w:tc>
                <w:tcPr>
                  <w:tcW w:w="383" w:type="pct"/>
                  <w:vAlign w:val="top"/>
                </w:tcPr>
                <w:p w14:paraId="49523AD8">
                  <w:pPr>
                    <w:spacing w:line="230" w:lineRule="exact"/>
                    <w:jc w:val="center"/>
                    <w:rPr>
                      <w:rFonts w:hint="eastAsia" w:eastAsia="宋体" w:cs="Times New Roman"/>
                      <w:color w:val="auto"/>
                      <w:szCs w:val="21"/>
                      <w:highlight w:val="none"/>
                      <w:lang w:eastAsia="zh-CN"/>
                    </w:rPr>
                  </w:pPr>
                  <w:r>
                    <w:rPr>
                      <w:rFonts w:hint="eastAsia"/>
                    </w:rPr>
                    <w:t>1.5</w:t>
                  </w:r>
                </w:p>
              </w:tc>
              <w:tc>
                <w:tcPr>
                  <w:tcW w:w="298" w:type="pct"/>
                  <w:vAlign w:val="top"/>
                </w:tcPr>
                <w:p w14:paraId="6179ED4B">
                  <w:pPr>
                    <w:spacing w:line="230" w:lineRule="exact"/>
                    <w:jc w:val="center"/>
                    <w:rPr>
                      <w:rFonts w:cs="Times New Roman"/>
                      <w:color w:val="auto"/>
                      <w:szCs w:val="21"/>
                      <w:highlight w:val="none"/>
                    </w:rPr>
                  </w:pPr>
                  <w:r>
                    <w:rPr>
                      <w:rFonts w:hint="eastAsia"/>
                    </w:rPr>
                    <w:t>2.8</w:t>
                  </w:r>
                </w:p>
              </w:tc>
              <w:tc>
                <w:tcPr>
                  <w:tcW w:w="286" w:type="pct"/>
                  <w:vAlign w:val="top"/>
                </w:tcPr>
                <w:p w14:paraId="0F275ADF">
                  <w:pPr>
                    <w:spacing w:line="230" w:lineRule="exact"/>
                    <w:jc w:val="center"/>
                    <w:rPr>
                      <w:rFonts w:cs="Times New Roman"/>
                      <w:color w:val="auto"/>
                      <w:szCs w:val="21"/>
                      <w:highlight w:val="none"/>
                    </w:rPr>
                  </w:pPr>
                  <w:r>
                    <w:rPr>
                      <w:rFonts w:hint="eastAsia"/>
                    </w:rPr>
                    <w:t>71.06</w:t>
                  </w:r>
                </w:p>
              </w:tc>
              <w:tc>
                <w:tcPr>
                  <w:tcW w:w="246" w:type="pct"/>
                  <w:vMerge w:val="continue"/>
                </w:tcPr>
                <w:p w14:paraId="5A1D8CB5">
                  <w:pPr>
                    <w:spacing w:line="230" w:lineRule="exact"/>
                    <w:jc w:val="center"/>
                    <w:rPr>
                      <w:rFonts w:cs="Times New Roman"/>
                      <w:color w:val="auto"/>
                      <w:szCs w:val="21"/>
                      <w:highlight w:val="none"/>
                    </w:rPr>
                  </w:pPr>
                </w:p>
              </w:tc>
              <w:tc>
                <w:tcPr>
                  <w:tcW w:w="417" w:type="pct"/>
                </w:tcPr>
                <w:p w14:paraId="1A215AD1">
                  <w:pPr>
                    <w:spacing w:line="230" w:lineRule="exact"/>
                    <w:jc w:val="center"/>
                    <w:rPr>
                      <w:rFonts w:cs="Times New Roman"/>
                      <w:color w:val="auto"/>
                      <w:szCs w:val="21"/>
                      <w:highlight w:val="none"/>
                    </w:rPr>
                  </w:pPr>
                  <w:r>
                    <w:rPr>
                      <w:rFonts w:cs="Times New Roman"/>
                      <w:color w:val="auto"/>
                      <w:szCs w:val="21"/>
                      <w:highlight w:val="none"/>
                    </w:rPr>
                    <w:t>20</w:t>
                  </w:r>
                </w:p>
              </w:tc>
              <w:tc>
                <w:tcPr>
                  <w:tcW w:w="315" w:type="pct"/>
                  <w:vAlign w:val="center"/>
                </w:tcPr>
                <w:p w14:paraId="44F2E289">
                  <w:pPr>
                    <w:spacing w:line="230" w:lineRule="exact"/>
                    <w:jc w:val="center"/>
                    <w:rPr>
                      <w:rFonts w:cs="Times New Roman"/>
                      <w:color w:val="auto"/>
                      <w:szCs w:val="21"/>
                      <w:highlight w:val="none"/>
                    </w:rPr>
                  </w:pPr>
                  <w:r>
                    <w:rPr>
                      <w:rFonts w:hint="eastAsia"/>
                    </w:rPr>
                    <w:t>5</w:t>
                  </w:r>
                  <w:r>
                    <w:rPr>
                      <w:rFonts w:hint="eastAsia"/>
                      <w:lang w:val="en-US" w:eastAsia="zh-CN"/>
                    </w:rPr>
                    <w:t>1</w:t>
                  </w:r>
                  <w:r>
                    <w:rPr>
                      <w:rFonts w:hint="eastAsia"/>
                    </w:rPr>
                    <w:t>.06</w:t>
                  </w:r>
                </w:p>
              </w:tc>
              <w:tc>
                <w:tcPr>
                  <w:tcW w:w="355" w:type="pct"/>
                </w:tcPr>
                <w:p w14:paraId="644CE74C">
                  <w:pPr>
                    <w:spacing w:line="230" w:lineRule="exact"/>
                    <w:jc w:val="center"/>
                    <w:rPr>
                      <w:rFonts w:cs="Times New Roman"/>
                      <w:color w:val="auto"/>
                      <w:szCs w:val="21"/>
                      <w:highlight w:val="none"/>
                    </w:rPr>
                  </w:pPr>
                  <w:r>
                    <w:rPr>
                      <w:rFonts w:cs="Times New Roman"/>
                      <w:color w:val="auto"/>
                      <w:szCs w:val="21"/>
                      <w:highlight w:val="none"/>
                    </w:rPr>
                    <w:t>1</w:t>
                  </w:r>
                </w:p>
              </w:tc>
            </w:tr>
            <w:tr w14:paraId="5DF75DF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02" w:hRule="atLeast"/>
                <w:jc w:val="center"/>
              </w:trPr>
              <w:tc>
                <w:tcPr>
                  <w:tcW w:w="0" w:type="auto"/>
                </w:tcPr>
                <w:p w14:paraId="40DEBF6B">
                  <w:pPr>
                    <w:spacing w:line="230" w:lineRule="exact"/>
                    <w:jc w:val="center"/>
                    <w:rPr>
                      <w:rFonts w:cs="Times New Roman"/>
                      <w:color w:val="auto"/>
                      <w:szCs w:val="21"/>
                      <w:highlight w:val="none"/>
                    </w:rPr>
                  </w:pPr>
                  <w:r>
                    <w:rPr>
                      <w:rFonts w:cs="Times New Roman"/>
                      <w:color w:val="auto"/>
                      <w:szCs w:val="21"/>
                      <w:highlight w:val="none"/>
                    </w:rPr>
                    <w:t>21</w:t>
                  </w:r>
                </w:p>
              </w:tc>
              <w:tc>
                <w:tcPr>
                  <w:tcW w:w="0" w:type="auto"/>
                  <w:shd w:val="clear" w:color="auto" w:fill="auto"/>
                  <w:vAlign w:val="center"/>
                </w:tcPr>
                <w:p w14:paraId="53535640">
                  <w:pPr>
                    <w:snapToGrid w:val="0"/>
                    <w:spacing w:line="230" w:lineRule="exact"/>
                    <w:jc w:val="center"/>
                    <w:rPr>
                      <w:rFonts w:ascii="Times New Roman" w:hAnsi="Times New Roman" w:eastAsia="宋体" w:cs="Times New Roman"/>
                      <w:color w:val="auto"/>
                      <w:kern w:val="2"/>
                      <w:sz w:val="21"/>
                      <w:szCs w:val="21"/>
                      <w:highlight w:val="none"/>
                      <w:lang w:val="en-US" w:eastAsia="zh-CN" w:bidi="ar-SA"/>
                    </w:rPr>
                  </w:pPr>
                  <w:r>
                    <w:rPr>
                      <w:rFonts w:cs="Times New Roman"/>
                      <w:color w:val="auto"/>
                      <w:szCs w:val="21"/>
                      <w:highlight w:val="none"/>
                    </w:rPr>
                    <w:t>火烧面机</w:t>
                  </w:r>
                </w:p>
              </w:tc>
              <w:tc>
                <w:tcPr>
                  <w:tcW w:w="536" w:type="pct"/>
                </w:tcPr>
                <w:p w14:paraId="389110A3">
                  <w:pPr>
                    <w:spacing w:line="230" w:lineRule="exact"/>
                    <w:jc w:val="center"/>
                    <w:rPr>
                      <w:rFonts w:cs="Times New Roman"/>
                      <w:color w:val="auto"/>
                      <w:szCs w:val="21"/>
                      <w:highlight w:val="none"/>
                    </w:rPr>
                  </w:pPr>
                  <w:r>
                    <w:rPr>
                      <w:rFonts w:cs="Times New Roman"/>
                      <w:color w:val="auto"/>
                      <w:szCs w:val="21"/>
                      <w:highlight w:val="none"/>
                    </w:rPr>
                    <w:t>/</w:t>
                  </w:r>
                </w:p>
              </w:tc>
              <w:tc>
                <w:tcPr>
                  <w:tcW w:w="354" w:type="pct"/>
                </w:tcPr>
                <w:p w14:paraId="0D0C3E2A">
                  <w:pPr>
                    <w:spacing w:line="230" w:lineRule="exact"/>
                    <w:jc w:val="center"/>
                    <w:rPr>
                      <w:rFonts w:hint="eastAsia" w:eastAsia="宋体" w:cs="Times New Roman"/>
                      <w:color w:val="auto"/>
                      <w:szCs w:val="21"/>
                      <w:highlight w:val="none"/>
                      <w:lang w:val="en-US" w:eastAsia="zh-CN"/>
                    </w:rPr>
                  </w:pPr>
                  <w:r>
                    <w:rPr>
                      <w:rFonts w:cs="Times New Roman"/>
                      <w:color w:val="auto"/>
                      <w:szCs w:val="21"/>
                      <w:highlight w:val="none"/>
                    </w:rPr>
                    <w:t>8</w:t>
                  </w:r>
                  <w:r>
                    <w:rPr>
                      <w:rFonts w:hint="eastAsia" w:cs="Times New Roman"/>
                      <w:color w:val="auto"/>
                      <w:szCs w:val="21"/>
                      <w:highlight w:val="none"/>
                      <w:lang w:val="en-US" w:eastAsia="zh-CN"/>
                    </w:rPr>
                    <w:t>5</w:t>
                  </w:r>
                </w:p>
              </w:tc>
              <w:tc>
                <w:tcPr>
                  <w:tcW w:w="314" w:type="pct"/>
                  <w:vMerge w:val="continue"/>
                </w:tcPr>
                <w:p w14:paraId="4926543C">
                  <w:pPr>
                    <w:spacing w:line="230" w:lineRule="exact"/>
                    <w:jc w:val="center"/>
                    <w:rPr>
                      <w:rFonts w:cs="Times New Roman"/>
                      <w:color w:val="auto"/>
                      <w:szCs w:val="21"/>
                      <w:highlight w:val="none"/>
                    </w:rPr>
                  </w:pPr>
                </w:p>
              </w:tc>
              <w:tc>
                <w:tcPr>
                  <w:tcW w:w="361" w:type="pct"/>
                  <w:vAlign w:val="top"/>
                </w:tcPr>
                <w:p w14:paraId="64970328">
                  <w:pPr>
                    <w:spacing w:line="230" w:lineRule="exact"/>
                    <w:jc w:val="center"/>
                    <w:rPr>
                      <w:rFonts w:cs="Times New Roman"/>
                      <w:color w:val="auto"/>
                      <w:szCs w:val="21"/>
                      <w:highlight w:val="none"/>
                    </w:rPr>
                  </w:pPr>
                  <w:r>
                    <w:rPr>
                      <w:rFonts w:hint="eastAsia"/>
                    </w:rPr>
                    <w:t>43.79</w:t>
                  </w:r>
                </w:p>
              </w:tc>
              <w:tc>
                <w:tcPr>
                  <w:tcW w:w="361" w:type="pct"/>
                  <w:vAlign w:val="top"/>
                </w:tcPr>
                <w:p w14:paraId="10D8F4DE">
                  <w:pPr>
                    <w:spacing w:line="230" w:lineRule="exact"/>
                    <w:jc w:val="center"/>
                    <w:rPr>
                      <w:rFonts w:cs="Times New Roman"/>
                      <w:color w:val="auto"/>
                      <w:szCs w:val="21"/>
                      <w:highlight w:val="none"/>
                    </w:rPr>
                  </w:pPr>
                  <w:r>
                    <w:rPr>
                      <w:rFonts w:hint="eastAsia"/>
                    </w:rPr>
                    <w:t>7.14</w:t>
                  </w:r>
                </w:p>
              </w:tc>
              <w:tc>
                <w:tcPr>
                  <w:tcW w:w="383" w:type="pct"/>
                  <w:vAlign w:val="top"/>
                </w:tcPr>
                <w:p w14:paraId="68AFD8F5">
                  <w:pPr>
                    <w:spacing w:line="230" w:lineRule="exact"/>
                    <w:jc w:val="center"/>
                    <w:rPr>
                      <w:rFonts w:cs="Times New Roman"/>
                      <w:color w:val="auto"/>
                      <w:szCs w:val="21"/>
                      <w:highlight w:val="none"/>
                    </w:rPr>
                  </w:pPr>
                  <w:r>
                    <w:rPr>
                      <w:rFonts w:hint="eastAsia"/>
                    </w:rPr>
                    <w:t>1.5</w:t>
                  </w:r>
                </w:p>
              </w:tc>
              <w:tc>
                <w:tcPr>
                  <w:tcW w:w="298" w:type="pct"/>
                  <w:vAlign w:val="top"/>
                </w:tcPr>
                <w:p w14:paraId="1A4DF8FE">
                  <w:pPr>
                    <w:spacing w:line="230" w:lineRule="exact"/>
                    <w:jc w:val="center"/>
                    <w:rPr>
                      <w:rFonts w:cs="Times New Roman"/>
                      <w:color w:val="auto"/>
                      <w:szCs w:val="21"/>
                      <w:highlight w:val="none"/>
                    </w:rPr>
                  </w:pPr>
                  <w:r>
                    <w:rPr>
                      <w:rFonts w:hint="eastAsia"/>
                    </w:rPr>
                    <w:t>2.</w:t>
                  </w:r>
                  <w:r>
                    <w:rPr>
                      <w:rFonts w:hint="eastAsia"/>
                      <w:lang w:val="en-US" w:eastAsia="zh-CN"/>
                    </w:rPr>
                    <w:t>9</w:t>
                  </w:r>
                </w:p>
              </w:tc>
              <w:tc>
                <w:tcPr>
                  <w:tcW w:w="286" w:type="pct"/>
                  <w:vAlign w:val="top"/>
                </w:tcPr>
                <w:p w14:paraId="0519E6A6">
                  <w:pPr>
                    <w:spacing w:line="230" w:lineRule="exact"/>
                    <w:jc w:val="center"/>
                    <w:rPr>
                      <w:rFonts w:cs="Times New Roman"/>
                      <w:color w:val="auto"/>
                      <w:szCs w:val="21"/>
                      <w:highlight w:val="none"/>
                    </w:rPr>
                  </w:pPr>
                  <w:r>
                    <w:rPr>
                      <w:rFonts w:hint="eastAsia"/>
                    </w:rPr>
                    <w:t>71.10</w:t>
                  </w:r>
                </w:p>
              </w:tc>
              <w:tc>
                <w:tcPr>
                  <w:tcW w:w="246" w:type="pct"/>
                  <w:vMerge w:val="continue"/>
                </w:tcPr>
                <w:p w14:paraId="69385E1B">
                  <w:pPr>
                    <w:spacing w:line="230" w:lineRule="exact"/>
                    <w:jc w:val="center"/>
                    <w:rPr>
                      <w:rFonts w:cs="Times New Roman"/>
                      <w:color w:val="auto"/>
                      <w:szCs w:val="21"/>
                      <w:highlight w:val="none"/>
                    </w:rPr>
                  </w:pPr>
                </w:p>
              </w:tc>
              <w:tc>
                <w:tcPr>
                  <w:tcW w:w="417" w:type="pct"/>
                </w:tcPr>
                <w:p w14:paraId="5AA4F5AE">
                  <w:pPr>
                    <w:spacing w:line="230" w:lineRule="exact"/>
                    <w:jc w:val="center"/>
                    <w:rPr>
                      <w:rFonts w:cs="Times New Roman"/>
                      <w:color w:val="auto"/>
                      <w:szCs w:val="21"/>
                      <w:highlight w:val="none"/>
                    </w:rPr>
                  </w:pPr>
                  <w:r>
                    <w:rPr>
                      <w:rFonts w:cs="Times New Roman"/>
                      <w:color w:val="auto"/>
                      <w:szCs w:val="21"/>
                      <w:highlight w:val="none"/>
                    </w:rPr>
                    <w:t>20</w:t>
                  </w:r>
                </w:p>
              </w:tc>
              <w:tc>
                <w:tcPr>
                  <w:tcW w:w="315" w:type="pct"/>
                  <w:vAlign w:val="center"/>
                </w:tcPr>
                <w:p w14:paraId="0BA9577B">
                  <w:pPr>
                    <w:spacing w:line="230" w:lineRule="exact"/>
                    <w:jc w:val="center"/>
                    <w:rPr>
                      <w:rFonts w:cs="Times New Roman"/>
                      <w:color w:val="auto"/>
                      <w:szCs w:val="21"/>
                      <w:highlight w:val="none"/>
                    </w:rPr>
                  </w:pPr>
                  <w:r>
                    <w:rPr>
                      <w:rFonts w:hint="eastAsia"/>
                    </w:rPr>
                    <w:t>5</w:t>
                  </w:r>
                  <w:r>
                    <w:rPr>
                      <w:rFonts w:hint="eastAsia"/>
                      <w:lang w:val="en-US" w:eastAsia="zh-CN"/>
                    </w:rPr>
                    <w:t>1</w:t>
                  </w:r>
                  <w:r>
                    <w:rPr>
                      <w:rFonts w:hint="eastAsia"/>
                    </w:rPr>
                    <w:t>.10</w:t>
                  </w:r>
                </w:p>
              </w:tc>
              <w:tc>
                <w:tcPr>
                  <w:tcW w:w="355" w:type="pct"/>
                </w:tcPr>
                <w:p w14:paraId="2434497A">
                  <w:pPr>
                    <w:spacing w:line="230" w:lineRule="exact"/>
                    <w:jc w:val="center"/>
                    <w:rPr>
                      <w:rFonts w:cs="Times New Roman"/>
                      <w:color w:val="auto"/>
                      <w:szCs w:val="21"/>
                      <w:highlight w:val="none"/>
                    </w:rPr>
                  </w:pPr>
                  <w:r>
                    <w:rPr>
                      <w:rFonts w:cs="Times New Roman"/>
                      <w:color w:val="auto"/>
                      <w:szCs w:val="21"/>
                      <w:highlight w:val="none"/>
                    </w:rPr>
                    <w:t>1</w:t>
                  </w:r>
                </w:p>
              </w:tc>
            </w:tr>
            <w:tr w14:paraId="7642027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02" w:hRule="atLeast"/>
                <w:jc w:val="center"/>
              </w:trPr>
              <w:tc>
                <w:tcPr>
                  <w:tcW w:w="0" w:type="auto"/>
                </w:tcPr>
                <w:p w14:paraId="4A59F2EF">
                  <w:pPr>
                    <w:spacing w:line="230" w:lineRule="exact"/>
                    <w:jc w:val="center"/>
                    <w:rPr>
                      <w:rFonts w:cs="Times New Roman"/>
                      <w:color w:val="auto"/>
                      <w:szCs w:val="21"/>
                      <w:highlight w:val="none"/>
                    </w:rPr>
                  </w:pPr>
                  <w:r>
                    <w:rPr>
                      <w:rFonts w:cs="Times New Roman"/>
                      <w:color w:val="auto"/>
                      <w:szCs w:val="21"/>
                      <w:highlight w:val="none"/>
                    </w:rPr>
                    <w:t>22</w:t>
                  </w:r>
                </w:p>
              </w:tc>
              <w:tc>
                <w:tcPr>
                  <w:tcW w:w="0" w:type="auto"/>
                  <w:shd w:val="clear" w:color="auto" w:fill="auto"/>
                  <w:vAlign w:val="center"/>
                </w:tcPr>
                <w:p w14:paraId="3F5F5428">
                  <w:pPr>
                    <w:snapToGrid w:val="0"/>
                    <w:spacing w:line="230" w:lineRule="exact"/>
                    <w:jc w:val="center"/>
                    <w:rPr>
                      <w:rFonts w:ascii="Times New Roman" w:hAnsi="Times New Roman" w:eastAsia="宋体" w:cs="Times New Roman"/>
                      <w:color w:val="auto"/>
                      <w:kern w:val="2"/>
                      <w:sz w:val="21"/>
                      <w:szCs w:val="21"/>
                      <w:highlight w:val="none"/>
                      <w:lang w:val="en-US" w:eastAsia="zh-CN" w:bidi="ar-SA"/>
                    </w:rPr>
                  </w:pPr>
                  <w:r>
                    <w:rPr>
                      <w:rFonts w:cs="Times New Roman"/>
                      <w:color w:val="auto"/>
                      <w:szCs w:val="21"/>
                      <w:highlight w:val="none"/>
                    </w:rPr>
                    <w:t>抛光机</w:t>
                  </w:r>
                </w:p>
              </w:tc>
              <w:tc>
                <w:tcPr>
                  <w:tcW w:w="536" w:type="pct"/>
                </w:tcPr>
                <w:p w14:paraId="2B980FC0">
                  <w:pPr>
                    <w:spacing w:line="230" w:lineRule="exact"/>
                    <w:jc w:val="center"/>
                    <w:rPr>
                      <w:rFonts w:cs="Times New Roman"/>
                      <w:color w:val="auto"/>
                      <w:szCs w:val="21"/>
                      <w:highlight w:val="none"/>
                    </w:rPr>
                  </w:pPr>
                  <w:r>
                    <w:rPr>
                      <w:rFonts w:cs="Times New Roman"/>
                      <w:color w:val="auto"/>
                      <w:szCs w:val="21"/>
                      <w:highlight w:val="none"/>
                    </w:rPr>
                    <w:t>/</w:t>
                  </w:r>
                </w:p>
              </w:tc>
              <w:tc>
                <w:tcPr>
                  <w:tcW w:w="354" w:type="pct"/>
                </w:tcPr>
                <w:p w14:paraId="7D738ACB">
                  <w:pPr>
                    <w:spacing w:line="230" w:lineRule="exact"/>
                    <w:jc w:val="center"/>
                    <w:rPr>
                      <w:rFonts w:hint="eastAsia" w:eastAsia="宋体" w:cs="Times New Roman"/>
                      <w:color w:val="auto"/>
                      <w:szCs w:val="21"/>
                      <w:highlight w:val="none"/>
                      <w:lang w:val="en-US" w:eastAsia="zh-CN"/>
                    </w:rPr>
                  </w:pPr>
                  <w:r>
                    <w:rPr>
                      <w:rFonts w:cs="Times New Roman"/>
                      <w:color w:val="auto"/>
                      <w:szCs w:val="21"/>
                      <w:highlight w:val="none"/>
                    </w:rPr>
                    <w:t>8</w:t>
                  </w:r>
                  <w:r>
                    <w:rPr>
                      <w:rFonts w:hint="eastAsia" w:cs="Times New Roman"/>
                      <w:color w:val="auto"/>
                      <w:szCs w:val="21"/>
                      <w:highlight w:val="none"/>
                      <w:lang w:val="en-US" w:eastAsia="zh-CN"/>
                    </w:rPr>
                    <w:t>5</w:t>
                  </w:r>
                </w:p>
              </w:tc>
              <w:tc>
                <w:tcPr>
                  <w:tcW w:w="314" w:type="pct"/>
                  <w:vMerge w:val="continue"/>
                </w:tcPr>
                <w:p w14:paraId="744CC0B4">
                  <w:pPr>
                    <w:spacing w:line="230" w:lineRule="exact"/>
                    <w:jc w:val="center"/>
                    <w:rPr>
                      <w:rFonts w:cs="Times New Roman"/>
                      <w:color w:val="auto"/>
                      <w:szCs w:val="21"/>
                      <w:highlight w:val="none"/>
                    </w:rPr>
                  </w:pPr>
                </w:p>
              </w:tc>
              <w:tc>
                <w:tcPr>
                  <w:tcW w:w="361" w:type="pct"/>
                  <w:vAlign w:val="top"/>
                </w:tcPr>
                <w:p w14:paraId="669381AA">
                  <w:pPr>
                    <w:spacing w:line="230" w:lineRule="exact"/>
                    <w:jc w:val="center"/>
                    <w:rPr>
                      <w:rFonts w:cs="Times New Roman"/>
                      <w:color w:val="auto"/>
                      <w:szCs w:val="21"/>
                      <w:highlight w:val="none"/>
                    </w:rPr>
                  </w:pPr>
                  <w:r>
                    <w:rPr>
                      <w:rFonts w:hint="eastAsia"/>
                    </w:rPr>
                    <w:t>65.1</w:t>
                  </w:r>
                </w:p>
              </w:tc>
              <w:tc>
                <w:tcPr>
                  <w:tcW w:w="361" w:type="pct"/>
                  <w:vAlign w:val="top"/>
                </w:tcPr>
                <w:p w14:paraId="5348EDAD">
                  <w:pPr>
                    <w:spacing w:line="230" w:lineRule="exact"/>
                    <w:jc w:val="center"/>
                    <w:rPr>
                      <w:rFonts w:cs="Times New Roman"/>
                      <w:color w:val="auto"/>
                      <w:szCs w:val="21"/>
                      <w:highlight w:val="none"/>
                    </w:rPr>
                  </w:pPr>
                  <w:r>
                    <w:rPr>
                      <w:rFonts w:hint="eastAsia"/>
                    </w:rPr>
                    <w:t>7.41</w:t>
                  </w:r>
                </w:p>
              </w:tc>
              <w:tc>
                <w:tcPr>
                  <w:tcW w:w="383" w:type="pct"/>
                  <w:vAlign w:val="top"/>
                </w:tcPr>
                <w:p w14:paraId="7831C5B3">
                  <w:pPr>
                    <w:spacing w:line="230" w:lineRule="exact"/>
                    <w:jc w:val="center"/>
                    <w:rPr>
                      <w:rFonts w:cs="Times New Roman"/>
                      <w:color w:val="auto"/>
                      <w:szCs w:val="21"/>
                      <w:highlight w:val="none"/>
                    </w:rPr>
                  </w:pPr>
                  <w:r>
                    <w:rPr>
                      <w:rFonts w:hint="eastAsia"/>
                    </w:rPr>
                    <w:t>1.5</w:t>
                  </w:r>
                </w:p>
              </w:tc>
              <w:tc>
                <w:tcPr>
                  <w:tcW w:w="298" w:type="pct"/>
                  <w:vAlign w:val="top"/>
                </w:tcPr>
                <w:p w14:paraId="3CEBEB0D">
                  <w:pPr>
                    <w:spacing w:line="230" w:lineRule="exact"/>
                    <w:jc w:val="center"/>
                    <w:rPr>
                      <w:rFonts w:cs="Times New Roman"/>
                      <w:color w:val="auto"/>
                      <w:szCs w:val="21"/>
                      <w:highlight w:val="none"/>
                    </w:rPr>
                  </w:pPr>
                  <w:r>
                    <w:rPr>
                      <w:rFonts w:hint="eastAsia"/>
                    </w:rPr>
                    <w:t>3.0</w:t>
                  </w:r>
                </w:p>
              </w:tc>
              <w:tc>
                <w:tcPr>
                  <w:tcW w:w="286" w:type="pct"/>
                  <w:vAlign w:val="top"/>
                </w:tcPr>
                <w:p w14:paraId="1562E9CA">
                  <w:pPr>
                    <w:spacing w:line="230" w:lineRule="exact"/>
                    <w:jc w:val="center"/>
                    <w:rPr>
                      <w:rFonts w:cs="Times New Roman"/>
                      <w:color w:val="auto"/>
                      <w:szCs w:val="21"/>
                      <w:highlight w:val="none"/>
                    </w:rPr>
                  </w:pPr>
                  <w:r>
                    <w:rPr>
                      <w:rFonts w:hint="eastAsia"/>
                    </w:rPr>
                    <w:t>70.93</w:t>
                  </w:r>
                </w:p>
              </w:tc>
              <w:tc>
                <w:tcPr>
                  <w:tcW w:w="246" w:type="pct"/>
                  <w:vMerge w:val="continue"/>
                </w:tcPr>
                <w:p w14:paraId="69D02F98">
                  <w:pPr>
                    <w:spacing w:line="230" w:lineRule="exact"/>
                    <w:jc w:val="center"/>
                    <w:rPr>
                      <w:rFonts w:cs="Times New Roman"/>
                      <w:color w:val="auto"/>
                      <w:szCs w:val="21"/>
                      <w:highlight w:val="none"/>
                    </w:rPr>
                  </w:pPr>
                </w:p>
              </w:tc>
              <w:tc>
                <w:tcPr>
                  <w:tcW w:w="417" w:type="pct"/>
                </w:tcPr>
                <w:p w14:paraId="4E26D224">
                  <w:pPr>
                    <w:spacing w:line="230" w:lineRule="exact"/>
                    <w:jc w:val="center"/>
                    <w:rPr>
                      <w:rFonts w:cs="Times New Roman"/>
                      <w:color w:val="auto"/>
                      <w:szCs w:val="21"/>
                      <w:highlight w:val="none"/>
                    </w:rPr>
                  </w:pPr>
                  <w:r>
                    <w:rPr>
                      <w:rFonts w:cs="Times New Roman"/>
                      <w:color w:val="auto"/>
                      <w:szCs w:val="21"/>
                      <w:highlight w:val="none"/>
                    </w:rPr>
                    <w:t>20</w:t>
                  </w:r>
                </w:p>
              </w:tc>
              <w:tc>
                <w:tcPr>
                  <w:tcW w:w="315" w:type="pct"/>
                  <w:vAlign w:val="center"/>
                </w:tcPr>
                <w:p w14:paraId="7F6C3EEA">
                  <w:pPr>
                    <w:spacing w:line="230" w:lineRule="exact"/>
                    <w:jc w:val="center"/>
                    <w:rPr>
                      <w:rFonts w:cs="Times New Roman"/>
                      <w:color w:val="auto"/>
                      <w:szCs w:val="21"/>
                      <w:highlight w:val="none"/>
                    </w:rPr>
                  </w:pPr>
                  <w:r>
                    <w:rPr>
                      <w:rFonts w:hint="eastAsia"/>
                      <w:lang w:val="en-US" w:eastAsia="zh-CN"/>
                    </w:rPr>
                    <w:t>50</w:t>
                  </w:r>
                  <w:r>
                    <w:rPr>
                      <w:rFonts w:hint="eastAsia"/>
                    </w:rPr>
                    <w:t>.93</w:t>
                  </w:r>
                </w:p>
              </w:tc>
              <w:tc>
                <w:tcPr>
                  <w:tcW w:w="355" w:type="pct"/>
                </w:tcPr>
                <w:p w14:paraId="0F2568D4">
                  <w:pPr>
                    <w:spacing w:line="230" w:lineRule="exact"/>
                    <w:jc w:val="center"/>
                    <w:rPr>
                      <w:rFonts w:cs="Times New Roman"/>
                      <w:color w:val="auto"/>
                      <w:szCs w:val="21"/>
                      <w:highlight w:val="none"/>
                    </w:rPr>
                  </w:pPr>
                  <w:r>
                    <w:rPr>
                      <w:rFonts w:cs="Times New Roman"/>
                      <w:color w:val="auto"/>
                      <w:szCs w:val="21"/>
                      <w:highlight w:val="none"/>
                    </w:rPr>
                    <w:t>1</w:t>
                  </w:r>
                </w:p>
              </w:tc>
            </w:tr>
            <w:tr w14:paraId="4FACC31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27" w:hRule="atLeast"/>
                <w:jc w:val="center"/>
              </w:trPr>
              <w:tc>
                <w:tcPr>
                  <w:tcW w:w="0" w:type="auto"/>
                </w:tcPr>
                <w:p w14:paraId="57D3B2D9">
                  <w:pPr>
                    <w:spacing w:line="230" w:lineRule="exact"/>
                    <w:jc w:val="center"/>
                    <w:rPr>
                      <w:rFonts w:cs="Times New Roman"/>
                      <w:color w:val="auto"/>
                      <w:szCs w:val="21"/>
                      <w:highlight w:val="none"/>
                    </w:rPr>
                  </w:pPr>
                  <w:r>
                    <w:rPr>
                      <w:rFonts w:cs="Times New Roman"/>
                      <w:color w:val="auto"/>
                      <w:szCs w:val="21"/>
                      <w:highlight w:val="none"/>
                    </w:rPr>
                    <w:t>23</w:t>
                  </w:r>
                </w:p>
              </w:tc>
              <w:tc>
                <w:tcPr>
                  <w:tcW w:w="0" w:type="auto"/>
                  <w:vAlign w:val="center"/>
                </w:tcPr>
                <w:p w14:paraId="5D3DC755">
                  <w:pPr>
                    <w:snapToGrid w:val="0"/>
                    <w:spacing w:line="230" w:lineRule="exact"/>
                    <w:jc w:val="center"/>
                    <w:rPr>
                      <w:rFonts w:cs="Times New Roman"/>
                      <w:color w:val="auto"/>
                      <w:szCs w:val="21"/>
                      <w:highlight w:val="none"/>
                    </w:rPr>
                  </w:pPr>
                  <w:r>
                    <w:rPr>
                      <w:rFonts w:cs="Times New Roman"/>
                      <w:color w:val="auto"/>
                      <w:szCs w:val="21"/>
                      <w:highlight w:val="none"/>
                    </w:rPr>
                    <w:t>空压机</w:t>
                  </w:r>
                </w:p>
              </w:tc>
              <w:tc>
                <w:tcPr>
                  <w:tcW w:w="536" w:type="pct"/>
                </w:tcPr>
                <w:p w14:paraId="31EEA119">
                  <w:pPr>
                    <w:spacing w:line="230" w:lineRule="exact"/>
                    <w:jc w:val="center"/>
                    <w:rPr>
                      <w:rFonts w:cs="Times New Roman"/>
                      <w:color w:val="auto"/>
                      <w:szCs w:val="21"/>
                      <w:highlight w:val="none"/>
                    </w:rPr>
                  </w:pPr>
                  <w:r>
                    <w:rPr>
                      <w:rFonts w:cs="Times New Roman"/>
                      <w:color w:val="auto"/>
                      <w:szCs w:val="21"/>
                      <w:highlight w:val="none"/>
                    </w:rPr>
                    <w:t>/</w:t>
                  </w:r>
                </w:p>
              </w:tc>
              <w:tc>
                <w:tcPr>
                  <w:tcW w:w="354" w:type="pct"/>
                </w:tcPr>
                <w:p w14:paraId="1F332753">
                  <w:pPr>
                    <w:spacing w:line="230" w:lineRule="exact"/>
                    <w:jc w:val="center"/>
                    <w:rPr>
                      <w:rFonts w:hint="eastAsia" w:eastAsia="宋体" w:cs="Times New Roman"/>
                      <w:color w:val="auto"/>
                      <w:szCs w:val="21"/>
                      <w:highlight w:val="none"/>
                      <w:lang w:val="en-US" w:eastAsia="zh-CN"/>
                    </w:rPr>
                  </w:pPr>
                  <w:r>
                    <w:rPr>
                      <w:rFonts w:cs="Times New Roman"/>
                      <w:color w:val="auto"/>
                      <w:szCs w:val="21"/>
                      <w:highlight w:val="none"/>
                    </w:rPr>
                    <w:t>7</w:t>
                  </w:r>
                  <w:r>
                    <w:rPr>
                      <w:rFonts w:hint="eastAsia" w:cs="Times New Roman"/>
                      <w:color w:val="auto"/>
                      <w:szCs w:val="21"/>
                      <w:highlight w:val="none"/>
                      <w:lang w:val="en-US" w:eastAsia="zh-CN"/>
                    </w:rPr>
                    <w:t>0</w:t>
                  </w:r>
                </w:p>
              </w:tc>
              <w:tc>
                <w:tcPr>
                  <w:tcW w:w="314" w:type="pct"/>
                  <w:vMerge w:val="continue"/>
                </w:tcPr>
                <w:p w14:paraId="5EB0F02A">
                  <w:pPr>
                    <w:spacing w:line="230" w:lineRule="exact"/>
                    <w:jc w:val="center"/>
                    <w:rPr>
                      <w:rFonts w:cs="Times New Roman"/>
                      <w:color w:val="auto"/>
                      <w:szCs w:val="21"/>
                      <w:highlight w:val="none"/>
                    </w:rPr>
                  </w:pPr>
                </w:p>
              </w:tc>
              <w:tc>
                <w:tcPr>
                  <w:tcW w:w="361" w:type="pct"/>
                  <w:shd w:val="clear" w:color="auto" w:fill="auto"/>
                  <w:vAlign w:val="top"/>
                </w:tcPr>
                <w:p w14:paraId="317A0ED7">
                  <w:pPr>
                    <w:spacing w:line="230" w:lineRule="exact"/>
                    <w:jc w:val="center"/>
                    <w:rPr>
                      <w:rFonts w:ascii="Times New Roman" w:hAnsi="Times New Roman" w:eastAsia="宋体" w:cs="Times New Roman"/>
                      <w:color w:val="auto"/>
                      <w:kern w:val="2"/>
                      <w:sz w:val="21"/>
                      <w:szCs w:val="21"/>
                      <w:highlight w:val="none"/>
                      <w:lang w:val="en-US" w:eastAsia="zh-CN" w:bidi="ar-SA"/>
                    </w:rPr>
                  </w:pPr>
                  <w:r>
                    <w:rPr>
                      <w:rFonts w:hint="eastAsia"/>
                    </w:rPr>
                    <w:t>76.04</w:t>
                  </w:r>
                </w:p>
              </w:tc>
              <w:tc>
                <w:tcPr>
                  <w:tcW w:w="361" w:type="pct"/>
                  <w:shd w:val="clear" w:color="auto" w:fill="auto"/>
                  <w:vAlign w:val="top"/>
                </w:tcPr>
                <w:p w14:paraId="4F31391A">
                  <w:pPr>
                    <w:spacing w:line="230" w:lineRule="exact"/>
                    <w:jc w:val="center"/>
                    <w:rPr>
                      <w:rFonts w:ascii="Times New Roman" w:hAnsi="Times New Roman" w:eastAsia="宋体" w:cs="Times New Roman"/>
                      <w:color w:val="auto"/>
                      <w:kern w:val="2"/>
                      <w:sz w:val="21"/>
                      <w:szCs w:val="21"/>
                      <w:highlight w:val="none"/>
                      <w:lang w:val="en-US" w:eastAsia="zh-CN" w:bidi="ar-SA"/>
                    </w:rPr>
                  </w:pPr>
                  <w:r>
                    <w:rPr>
                      <w:rFonts w:hint="eastAsia"/>
                    </w:rPr>
                    <w:t>7.93</w:t>
                  </w:r>
                </w:p>
              </w:tc>
              <w:tc>
                <w:tcPr>
                  <w:tcW w:w="383" w:type="pct"/>
                  <w:shd w:val="clear" w:color="auto" w:fill="auto"/>
                  <w:vAlign w:val="top"/>
                </w:tcPr>
                <w:p w14:paraId="61B89104">
                  <w:pPr>
                    <w:spacing w:line="230" w:lineRule="exact"/>
                    <w:jc w:val="center"/>
                    <w:rPr>
                      <w:rFonts w:ascii="Times New Roman" w:hAnsi="Times New Roman" w:eastAsia="宋体" w:cs="Times New Roman"/>
                      <w:color w:val="auto"/>
                      <w:kern w:val="2"/>
                      <w:sz w:val="21"/>
                      <w:szCs w:val="21"/>
                      <w:highlight w:val="none"/>
                      <w:lang w:val="en-US" w:eastAsia="zh-CN" w:bidi="ar-SA"/>
                    </w:rPr>
                  </w:pPr>
                  <w:r>
                    <w:rPr>
                      <w:rFonts w:hint="eastAsia"/>
                    </w:rPr>
                    <w:t>0.8</w:t>
                  </w:r>
                </w:p>
              </w:tc>
              <w:tc>
                <w:tcPr>
                  <w:tcW w:w="298" w:type="pct"/>
                  <w:shd w:val="clear" w:color="auto" w:fill="auto"/>
                  <w:vAlign w:val="top"/>
                </w:tcPr>
                <w:p w14:paraId="382E9A2C">
                  <w:pPr>
                    <w:spacing w:line="230" w:lineRule="exact"/>
                    <w:jc w:val="center"/>
                    <w:rPr>
                      <w:rFonts w:ascii="Times New Roman" w:hAnsi="Times New Roman" w:eastAsia="宋体" w:cs="Times New Roman"/>
                      <w:color w:val="auto"/>
                      <w:kern w:val="2"/>
                      <w:sz w:val="21"/>
                      <w:szCs w:val="21"/>
                      <w:highlight w:val="none"/>
                      <w:lang w:val="en-US" w:eastAsia="zh-CN" w:bidi="ar-SA"/>
                    </w:rPr>
                  </w:pPr>
                  <w:r>
                    <w:rPr>
                      <w:rFonts w:hint="eastAsia"/>
                    </w:rPr>
                    <w:t>3.53</w:t>
                  </w:r>
                </w:p>
              </w:tc>
              <w:tc>
                <w:tcPr>
                  <w:tcW w:w="286" w:type="pct"/>
                  <w:shd w:val="clear" w:color="auto" w:fill="auto"/>
                  <w:vAlign w:val="top"/>
                </w:tcPr>
                <w:p w14:paraId="7D767B8B">
                  <w:pPr>
                    <w:spacing w:line="230" w:lineRule="exact"/>
                    <w:jc w:val="center"/>
                    <w:rPr>
                      <w:rFonts w:ascii="Times New Roman" w:hAnsi="Times New Roman" w:eastAsia="宋体" w:cs="Times New Roman"/>
                      <w:color w:val="auto"/>
                      <w:kern w:val="2"/>
                      <w:sz w:val="21"/>
                      <w:szCs w:val="21"/>
                      <w:highlight w:val="none"/>
                      <w:lang w:val="en-US" w:eastAsia="zh-CN" w:bidi="ar-SA"/>
                    </w:rPr>
                  </w:pPr>
                  <w:r>
                    <w:rPr>
                      <w:rFonts w:hint="eastAsia"/>
                    </w:rPr>
                    <w:t>57.48</w:t>
                  </w:r>
                </w:p>
              </w:tc>
              <w:tc>
                <w:tcPr>
                  <w:tcW w:w="246" w:type="pct"/>
                  <w:vMerge w:val="continue"/>
                </w:tcPr>
                <w:p w14:paraId="2C0E3E16">
                  <w:pPr>
                    <w:spacing w:line="230" w:lineRule="exact"/>
                    <w:jc w:val="center"/>
                    <w:rPr>
                      <w:rFonts w:cs="Times New Roman"/>
                      <w:color w:val="auto"/>
                      <w:szCs w:val="21"/>
                      <w:highlight w:val="none"/>
                    </w:rPr>
                  </w:pPr>
                </w:p>
              </w:tc>
              <w:tc>
                <w:tcPr>
                  <w:tcW w:w="417" w:type="pct"/>
                </w:tcPr>
                <w:p w14:paraId="37327F1E">
                  <w:pPr>
                    <w:spacing w:line="230" w:lineRule="exact"/>
                    <w:jc w:val="center"/>
                    <w:rPr>
                      <w:rFonts w:cs="Times New Roman"/>
                      <w:color w:val="auto"/>
                      <w:szCs w:val="21"/>
                      <w:highlight w:val="none"/>
                    </w:rPr>
                  </w:pPr>
                  <w:r>
                    <w:rPr>
                      <w:rFonts w:cs="Times New Roman"/>
                      <w:color w:val="auto"/>
                      <w:szCs w:val="21"/>
                      <w:highlight w:val="none"/>
                    </w:rPr>
                    <w:t>20</w:t>
                  </w:r>
                </w:p>
              </w:tc>
              <w:tc>
                <w:tcPr>
                  <w:tcW w:w="315" w:type="pct"/>
                  <w:shd w:val="clear" w:color="auto" w:fill="auto"/>
                  <w:vAlign w:val="center"/>
                </w:tcPr>
                <w:p w14:paraId="46FA19BA">
                  <w:pPr>
                    <w:spacing w:line="230" w:lineRule="exact"/>
                    <w:jc w:val="center"/>
                    <w:rPr>
                      <w:rFonts w:ascii="Times New Roman" w:hAnsi="Times New Roman" w:eastAsia="宋体" w:cs="Times New Roman"/>
                      <w:color w:val="auto"/>
                      <w:kern w:val="2"/>
                      <w:sz w:val="21"/>
                      <w:szCs w:val="21"/>
                      <w:highlight w:val="none"/>
                      <w:lang w:val="en-US" w:eastAsia="zh-CN" w:bidi="ar-SA"/>
                    </w:rPr>
                  </w:pPr>
                  <w:r>
                    <w:rPr>
                      <w:rFonts w:hint="eastAsia"/>
                    </w:rPr>
                    <w:t>3</w:t>
                  </w:r>
                  <w:r>
                    <w:rPr>
                      <w:rFonts w:hint="eastAsia"/>
                      <w:lang w:val="en-US" w:eastAsia="zh-CN"/>
                    </w:rPr>
                    <w:t>7</w:t>
                  </w:r>
                  <w:r>
                    <w:rPr>
                      <w:rFonts w:hint="eastAsia"/>
                    </w:rPr>
                    <w:t>.48</w:t>
                  </w:r>
                </w:p>
              </w:tc>
              <w:tc>
                <w:tcPr>
                  <w:tcW w:w="355" w:type="pct"/>
                  <w:shd w:val="clear" w:color="auto" w:fill="auto"/>
                  <w:vAlign w:val="top"/>
                </w:tcPr>
                <w:p w14:paraId="699A9A35">
                  <w:pPr>
                    <w:spacing w:line="230" w:lineRule="exact"/>
                    <w:jc w:val="center"/>
                    <w:rPr>
                      <w:rFonts w:ascii="Times New Roman" w:hAnsi="Times New Roman" w:eastAsia="宋体" w:cs="Times New Roman"/>
                      <w:color w:val="auto"/>
                      <w:kern w:val="2"/>
                      <w:sz w:val="21"/>
                      <w:szCs w:val="21"/>
                      <w:highlight w:val="none"/>
                      <w:lang w:val="en-US" w:eastAsia="zh-CN" w:bidi="ar-SA"/>
                    </w:rPr>
                  </w:pPr>
                  <w:r>
                    <w:rPr>
                      <w:rFonts w:hint="eastAsia"/>
                    </w:rPr>
                    <w:t>1</w:t>
                  </w:r>
                </w:p>
              </w:tc>
            </w:tr>
          </w:tbl>
          <w:p w14:paraId="066027E0">
            <w:pPr>
              <w:spacing w:line="360" w:lineRule="auto"/>
              <w:jc w:val="center"/>
              <w:rPr>
                <w:rFonts w:cs="Times New Roman"/>
                <w:b/>
                <w:bCs/>
                <w:color w:val="auto"/>
                <w:sz w:val="24"/>
                <w:szCs w:val="24"/>
                <w:highlight w:val="none"/>
              </w:rPr>
            </w:pPr>
          </w:p>
          <w:p w14:paraId="4F0AD9A3">
            <w:pPr>
              <w:spacing w:line="360" w:lineRule="auto"/>
              <w:jc w:val="center"/>
              <w:rPr>
                <w:rFonts w:cs="Times New Roman"/>
                <w:b/>
                <w:bCs/>
                <w:color w:val="auto"/>
                <w:sz w:val="24"/>
                <w:szCs w:val="24"/>
              </w:rPr>
            </w:pPr>
          </w:p>
          <w:p w14:paraId="6B394854">
            <w:pPr>
              <w:spacing w:line="360" w:lineRule="auto"/>
              <w:jc w:val="center"/>
              <w:rPr>
                <w:rFonts w:cs="Times New Roman"/>
                <w:b/>
                <w:bCs/>
                <w:color w:val="auto"/>
                <w:sz w:val="24"/>
                <w:szCs w:val="24"/>
              </w:rPr>
            </w:pPr>
            <w:r>
              <w:rPr>
                <w:rFonts w:cs="Times New Roman"/>
                <w:b/>
                <w:bCs/>
                <w:color w:val="auto"/>
                <w:sz w:val="24"/>
                <w:szCs w:val="24"/>
              </w:rPr>
              <w:t>表4-</w:t>
            </w:r>
            <w:r>
              <w:rPr>
                <w:rFonts w:hint="eastAsia" w:cs="Times New Roman"/>
                <w:b/>
                <w:bCs/>
                <w:color w:val="auto"/>
                <w:sz w:val="24"/>
                <w:szCs w:val="24"/>
                <w:lang w:val="en-US" w:eastAsia="zh-CN"/>
              </w:rPr>
              <w:t>11</w:t>
            </w:r>
            <w:r>
              <w:rPr>
                <w:rFonts w:cs="Times New Roman"/>
                <w:b/>
                <w:bCs/>
                <w:color w:val="auto"/>
                <w:sz w:val="24"/>
                <w:szCs w:val="24"/>
              </w:rPr>
              <w:t xml:space="preserve"> 工业企业噪声源强调查清单（室外声源）</w:t>
            </w:r>
          </w:p>
          <w:tbl>
            <w:tblPr>
              <w:tblStyle w:val="24"/>
              <w:tblW w:w="5001"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57" w:type="dxa"/>
                <w:bottom w:w="0" w:type="dxa"/>
                <w:right w:w="57" w:type="dxa"/>
              </w:tblCellMar>
            </w:tblPr>
            <w:tblGrid>
              <w:gridCol w:w="679"/>
              <w:gridCol w:w="1820"/>
              <w:gridCol w:w="910"/>
              <w:gridCol w:w="1403"/>
              <w:gridCol w:w="931"/>
              <w:gridCol w:w="942"/>
              <w:gridCol w:w="1981"/>
              <w:gridCol w:w="1429"/>
              <w:gridCol w:w="2013"/>
              <w:gridCol w:w="2465"/>
            </w:tblGrid>
            <w:tr w14:paraId="5C9D323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18" w:hRule="atLeast"/>
                <w:tblHeader/>
                <w:jc w:val="center"/>
              </w:trPr>
              <w:tc>
                <w:tcPr>
                  <w:tcW w:w="233" w:type="pct"/>
                  <w:vMerge w:val="restart"/>
                  <w:tcBorders>
                    <w:tl2br w:val="nil"/>
                    <w:tr2bl w:val="nil"/>
                  </w:tcBorders>
                  <w:vAlign w:val="center"/>
                </w:tcPr>
                <w:p w14:paraId="580F0820">
                  <w:pPr>
                    <w:spacing w:line="240" w:lineRule="exact"/>
                    <w:jc w:val="center"/>
                    <w:rPr>
                      <w:rFonts w:cs="Times New Roman"/>
                      <w:b/>
                      <w:bCs/>
                      <w:color w:val="auto"/>
                      <w:szCs w:val="21"/>
                    </w:rPr>
                  </w:pPr>
                  <w:r>
                    <w:rPr>
                      <w:rFonts w:cs="Times New Roman"/>
                      <w:b/>
                      <w:bCs/>
                      <w:color w:val="auto"/>
                      <w:szCs w:val="21"/>
                    </w:rPr>
                    <w:t>序号</w:t>
                  </w:r>
                </w:p>
              </w:tc>
              <w:tc>
                <w:tcPr>
                  <w:tcW w:w="624" w:type="pct"/>
                  <w:vMerge w:val="restart"/>
                  <w:tcBorders>
                    <w:tl2br w:val="nil"/>
                    <w:tr2bl w:val="nil"/>
                  </w:tcBorders>
                  <w:vAlign w:val="center"/>
                </w:tcPr>
                <w:p w14:paraId="3C3C86F3">
                  <w:pPr>
                    <w:spacing w:line="240" w:lineRule="exact"/>
                    <w:jc w:val="center"/>
                    <w:rPr>
                      <w:rFonts w:cs="Times New Roman"/>
                      <w:b/>
                      <w:bCs/>
                      <w:color w:val="auto"/>
                      <w:szCs w:val="21"/>
                    </w:rPr>
                  </w:pPr>
                  <w:r>
                    <w:rPr>
                      <w:rFonts w:cs="Times New Roman"/>
                      <w:b/>
                      <w:bCs/>
                      <w:color w:val="auto"/>
                      <w:szCs w:val="21"/>
                    </w:rPr>
                    <w:t>声源名称</w:t>
                  </w:r>
                </w:p>
              </w:tc>
              <w:tc>
                <w:tcPr>
                  <w:tcW w:w="312" w:type="pct"/>
                  <w:vMerge w:val="restart"/>
                  <w:tcBorders>
                    <w:tl2br w:val="nil"/>
                    <w:tr2bl w:val="nil"/>
                  </w:tcBorders>
                  <w:vAlign w:val="center"/>
                </w:tcPr>
                <w:p w14:paraId="355673BF">
                  <w:pPr>
                    <w:spacing w:line="240" w:lineRule="exact"/>
                    <w:jc w:val="center"/>
                    <w:rPr>
                      <w:rFonts w:cs="Times New Roman"/>
                      <w:b/>
                      <w:bCs/>
                      <w:color w:val="auto"/>
                      <w:szCs w:val="21"/>
                    </w:rPr>
                  </w:pPr>
                  <w:r>
                    <w:rPr>
                      <w:rFonts w:cs="Times New Roman"/>
                      <w:b/>
                      <w:bCs/>
                      <w:color w:val="auto"/>
                      <w:szCs w:val="21"/>
                    </w:rPr>
                    <w:t>型号</w:t>
                  </w:r>
                </w:p>
              </w:tc>
              <w:tc>
                <w:tcPr>
                  <w:tcW w:w="1123" w:type="pct"/>
                  <w:gridSpan w:val="3"/>
                  <w:tcBorders>
                    <w:tl2br w:val="nil"/>
                    <w:tr2bl w:val="nil"/>
                  </w:tcBorders>
                  <w:vAlign w:val="center"/>
                </w:tcPr>
                <w:p w14:paraId="57811BE6">
                  <w:pPr>
                    <w:spacing w:line="240" w:lineRule="exact"/>
                    <w:jc w:val="center"/>
                    <w:rPr>
                      <w:rFonts w:cs="Times New Roman"/>
                      <w:b/>
                      <w:bCs/>
                      <w:color w:val="auto"/>
                      <w:szCs w:val="21"/>
                    </w:rPr>
                  </w:pPr>
                  <w:r>
                    <w:rPr>
                      <w:rFonts w:cs="Times New Roman"/>
                      <w:b/>
                      <w:bCs/>
                      <w:color w:val="auto"/>
                      <w:szCs w:val="21"/>
                    </w:rPr>
                    <w:t>空间相对位置</w:t>
                  </w:r>
                </w:p>
              </w:tc>
              <w:tc>
                <w:tcPr>
                  <w:tcW w:w="1169" w:type="pct"/>
                  <w:gridSpan w:val="2"/>
                  <w:tcBorders>
                    <w:tl2br w:val="nil"/>
                    <w:tr2bl w:val="nil"/>
                  </w:tcBorders>
                  <w:vAlign w:val="center"/>
                </w:tcPr>
                <w:p w14:paraId="0A4BB6CF">
                  <w:pPr>
                    <w:spacing w:line="240" w:lineRule="exact"/>
                    <w:jc w:val="center"/>
                    <w:rPr>
                      <w:rFonts w:cs="Times New Roman"/>
                      <w:b/>
                      <w:bCs/>
                      <w:color w:val="auto"/>
                      <w:szCs w:val="21"/>
                    </w:rPr>
                  </w:pPr>
                  <w:r>
                    <w:rPr>
                      <w:rFonts w:cs="Times New Roman"/>
                      <w:b/>
                      <w:bCs/>
                      <w:color w:val="auto"/>
                      <w:szCs w:val="21"/>
                    </w:rPr>
                    <w:t>噪声源强（任选一种）</w:t>
                  </w:r>
                </w:p>
              </w:tc>
              <w:tc>
                <w:tcPr>
                  <w:tcW w:w="690" w:type="pct"/>
                  <w:vMerge w:val="restart"/>
                  <w:tcBorders>
                    <w:tl2br w:val="nil"/>
                    <w:tr2bl w:val="nil"/>
                  </w:tcBorders>
                  <w:vAlign w:val="center"/>
                </w:tcPr>
                <w:p w14:paraId="305FD769">
                  <w:pPr>
                    <w:spacing w:line="240" w:lineRule="exact"/>
                    <w:jc w:val="center"/>
                    <w:rPr>
                      <w:rFonts w:cs="Times New Roman"/>
                      <w:b/>
                      <w:bCs/>
                      <w:color w:val="auto"/>
                      <w:szCs w:val="21"/>
                    </w:rPr>
                  </w:pPr>
                  <w:r>
                    <w:rPr>
                      <w:rFonts w:cs="Times New Roman"/>
                      <w:b/>
                      <w:bCs/>
                      <w:color w:val="auto"/>
                      <w:szCs w:val="21"/>
                    </w:rPr>
                    <w:t>声源控制措施</w:t>
                  </w:r>
                </w:p>
              </w:tc>
              <w:tc>
                <w:tcPr>
                  <w:tcW w:w="845" w:type="pct"/>
                  <w:vMerge w:val="restart"/>
                  <w:tcBorders>
                    <w:tl2br w:val="nil"/>
                    <w:tr2bl w:val="nil"/>
                  </w:tcBorders>
                  <w:vAlign w:val="center"/>
                </w:tcPr>
                <w:p w14:paraId="58B8D33D">
                  <w:pPr>
                    <w:spacing w:line="240" w:lineRule="exact"/>
                    <w:jc w:val="center"/>
                    <w:rPr>
                      <w:rFonts w:cs="Times New Roman"/>
                      <w:b/>
                      <w:bCs/>
                      <w:color w:val="auto"/>
                      <w:szCs w:val="21"/>
                    </w:rPr>
                  </w:pPr>
                  <w:r>
                    <w:rPr>
                      <w:rFonts w:cs="Times New Roman"/>
                      <w:b/>
                      <w:bCs/>
                      <w:color w:val="auto"/>
                      <w:szCs w:val="21"/>
                    </w:rPr>
                    <w:t>运行时段</w:t>
                  </w:r>
                </w:p>
              </w:tc>
            </w:tr>
            <w:tr w14:paraId="5022DC2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5" w:hRule="atLeast"/>
                <w:tblHeader/>
                <w:jc w:val="center"/>
              </w:trPr>
              <w:tc>
                <w:tcPr>
                  <w:tcW w:w="233" w:type="pct"/>
                  <w:vMerge w:val="continue"/>
                  <w:tcBorders>
                    <w:tl2br w:val="nil"/>
                    <w:tr2bl w:val="nil"/>
                  </w:tcBorders>
                  <w:vAlign w:val="center"/>
                </w:tcPr>
                <w:p w14:paraId="28903CA7">
                  <w:pPr>
                    <w:spacing w:line="240" w:lineRule="exact"/>
                    <w:jc w:val="center"/>
                    <w:rPr>
                      <w:rFonts w:cs="Times New Roman"/>
                      <w:color w:val="auto"/>
                      <w:szCs w:val="21"/>
                    </w:rPr>
                  </w:pPr>
                </w:p>
              </w:tc>
              <w:tc>
                <w:tcPr>
                  <w:tcW w:w="624" w:type="pct"/>
                  <w:vMerge w:val="continue"/>
                  <w:tcBorders>
                    <w:tl2br w:val="nil"/>
                    <w:tr2bl w:val="nil"/>
                  </w:tcBorders>
                  <w:vAlign w:val="center"/>
                </w:tcPr>
                <w:p w14:paraId="50315C70">
                  <w:pPr>
                    <w:spacing w:line="240" w:lineRule="exact"/>
                    <w:jc w:val="center"/>
                    <w:rPr>
                      <w:rFonts w:cs="Times New Roman"/>
                      <w:color w:val="auto"/>
                      <w:szCs w:val="21"/>
                    </w:rPr>
                  </w:pPr>
                </w:p>
              </w:tc>
              <w:tc>
                <w:tcPr>
                  <w:tcW w:w="312" w:type="pct"/>
                  <w:vMerge w:val="continue"/>
                  <w:tcBorders>
                    <w:tl2br w:val="nil"/>
                    <w:tr2bl w:val="nil"/>
                  </w:tcBorders>
                  <w:vAlign w:val="center"/>
                </w:tcPr>
                <w:p w14:paraId="5FE10C11">
                  <w:pPr>
                    <w:spacing w:line="240" w:lineRule="exact"/>
                    <w:jc w:val="center"/>
                    <w:rPr>
                      <w:rFonts w:cs="Times New Roman"/>
                      <w:color w:val="auto"/>
                      <w:szCs w:val="21"/>
                    </w:rPr>
                  </w:pPr>
                </w:p>
              </w:tc>
              <w:tc>
                <w:tcPr>
                  <w:tcW w:w="481" w:type="pct"/>
                  <w:tcBorders>
                    <w:tl2br w:val="nil"/>
                    <w:tr2bl w:val="nil"/>
                  </w:tcBorders>
                  <w:vAlign w:val="center"/>
                </w:tcPr>
                <w:p w14:paraId="1ED129FA">
                  <w:pPr>
                    <w:spacing w:line="240" w:lineRule="exact"/>
                    <w:jc w:val="center"/>
                    <w:rPr>
                      <w:rFonts w:cs="Times New Roman"/>
                      <w:b/>
                      <w:bCs/>
                      <w:color w:val="auto"/>
                      <w:szCs w:val="21"/>
                    </w:rPr>
                  </w:pPr>
                  <w:r>
                    <w:rPr>
                      <w:rFonts w:cs="Times New Roman"/>
                      <w:b/>
                      <w:bCs/>
                      <w:color w:val="auto"/>
                      <w:szCs w:val="21"/>
                    </w:rPr>
                    <w:t>X</w:t>
                  </w:r>
                </w:p>
              </w:tc>
              <w:tc>
                <w:tcPr>
                  <w:tcW w:w="319" w:type="pct"/>
                  <w:tcBorders>
                    <w:tl2br w:val="nil"/>
                    <w:tr2bl w:val="nil"/>
                  </w:tcBorders>
                  <w:vAlign w:val="center"/>
                </w:tcPr>
                <w:p w14:paraId="2EFAD78A">
                  <w:pPr>
                    <w:spacing w:line="240" w:lineRule="exact"/>
                    <w:jc w:val="center"/>
                    <w:rPr>
                      <w:rFonts w:cs="Times New Roman"/>
                      <w:b/>
                      <w:bCs/>
                      <w:color w:val="auto"/>
                      <w:szCs w:val="21"/>
                    </w:rPr>
                  </w:pPr>
                  <w:r>
                    <w:rPr>
                      <w:rFonts w:cs="Times New Roman"/>
                      <w:b/>
                      <w:bCs/>
                      <w:color w:val="auto"/>
                      <w:szCs w:val="21"/>
                    </w:rPr>
                    <w:t>Y</w:t>
                  </w:r>
                </w:p>
              </w:tc>
              <w:tc>
                <w:tcPr>
                  <w:tcW w:w="323" w:type="pct"/>
                  <w:tcBorders>
                    <w:tl2br w:val="nil"/>
                    <w:tr2bl w:val="nil"/>
                  </w:tcBorders>
                  <w:vAlign w:val="center"/>
                </w:tcPr>
                <w:p w14:paraId="026344C2">
                  <w:pPr>
                    <w:spacing w:line="240" w:lineRule="exact"/>
                    <w:jc w:val="center"/>
                    <w:rPr>
                      <w:rFonts w:cs="Times New Roman"/>
                      <w:b/>
                      <w:bCs/>
                      <w:color w:val="auto"/>
                      <w:szCs w:val="21"/>
                    </w:rPr>
                  </w:pPr>
                  <w:r>
                    <w:rPr>
                      <w:rFonts w:cs="Times New Roman"/>
                      <w:b/>
                      <w:bCs/>
                      <w:color w:val="auto"/>
                      <w:szCs w:val="21"/>
                    </w:rPr>
                    <w:t>Z</w:t>
                  </w:r>
                </w:p>
              </w:tc>
              <w:tc>
                <w:tcPr>
                  <w:tcW w:w="679" w:type="pct"/>
                  <w:tcBorders>
                    <w:tl2br w:val="nil"/>
                    <w:tr2bl w:val="nil"/>
                  </w:tcBorders>
                  <w:vAlign w:val="center"/>
                </w:tcPr>
                <w:p w14:paraId="28036001">
                  <w:pPr>
                    <w:spacing w:line="240" w:lineRule="exact"/>
                    <w:jc w:val="center"/>
                    <w:rPr>
                      <w:rFonts w:cs="Times New Roman"/>
                      <w:b/>
                      <w:bCs/>
                      <w:color w:val="auto"/>
                      <w:szCs w:val="21"/>
                    </w:rPr>
                  </w:pPr>
                  <w:r>
                    <w:rPr>
                      <w:rFonts w:cs="Times New Roman"/>
                      <w:b/>
                      <w:bCs/>
                      <w:color w:val="auto"/>
                      <w:szCs w:val="21"/>
                    </w:rPr>
                    <w:t>（声压级/距声源距离）/（dB（A）/m）</w:t>
                  </w:r>
                </w:p>
              </w:tc>
              <w:tc>
                <w:tcPr>
                  <w:tcW w:w="490" w:type="pct"/>
                  <w:tcBorders>
                    <w:tl2br w:val="nil"/>
                    <w:tr2bl w:val="nil"/>
                  </w:tcBorders>
                  <w:vAlign w:val="center"/>
                </w:tcPr>
                <w:p w14:paraId="031952FE">
                  <w:pPr>
                    <w:spacing w:line="240" w:lineRule="exact"/>
                    <w:jc w:val="center"/>
                    <w:rPr>
                      <w:rFonts w:cs="Times New Roman"/>
                      <w:b/>
                      <w:bCs/>
                      <w:color w:val="auto"/>
                      <w:szCs w:val="21"/>
                    </w:rPr>
                  </w:pPr>
                  <w:r>
                    <w:rPr>
                      <w:rFonts w:cs="Times New Roman"/>
                      <w:b/>
                      <w:bCs/>
                      <w:color w:val="auto"/>
                      <w:szCs w:val="21"/>
                    </w:rPr>
                    <w:t>声功率级/dB（A）</w:t>
                  </w:r>
                </w:p>
              </w:tc>
              <w:tc>
                <w:tcPr>
                  <w:tcW w:w="690" w:type="pct"/>
                  <w:vMerge w:val="continue"/>
                  <w:tcBorders>
                    <w:tl2br w:val="nil"/>
                    <w:tr2bl w:val="nil"/>
                  </w:tcBorders>
                  <w:vAlign w:val="center"/>
                </w:tcPr>
                <w:p w14:paraId="6A517BEF">
                  <w:pPr>
                    <w:spacing w:line="240" w:lineRule="exact"/>
                    <w:jc w:val="center"/>
                    <w:rPr>
                      <w:rFonts w:cs="Times New Roman"/>
                      <w:b/>
                      <w:bCs/>
                      <w:color w:val="auto"/>
                      <w:szCs w:val="21"/>
                    </w:rPr>
                  </w:pPr>
                </w:p>
              </w:tc>
              <w:tc>
                <w:tcPr>
                  <w:tcW w:w="845" w:type="pct"/>
                  <w:vMerge w:val="continue"/>
                  <w:tcBorders>
                    <w:tl2br w:val="nil"/>
                    <w:tr2bl w:val="nil"/>
                  </w:tcBorders>
                  <w:vAlign w:val="center"/>
                </w:tcPr>
                <w:p w14:paraId="46E320F8">
                  <w:pPr>
                    <w:spacing w:line="240" w:lineRule="exact"/>
                    <w:jc w:val="center"/>
                    <w:rPr>
                      <w:rFonts w:cs="Times New Roman"/>
                      <w:b/>
                      <w:bCs/>
                      <w:color w:val="auto"/>
                      <w:szCs w:val="21"/>
                    </w:rPr>
                  </w:pPr>
                </w:p>
              </w:tc>
            </w:tr>
            <w:tr w14:paraId="123BFF6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06" w:hRule="atLeast"/>
                <w:jc w:val="center"/>
              </w:trPr>
              <w:tc>
                <w:tcPr>
                  <w:tcW w:w="233" w:type="pct"/>
                  <w:tcBorders>
                    <w:tl2br w:val="nil"/>
                    <w:tr2bl w:val="nil"/>
                  </w:tcBorders>
                  <w:vAlign w:val="center"/>
                </w:tcPr>
                <w:p w14:paraId="12466015">
                  <w:pPr>
                    <w:spacing w:line="240" w:lineRule="exact"/>
                    <w:jc w:val="center"/>
                    <w:textAlignment w:val="baseline"/>
                    <w:rPr>
                      <w:rFonts w:cs="Times New Roman"/>
                      <w:color w:val="auto"/>
                      <w:szCs w:val="21"/>
                    </w:rPr>
                  </w:pPr>
                  <w:r>
                    <w:rPr>
                      <w:rFonts w:cs="Times New Roman"/>
                      <w:color w:val="auto"/>
                      <w:szCs w:val="21"/>
                    </w:rPr>
                    <w:t>1</w:t>
                  </w:r>
                </w:p>
              </w:tc>
              <w:tc>
                <w:tcPr>
                  <w:tcW w:w="624" w:type="pct"/>
                  <w:tcBorders>
                    <w:tl2br w:val="nil"/>
                    <w:tr2bl w:val="nil"/>
                  </w:tcBorders>
                  <w:vAlign w:val="center"/>
                </w:tcPr>
                <w:p w14:paraId="5711A75C">
                  <w:pPr>
                    <w:spacing w:line="240" w:lineRule="exact"/>
                    <w:jc w:val="center"/>
                    <w:textAlignment w:val="baseline"/>
                    <w:rPr>
                      <w:rFonts w:cs="Times New Roman"/>
                      <w:color w:val="auto"/>
                      <w:szCs w:val="21"/>
                    </w:rPr>
                  </w:pPr>
                  <w:r>
                    <w:rPr>
                      <w:rFonts w:hint="eastAsia" w:cs="Times New Roman"/>
                      <w:color w:val="auto"/>
                      <w:szCs w:val="21"/>
                      <w:lang w:eastAsia="zh-CN"/>
                    </w:rPr>
                    <w:t>板框</w:t>
                  </w:r>
                  <w:r>
                    <w:rPr>
                      <w:rFonts w:cs="Times New Roman"/>
                      <w:color w:val="auto"/>
                      <w:szCs w:val="21"/>
                    </w:rPr>
                    <w:t>压滤机</w:t>
                  </w:r>
                </w:p>
              </w:tc>
              <w:tc>
                <w:tcPr>
                  <w:tcW w:w="312" w:type="pct"/>
                  <w:tcBorders>
                    <w:tl2br w:val="nil"/>
                    <w:tr2bl w:val="nil"/>
                  </w:tcBorders>
                  <w:shd w:val="clear" w:color="auto" w:fill="auto"/>
                  <w:vAlign w:val="center"/>
                </w:tcPr>
                <w:p w14:paraId="022810F4">
                  <w:pPr>
                    <w:spacing w:line="240" w:lineRule="exact"/>
                    <w:jc w:val="center"/>
                    <w:textAlignment w:val="baseline"/>
                    <w:rPr>
                      <w:rFonts w:ascii="Times New Roman" w:hAnsi="Times New Roman" w:eastAsia="宋体" w:cs="Times New Roman"/>
                      <w:color w:val="auto"/>
                      <w:kern w:val="2"/>
                      <w:sz w:val="21"/>
                      <w:szCs w:val="21"/>
                      <w:lang w:val="en-US" w:eastAsia="zh-CN" w:bidi="ar-SA"/>
                    </w:rPr>
                  </w:pPr>
                  <w:r>
                    <w:rPr>
                      <w:rFonts w:cs="Times New Roman"/>
                      <w:color w:val="auto"/>
                      <w:szCs w:val="21"/>
                    </w:rPr>
                    <w:t>/</w:t>
                  </w:r>
                </w:p>
              </w:tc>
              <w:tc>
                <w:tcPr>
                  <w:tcW w:w="481" w:type="pct"/>
                  <w:tcBorders>
                    <w:tl2br w:val="nil"/>
                    <w:tr2bl w:val="nil"/>
                  </w:tcBorders>
                  <w:shd w:val="clear" w:color="auto" w:fill="auto"/>
                  <w:vAlign w:val="center"/>
                </w:tcPr>
                <w:p w14:paraId="3B706E97">
                  <w:pPr>
                    <w:spacing w:line="240" w:lineRule="exact"/>
                    <w:jc w:val="center"/>
                    <w:textAlignment w:val="baseline"/>
                    <w:rPr>
                      <w:rFonts w:ascii="Times New Roman" w:hAnsi="Times New Roman" w:eastAsia="宋体" w:cs="Times New Roman"/>
                      <w:color w:val="auto"/>
                      <w:kern w:val="2"/>
                      <w:sz w:val="21"/>
                      <w:szCs w:val="21"/>
                      <w:highlight w:val="yellow"/>
                      <w:lang w:val="en-US" w:eastAsia="zh-CN" w:bidi="ar-SA"/>
                    </w:rPr>
                  </w:pPr>
                  <w:r>
                    <w:rPr>
                      <w:rFonts w:hint="eastAsia"/>
                    </w:rPr>
                    <w:t>119.68</w:t>
                  </w:r>
                </w:p>
              </w:tc>
              <w:tc>
                <w:tcPr>
                  <w:tcW w:w="319" w:type="pct"/>
                  <w:tcBorders>
                    <w:tl2br w:val="nil"/>
                    <w:tr2bl w:val="nil"/>
                  </w:tcBorders>
                  <w:shd w:val="clear" w:color="auto" w:fill="auto"/>
                  <w:vAlign w:val="center"/>
                </w:tcPr>
                <w:p w14:paraId="6A9E9B4B">
                  <w:pPr>
                    <w:spacing w:line="240" w:lineRule="exact"/>
                    <w:jc w:val="center"/>
                    <w:textAlignment w:val="baseline"/>
                    <w:rPr>
                      <w:rFonts w:ascii="Times New Roman" w:hAnsi="Times New Roman" w:eastAsia="宋体" w:cs="Times New Roman"/>
                      <w:color w:val="auto"/>
                      <w:kern w:val="2"/>
                      <w:sz w:val="21"/>
                      <w:szCs w:val="21"/>
                      <w:highlight w:val="yellow"/>
                      <w:lang w:val="en-US" w:eastAsia="zh-CN" w:bidi="ar-SA"/>
                    </w:rPr>
                  </w:pPr>
                  <w:r>
                    <w:rPr>
                      <w:rFonts w:hint="eastAsia"/>
                    </w:rPr>
                    <w:t>50.82</w:t>
                  </w:r>
                </w:p>
              </w:tc>
              <w:tc>
                <w:tcPr>
                  <w:tcW w:w="323" w:type="pct"/>
                  <w:tcBorders>
                    <w:tl2br w:val="nil"/>
                    <w:tr2bl w:val="nil"/>
                  </w:tcBorders>
                  <w:shd w:val="clear" w:color="auto" w:fill="auto"/>
                  <w:vAlign w:val="center"/>
                </w:tcPr>
                <w:p w14:paraId="4E9FAE0A">
                  <w:pPr>
                    <w:spacing w:line="240" w:lineRule="exact"/>
                    <w:jc w:val="center"/>
                    <w:textAlignment w:val="baseline"/>
                    <w:rPr>
                      <w:rFonts w:ascii="Times New Roman" w:hAnsi="Times New Roman" w:eastAsia="宋体" w:cs="Times New Roman"/>
                      <w:color w:val="auto"/>
                      <w:kern w:val="2"/>
                      <w:sz w:val="21"/>
                      <w:szCs w:val="21"/>
                      <w:lang w:val="en-US" w:eastAsia="zh-CN" w:bidi="ar-SA"/>
                    </w:rPr>
                  </w:pPr>
                  <w:r>
                    <w:rPr>
                      <w:rFonts w:cs="Times New Roman"/>
                      <w:color w:val="auto"/>
                      <w:szCs w:val="21"/>
                    </w:rPr>
                    <w:t>1.5</w:t>
                  </w:r>
                </w:p>
              </w:tc>
              <w:tc>
                <w:tcPr>
                  <w:tcW w:w="679" w:type="pct"/>
                  <w:tcBorders>
                    <w:tl2br w:val="nil"/>
                    <w:tr2bl w:val="nil"/>
                  </w:tcBorders>
                  <w:shd w:val="clear" w:color="auto" w:fill="auto"/>
                  <w:vAlign w:val="center"/>
                </w:tcPr>
                <w:p w14:paraId="49BA826E">
                  <w:pPr>
                    <w:spacing w:line="240" w:lineRule="exact"/>
                    <w:jc w:val="center"/>
                    <w:textAlignment w:val="baseline"/>
                    <w:rPr>
                      <w:rFonts w:ascii="Times New Roman" w:hAnsi="Times New Roman" w:eastAsia="宋体" w:cs="Times New Roman"/>
                      <w:color w:val="auto"/>
                      <w:kern w:val="2"/>
                      <w:sz w:val="21"/>
                      <w:szCs w:val="21"/>
                      <w:lang w:val="en-US" w:eastAsia="zh-CN" w:bidi="ar-SA"/>
                    </w:rPr>
                  </w:pPr>
                  <w:r>
                    <w:rPr>
                      <w:rFonts w:cs="Times New Roman"/>
                      <w:color w:val="auto"/>
                      <w:szCs w:val="21"/>
                    </w:rPr>
                    <w:t>/</w:t>
                  </w:r>
                </w:p>
              </w:tc>
              <w:tc>
                <w:tcPr>
                  <w:tcW w:w="490" w:type="pct"/>
                  <w:tcBorders>
                    <w:tl2br w:val="nil"/>
                    <w:tr2bl w:val="nil"/>
                  </w:tcBorders>
                  <w:shd w:val="clear" w:color="auto" w:fill="auto"/>
                  <w:vAlign w:val="center"/>
                </w:tcPr>
                <w:p w14:paraId="3BD7A2E9">
                  <w:pPr>
                    <w:spacing w:line="240" w:lineRule="exact"/>
                    <w:jc w:val="center"/>
                    <w:textAlignment w:val="baseline"/>
                    <w:rPr>
                      <w:rFonts w:ascii="Times New Roman" w:hAnsi="Times New Roman" w:eastAsia="宋体" w:cs="Times New Roman"/>
                      <w:color w:val="auto"/>
                      <w:kern w:val="2"/>
                      <w:sz w:val="21"/>
                      <w:szCs w:val="21"/>
                      <w:lang w:val="en-US" w:eastAsia="zh-CN" w:bidi="ar-SA"/>
                    </w:rPr>
                  </w:pPr>
                  <w:r>
                    <w:rPr>
                      <w:rFonts w:cs="Times New Roman"/>
                      <w:color w:val="auto"/>
                      <w:szCs w:val="21"/>
                    </w:rPr>
                    <w:t>75</w:t>
                  </w:r>
                </w:p>
              </w:tc>
              <w:tc>
                <w:tcPr>
                  <w:tcW w:w="690" w:type="pct"/>
                  <w:vMerge w:val="restart"/>
                  <w:tcBorders>
                    <w:tl2br w:val="nil"/>
                    <w:tr2bl w:val="nil"/>
                  </w:tcBorders>
                  <w:vAlign w:val="center"/>
                </w:tcPr>
                <w:p w14:paraId="3CB5DFF4">
                  <w:pPr>
                    <w:spacing w:line="240" w:lineRule="exact"/>
                    <w:jc w:val="center"/>
                    <w:textAlignment w:val="baseline"/>
                    <w:rPr>
                      <w:rFonts w:cs="Times New Roman"/>
                      <w:color w:val="auto"/>
                      <w:szCs w:val="21"/>
                    </w:rPr>
                  </w:pPr>
                  <w:r>
                    <w:rPr>
                      <w:rFonts w:cs="Times New Roman"/>
                      <w:color w:val="auto"/>
                      <w:szCs w:val="21"/>
                    </w:rPr>
                    <w:t>选用低噪声设备，合理布置设备，定期加强设备维护等</w:t>
                  </w:r>
                </w:p>
              </w:tc>
              <w:tc>
                <w:tcPr>
                  <w:tcW w:w="845" w:type="pct"/>
                  <w:tcBorders>
                    <w:tl2br w:val="nil"/>
                    <w:tr2bl w:val="nil"/>
                  </w:tcBorders>
                  <w:vAlign w:val="center"/>
                </w:tcPr>
                <w:p w14:paraId="64340D5F">
                  <w:pPr>
                    <w:spacing w:line="240" w:lineRule="exact"/>
                    <w:jc w:val="center"/>
                    <w:textAlignment w:val="baseline"/>
                    <w:rPr>
                      <w:rFonts w:cs="Times New Roman"/>
                      <w:color w:val="auto"/>
                      <w:szCs w:val="21"/>
                    </w:rPr>
                  </w:pPr>
                  <w:r>
                    <w:rPr>
                      <w:rFonts w:cs="Times New Roman"/>
                      <w:color w:val="auto"/>
                      <w:szCs w:val="21"/>
                    </w:rPr>
                    <w:t>昼间</w:t>
                  </w:r>
                </w:p>
              </w:tc>
            </w:tr>
            <w:tr w14:paraId="40FBC6A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64" w:hRule="atLeast"/>
                <w:jc w:val="center"/>
              </w:trPr>
              <w:tc>
                <w:tcPr>
                  <w:tcW w:w="233" w:type="pct"/>
                  <w:tcBorders>
                    <w:tl2br w:val="nil"/>
                    <w:tr2bl w:val="nil"/>
                  </w:tcBorders>
                  <w:vAlign w:val="center"/>
                </w:tcPr>
                <w:p w14:paraId="53B266FD">
                  <w:pPr>
                    <w:spacing w:line="240" w:lineRule="exact"/>
                    <w:jc w:val="center"/>
                    <w:textAlignment w:val="baseline"/>
                    <w:rPr>
                      <w:rFonts w:cs="Times New Roman"/>
                      <w:color w:val="auto"/>
                      <w:szCs w:val="21"/>
                    </w:rPr>
                  </w:pPr>
                  <w:r>
                    <w:rPr>
                      <w:rFonts w:cs="Times New Roman"/>
                      <w:color w:val="auto"/>
                      <w:szCs w:val="21"/>
                    </w:rPr>
                    <w:t>2</w:t>
                  </w:r>
                </w:p>
              </w:tc>
              <w:tc>
                <w:tcPr>
                  <w:tcW w:w="624" w:type="pct"/>
                  <w:tcBorders>
                    <w:tl2br w:val="nil"/>
                    <w:tr2bl w:val="nil"/>
                  </w:tcBorders>
                  <w:vAlign w:val="center"/>
                </w:tcPr>
                <w:p w14:paraId="6533E5AE">
                  <w:pPr>
                    <w:spacing w:line="240" w:lineRule="exact"/>
                    <w:jc w:val="center"/>
                    <w:textAlignment w:val="baseline"/>
                    <w:rPr>
                      <w:rFonts w:cs="Times New Roman"/>
                      <w:color w:val="auto"/>
                      <w:szCs w:val="21"/>
                    </w:rPr>
                  </w:pPr>
                  <w:r>
                    <w:rPr>
                      <w:rFonts w:cs="Times New Roman"/>
                      <w:color w:val="auto"/>
                      <w:szCs w:val="21"/>
                    </w:rPr>
                    <w:t>污水处理罐</w:t>
                  </w:r>
                </w:p>
              </w:tc>
              <w:tc>
                <w:tcPr>
                  <w:tcW w:w="312" w:type="pct"/>
                  <w:tcBorders>
                    <w:tl2br w:val="nil"/>
                    <w:tr2bl w:val="nil"/>
                  </w:tcBorders>
                  <w:shd w:val="clear" w:color="auto" w:fill="auto"/>
                  <w:vAlign w:val="center"/>
                </w:tcPr>
                <w:p w14:paraId="2708A06F">
                  <w:pPr>
                    <w:spacing w:line="240" w:lineRule="exact"/>
                    <w:jc w:val="center"/>
                    <w:textAlignment w:val="baseline"/>
                    <w:rPr>
                      <w:rFonts w:ascii="Times New Roman" w:hAnsi="Times New Roman" w:eastAsia="宋体" w:cs="Times New Roman"/>
                      <w:color w:val="auto"/>
                      <w:kern w:val="2"/>
                      <w:sz w:val="21"/>
                      <w:szCs w:val="21"/>
                      <w:lang w:val="en-US" w:eastAsia="zh-CN" w:bidi="ar-SA"/>
                    </w:rPr>
                  </w:pPr>
                  <w:r>
                    <w:rPr>
                      <w:rFonts w:cs="Times New Roman"/>
                      <w:color w:val="auto"/>
                      <w:szCs w:val="21"/>
                    </w:rPr>
                    <w:t>/</w:t>
                  </w:r>
                </w:p>
              </w:tc>
              <w:tc>
                <w:tcPr>
                  <w:tcW w:w="481" w:type="pct"/>
                  <w:tcBorders>
                    <w:tl2br w:val="nil"/>
                    <w:tr2bl w:val="nil"/>
                  </w:tcBorders>
                  <w:shd w:val="clear" w:color="auto" w:fill="auto"/>
                  <w:vAlign w:val="center"/>
                </w:tcPr>
                <w:p w14:paraId="2D0A5CCD">
                  <w:pPr>
                    <w:spacing w:line="240" w:lineRule="exact"/>
                    <w:jc w:val="center"/>
                    <w:textAlignment w:val="baseline"/>
                    <w:rPr>
                      <w:rFonts w:ascii="Times New Roman" w:hAnsi="Times New Roman" w:eastAsia="宋体" w:cs="Times New Roman"/>
                      <w:color w:val="auto"/>
                      <w:kern w:val="2"/>
                      <w:sz w:val="21"/>
                      <w:szCs w:val="21"/>
                      <w:highlight w:val="yellow"/>
                      <w:lang w:val="en-US" w:eastAsia="zh-CN" w:bidi="ar-SA"/>
                    </w:rPr>
                  </w:pPr>
                  <w:r>
                    <w:rPr>
                      <w:rFonts w:hint="eastAsia"/>
                    </w:rPr>
                    <w:t>117.25</w:t>
                  </w:r>
                </w:p>
              </w:tc>
              <w:tc>
                <w:tcPr>
                  <w:tcW w:w="319" w:type="pct"/>
                  <w:tcBorders>
                    <w:tl2br w:val="nil"/>
                    <w:tr2bl w:val="nil"/>
                  </w:tcBorders>
                  <w:shd w:val="clear" w:color="auto" w:fill="auto"/>
                  <w:vAlign w:val="center"/>
                </w:tcPr>
                <w:p w14:paraId="73D9CEB5">
                  <w:pPr>
                    <w:spacing w:line="240" w:lineRule="exact"/>
                    <w:jc w:val="center"/>
                    <w:textAlignment w:val="baseline"/>
                    <w:rPr>
                      <w:rFonts w:ascii="Times New Roman" w:hAnsi="Times New Roman" w:eastAsia="宋体" w:cs="Times New Roman"/>
                      <w:color w:val="auto"/>
                      <w:kern w:val="2"/>
                      <w:sz w:val="21"/>
                      <w:szCs w:val="21"/>
                      <w:highlight w:val="yellow"/>
                      <w:lang w:val="en-US" w:eastAsia="zh-CN" w:bidi="ar-SA"/>
                    </w:rPr>
                  </w:pPr>
                  <w:r>
                    <w:rPr>
                      <w:rFonts w:hint="eastAsia"/>
                    </w:rPr>
                    <w:t>45.75</w:t>
                  </w:r>
                </w:p>
              </w:tc>
              <w:tc>
                <w:tcPr>
                  <w:tcW w:w="323" w:type="pct"/>
                  <w:tcBorders>
                    <w:tl2br w:val="nil"/>
                    <w:tr2bl w:val="nil"/>
                  </w:tcBorders>
                  <w:shd w:val="clear" w:color="auto" w:fill="auto"/>
                  <w:vAlign w:val="center"/>
                </w:tcPr>
                <w:p w14:paraId="2D06578D">
                  <w:pPr>
                    <w:spacing w:line="240" w:lineRule="exact"/>
                    <w:jc w:val="center"/>
                    <w:textAlignment w:val="baseline"/>
                    <w:rPr>
                      <w:rFonts w:ascii="Times New Roman" w:hAnsi="Times New Roman" w:eastAsia="宋体" w:cs="Times New Roman"/>
                      <w:color w:val="auto"/>
                      <w:kern w:val="2"/>
                      <w:sz w:val="21"/>
                      <w:szCs w:val="21"/>
                      <w:lang w:val="en-US" w:eastAsia="zh-CN" w:bidi="ar-SA"/>
                    </w:rPr>
                  </w:pPr>
                  <w:r>
                    <w:rPr>
                      <w:rFonts w:cs="Times New Roman"/>
                      <w:color w:val="auto"/>
                      <w:szCs w:val="21"/>
                    </w:rPr>
                    <w:t>3.0</w:t>
                  </w:r>
                </w:p>
              </w:tc>
              <w:tc>
                <w:tcPr>
                  <w:tcW w:w="679" w:type="pct"/>
                  <w:tcBorders>
                    <w:tl2br w:val="nil"/>
                    <w:tr2bl w:val="nil"/>
                  </w:tcBorders>
                  <w:shd w:val="clear" w:color="auto" w:fill="auto"/>
                  <w:vAlign w:val="center"/>
                </w:tcPr>
                <w:p w14:paraId="2654C328">
                  <w:pPr>
                    <w:spacing w:line="240" w:lineRule="exact"/>
                    <w:jc w:val="center"/>
                    <w:textAlignment w:val="baseline"/>
                    <w:rPr>
                      <w:rFonts w:ascii="Times New Roman" w:hAnsi="Times New Roman" w:eastAsia="宋体" w:cs="Times New Roman"/>
                      <w:color w:val="auto"/>
                      <w:kern w:val="2"/>
                      <w:sz w:val="21"/>
                      <w:szCs w:val="21"/>
                      <w:lang w:val="en-US" w:eastAsia="zh-CN" w:bidi="ar-SA"/>
                    </w:rPr>
                  </w:pPr>
                  <w:r>
                    <w:rPr>
                      <w:rFonts w:cs="Times New Roman"/>
                      <w:color w:val="auto"/>
                      <w:szCs w:val="21"/>
                    </w:rPr>
                    <w:t>/</w:t>
                  </w:r>
                </w:p>
              </w:tc>
              <w:tc>
                <w:tcPr>
                  <w:tcW w:w="490" w:type="pct"/>
                  <w:tcBorders>
                    <w:tl2br w:val="nil"/>
                    <w:tr2bl w:val="nil"/>
                  </w:tcBorders>
                  <w:shd w:val="clear" w:color="auto" w:fill="auto"/>
                  <w:vAlign w:val="center"/>
                </w:tcPr>
                <w:p w14:paraId="52FF6B32">
                  <w:pPr>
                    <w:spacing w:line="240" w:lineRule="exact"/>
                    <w:jc w:val="center"/>
                    <w:textAlignment w:val="baseline"/>
                    <w:rPr>
                      <w:rFonts w:ascii="Times New Roman" w:hAnsi="Times New Roman" w:eastAsia="宋体" w:cs="Times New Roman"/>
                      <w:color w:val="auto"/>
                      <w:kern w:val="2"/>
                      <w:sz w:val="21"/>
                      <w:szCs w:val="21"/>
                      <w:lang w:val="en-US" w:eastAsia="zh-CN" w:bidi="ar-SA"/>
                    </w:rPr>
                  </w:pPr>
                  <w:r>
                    <w:rPr>
                      <w:rFonts w:cs="Times New Roman"/>
                      <w:color w:val="auto"/>
                      <w:szCs w:val="21"/>
                    </w:rPr>
                    <w:t>70</w:t>
                  </w:r>
                </w:p>
              </w:tc>
              <w:tc>
                <w:tcPr>
                  <w:tcW w:w="690" w:type="pct"/>
                  <w:vMerge w:val="continue"/>
                  <w:tcBorders>
                    <w:tl2br w:val="nil"/>
                    <w:tr2bl w:val="nil"/>
                  </w:tcBorders>
                  <w:vAlign w:val="center"/>
                </w:tcPr>
                <w:p w14:paraId="11FAE27D">
                  <w:pPr>
                    <w:spacing w:line="240" w:lineRule="exact"/>
                    <w:jc w:val="center"/>
                    <w:textAlignment w:val="baseline"/>
                    <w:rPr>
                      <w:rFonts w:cs="Times New Roman"/>
                      <w:color w:val="auto"/>
                      <w:szCs w:val="21"/>
                    </w:rPr>
                  </w:pPr>
                </w:p>
              </w:tc>
              <w:tc>
                <w:tcPr>
                  <w:tcW w:w="845" w:type="pct"/>
                  <w:tcBorders>
                    <w:tl2br w:val="nil"/>
                    <w:tr2bl w:val="nil"/>
                  </w:tcBorders>
                  <w:vAlign w:val="center"/>
                </w:tcPr>
                <w:p w14:paraId="26307089">
                  <w:pPr>
                    <w:spacing w:line="240" w:lineRule="exact"/>
                    <w:jc w:val="center"/>
                    <w:textAlignment w:val="baseline"/>
                    <w:rPr>
                      <w:rFonts w:cs="Times New Roman"/>
                      <w:color w:val="auto"/>
                      <w:szCs w:val="21"/>
                    </w:rPr>
                  </w:pPr>
                  <w:r>
                    <w:rPr>
                      <w:rFonts w:cs="Times New Roman"/>
                      <w:color w:val="auto"/>
                      <w:szCs w:val="21"/>
                    </w:rPr>
                    <w:t>昼间</w:t>
                  </w:r>
                </w:p>
              </w:tc>
            </w:tr>
            <w:tr w14:paraId="3D8BC3A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05" w:hRule="atLeast"/>
                <w:jc w:val="center"/>
              </w:trPr>
              <w:tc>
                <w:tcPr>
                  <w:tcW w:w="233" w:type="pct"/>
                  <w:tcBorders>
                    <w:tl2br w:val="nil"/>
                    <w:tr2bl w:val="nil"/>
                  </w:tcBorders>
                  <w:vAlign w:val="center"/>
                </w:tcPr>
                <w:p w14:paraId="37981428">
                  <w:pPr>
                    <w:spacing w:line="240" w:lineRule="exact"/>
                    <w:jc w:val="center"/>
                    <w:textAlignment w:val="baseline"/>
                    <w:rPr>
                      <w:rFonts w:cs="Times New Roman"/>
                      <w:color w:val="auto"/>
                      <w:szCs w:val="21"/>
                    </w:rPr>
                  </w:pPr>
                  <w:r>
                    <w:rPr>
                      <w:rFonts w:cs="Times New Roman"/>
                      <w:color w:val="auto"/>
                      <w:szCs w:val="21"/>
                    </w:rPr>
                    <w:t>3</w:t>
                  </w:r>
                </w:p>
              </w:tc>
              <w:tc>
                <w:tcPr>
                  <w:tcW w:w="624" w:type="pct"/>
                  <w:tcBorders>
                    <w:tl2br w:val="nil"/>
                    <w:tr2bl w:val="nil"/>
                  </w:tcBorders>
                  <w:vAlign w:val="center"/>
                </w:tcPr>
                <w:p w14:paraId="4A58D65B">
                  <w:pPr>
                    <w:spacing w:line="240" w:lineRule="exact"/>
                    <w:jc w:val="center"/>
                    <w:textAlignment w:val="baseline"/>
                    <w:rPr>
                      <w:rFonts w:cs="Times New Roman"/>
                      <w:color w:val="auto"/>
                      <w:szCs w:val="21"/>
                    </w:rPr>
                  </w:pPr>
                  <w:r>
                    <w:rPr>
                      <w:rFonts w:cs="Times New Roman"/>
                      <w:color w:val="auto"/>
                      <w:szCs w:val="21"/>
                    </w:rPr>
                    <w:t>螺旋绞砂机</w:t>
                  </w:r>
                </w:p>
              </w:tc>
              <w:tc>
                <w:tcPr>
                  <w:tcW w:w="312" w:type="pct"/>
                  <w:tcBorders>
                    <w:tl2br w:val="nil"/>
                    <w:tr2bl w:val="nil"/>
                  </w:tcBorders>
                  <w:shd w:val="clear" w:color="auto" w:fill="auto"/>
                  <w:vAlign w:val="center"/>
                </w:tcPr>
                <w:p w14:paraId="5F714CCB">
                  <w:pPr>
                    <w:spacing w:line="240" w:lineRule="exact"/>
                    <w:jc w:val="center"/>
                    <w:textAlignment w:val="baseline"/>
                    <w:rPr>
                      <w:rFonts w:ascii="Times New Roman" w:hAnsi="Times New Roman" w:eastAsia="宋体" w:cs="Times New Roman"/>
                      <w:color w:val="auto"/>
                      <w:kern w:val="2"/>
                      <w:sz w:val="21"/>
                      <w:szCs w:val="21"/>
                      <w:lang w:val="en-US" w:eastAsia="zh-CN" w:bidi="ar-SA"/>
                    </w:rPr>
                  </w:pPr>
                  <w:r>
                    <w:rPr>
                      <w:rFonts w:cs="Times New Roman"/>
                      <w:color w:val="auto"/>
                      <w:szCs w:val="21"/>
                    </w:rPr>
                    <w:t>/</w:t>
                  </w:r>
                </w:p>
              </w:tc>
              <w:tc>
                <w:tcPr>
                  <w:tcW w:w="481" w:type="pct"/>
                  <w:tcBorders>
                    <w:tl2br w:val="nil"/>
                    <w:tr2bl w:val="nil"/>
                  </w:tcBorders>
                  <w:shd w:val="clear" w:color="auto" w:fill="auto"/>
                  <w:vAlign w:val="center"/>
                </w:tcPr>
                <w:p w14:paraId="2400B2F0">
                  <w:pPr>
                    <w:spacing w:line="240" w:lineRule="exact"/>
                    <w:jc w:val="center"/>
                    <w:textAlignment w:val="baseline"/>
                    <w:rPr>
                      <w:rFonts w:ascii="Times New Roman" w:hAnsi="Times New Roman" w:eastAsia="宋体" w:cs="Times New Roman"/>
                      <w:color w:val="auto"/>
                      <w:kern w:val="2"/>
                      <w:sz w:val="21"/>
                      <w:szCs w:val="21"/>
                      <w:highlight w:val="yellow"/>
                      <w:lang w:val="en-US" w:eastAsia="zh-CN" w:bidi="ar-SA"/>
                    </w:rPr>
                  </w:pPr>
                  <w:r>
                    <w:rPr>
                      <w:rFonts w:hint="eastAsia"/>
                    </w:rPr>
                    <w:t>113.34</w:t>
                  </w:r>
                </w:p>
              </w:tc>
              <w:tc>
                <w:tcPr>
                  <w:tcW w:w="319" w:type="pct"/>
                  <w:tcBorders>
                    <w:tl2br w:val="nil"/>
                    <w:tr2bl w:val="nil"/>
                  </w:tcBorders>
                  <w:shd w:val="clear" w:color="auto" w:fill="auto"/>
                  <w:vAlign w:val="center"/>
                </w:tcPr>
                <w:p w14:paraId="59A45637">
                  <w:pPr>
                    <w:spacing w:line="240" w:lineRule="exact"/>
                    <w:jc w:val="center"/>
                    <w:textAlignment w:val="baseline"/>
                    <w:rPr>
                      <w:rFonts w:ascii="Times New Roman" w:hAnsi="Times New Roman" w:eastAsia="宋体" w:cs="Times New Roman"/>
                      <w:color w:val="auto"/>
                      <w:kern w:val="2"/>
                      <w:sz w:val="21"/>
                      <w:szCs w:val="21"/>
                      <w:highlight w:val="yellow"/>
                      <w:lang w:val="en-US" w:eastAsia="zh-CN" w:bidi="ar-SA"/>
                    </w:rPr>
                  </w:pPr>
                  <w:r>
                    <w:rPr>
                      <w:rFonts w:hint="eastAsia"/>
                    </w:rPr>
                    <w:t>41.91</w:t>
                  </w:r>
                </w:p>
              </w:tc>
              <w:tc>
                <w:tcPr>
                  <w:tcW w:w="323" w:type="pct"/>
                  <w:tcBorders>
                    <w:tl2br w:val="nil"/>
                    <w:tr2bl w:val="nil"/>
                  </w:tcBorders>
                  <w:shd w:val="clear" w:color="auto" w:fill="auto"/>
                  <w:vAlign w:val="center"/>
                </w:tcPr>
                <w:p w14:paraId="1432FC9F">
                  <w:pPr>
                    <w:spacing w:line="240" w:lineRule="exact"/>
                    <w:jc w:val="center"/>
                    <w:textAlignment w:val="baseline"/>
                    <w:rPr>
                      <w:rFonts w:ascii="Times New Roman" w:hAnsi="Times New Roman" w:eastAsia="宋体" w:cs="Times New Roman"/>
                      <w:color w:val="auto"/>
                      <w:kern w:val="2"/>
                      <w:sz w:val="21"/>
                      <w:szCs w:val="21"/>
                      <w:lang w:val="en-US" w:eastAsia="zh-CN" w:bidi="ar-SA"/>
                    </w:rPr>
                  </w:pPr>
                  <w:r>
                    <w:rPr>
                      <w:rFonts w:cs="Times New Roman"/>
                      <w:color w:val="auto"/>
                      <w:szCs w:val="21"/>
                    </w:rPr>
                    <w:t>1.0</w:t>
                  </w:r>
                </w:p>
              </w:tc>
              <w:tc>
                <w:tcPr>
                  <w:tcW w:w="679" w:type="pct"/>
                  <w:tcBorders>
                    <w:tl2br w:val="nil"/>
                    <w:tr2bl w:val="nil"/>
                  </w:tcBorders>
                  <w:shd w:val="clear" w:color="auto" w:fill="auto"/>
                  <w:vAlign w:val="center"/>
                </w:tcPr>
                <w:p w14:paraId="407FA8E3">
                  <w:pPr>
                    <w:spacing w:line="240" w:lineRule="exact"/>
                    <w:jc w:val="center"/>
                    <w:textAlignment w:val="baseline"/>
                    <w:rPr>
                      <w:rFonts w:ascii="Times New Roman" w:hAnsi="Times New Roman" w:eastAsia="宋体" w:cs="Times New Roman"/>
                      <w:color w:val="auto"/>
                      <w:kern w:val="2"/>
                      <w:sz w:val="21"/>
                      <w:szCs w:val="21"/>
                      <w:lang w:val="en-US" w:eastAsia="zh-CN" w:bidi="ar-SA"/>
                    </w:rPr>
                  </w:pPr>
                  <w:r>
                    <w:rPr>
                      <w:rFonts w:cs="Times New Roman"/>
                      <w:color w:val="auto"/>
                      <w:szCs w:val="21"/>
                    </w:rPr>
                    <w:t>/</w:t>
                  </w:r>
                </w:p>
              </w:tc>
              <w:tc>
                <w:tcPr>
                  <w:tcW w:w="490" w:type="pct"/>
                  <w:tcBorders>
                    <w:tl2br w:val="nil"/>
                    <w:tr2bl w:val="nil"/>
                  </w:tcBorders>
                  <w:shd w:val="clear" w:color="auto" w:fill="auto"/>
                  <w:vAlign w:val="center"/>
                </w:tcPr>
                <w:p w14:paraId="50EDCC89">
                  <w:pPr>
                    <w:spacing w:line="240" w:lineRule="exact"/>
                    <w:jc w:val="center"/>
                    <w:textAlignment w:val="baseline"/>
                    <w:rPr>
                      <w:rFonts w:ascii="Times New Roman" w:hAnsi="Times New Roman" w:eastAsia="宋体" w:cs="Times New Roman"/>
                      <w:color w:val="auto"/>
                      <w:kern w:val="2"/>
                      <w:sz w:val="21"/>
                      <w:szCs w:val="21"/>
                      <w:lang w:val="en-US" w:eastAsia="zh-CN" w:bidi="ar-SA"/>
                    </w:rPr>
                  </w:pPr>
                  <w:r>
                    <w:rPr>
                      <w:rFonts w:cs="Times New Roman"/>
                      <w:color w:val="auto"/>
                      <w:szCs w:val="21"/>
                    </w:rPr>
                    <w:t>70</w:t>
                  </w:r>
                </w:p>
              </w:tc>
              <w:tc>
                <w:tcPr>
                  <w:tcW w:w="690" w:type="pct"/>
                  <w:vMerge w:val="continue"/>
                  <w:tcBorders>
                    <w:tl2br w:val="nil"/>
                    <w:tr2bl w:val="nil"/>
                  </w:tcBorders>
                  <w:vAlign w:val="center"/>
                </w:tcPr>
                <w:p w14:paraId="640C4849">
                  <w:pPr>
                    <w:spacing w:line="240" w:lineRule="exact"/>
                    <w:jc w:val="center"/>
                    <w:textAlignment w:val="baseline"/>
                    <w:rPr>
                      <w:rFonts w:cs="Times New Roman"/>
                      <w:color w:val="auto"/>
                      <w:szCs w:val="21"/>
                    </w:rPr>
                  </w:pPr>
                </w:p>
              </w:tc>
              <w:tc>
                <w:tcPr>
                  <w:tcW w:w="845" w:type="pct"/>
                  <w:tcBorders>
                    <w:tl2br w:val="nil"/>
                    <w:tr2bl w:val="nil"/>
                  </w:tcBorders>
                  <w:vAlign w:val="center"/>
                </w:tcPr>
                <w:p w14:paraId="34C85645">
                  <w:pPr>
                    <w:spacing w:line="240" w:lineRule="exact"/>
                    <w:jc w:val="center"/>
                    <w:textAlignment w:val="baseline"/>
                    <w:rPr>
                      <w:rFonts w:cs="Times New Roman"/>
                      <w:color w:val="auto"/>
                      <w:szCs w:val="21"/>
                    </w:rPr>
                  </w:pPr>
                  <w:r>
                    <w:rPr>
                      <w:rFonts w:cs="Times New Roman"/>
                      <w:color w:val="auto"/>
                      <w:szCs w:val="21"/>
                    </w:rPr>
                    <w:t>昼间</w:t>
                  </w:r>
                </w:p>
              </w:tc>
            </w:tr>
          </w:tbl>
          <w:p w14:paraId="6B4BA649">
            <w:pPr>
              <w:spacing w:line="360" w:lineRule="auto"/>
              <w:ind w:firstLine="480" w:firstLineChars="200"/>
              <w:rPr>
                <w:rFonts w:cs="Times New Roman"/>
                <w:color w:val="auto"/>
                <w:sz w:val="24"/>
                <w:szCs w:val="24"/>
              </w:rPr>
            </w:pPr>
          </w:p>
        </w:tc>
      </w:tr>
    </w:tbl>
    <w:p w14:paraId="3A2ADB5F">
      <w:pPr>
        <w:spacing w:line="276" w:lineRule="auto"/>
        <w:ind w:firstLine="420" w:firstLineChars="200"/>
        <w:rPr>
          <w:rFonts w:cs="Times New Roman"/>
          <w:color w:val="auto"/>
          <w:szCs w:val="21"/>
        </w:rPr>
        <w:sectPr>
          <w:pgSz w:w="16838" w:h="11906" w:orient="landscape"/>
          <w:pgMar w:top="1134" w:right="1134" w:bottom="1418" w:left="1134" w:header="851" w:footer="992" w:gutter="0"/>
          <w:pgBorders>
            <w:top w:val="none" w:sz="0" w:space="0"/>
            <w:left w:val="none" w:sz="0" w:space="0"/>
            <w:bottom w:val="none" w:sz="0" w:space="0"/>
            <w:right w:val="none" w:sz="0" w:space="0"/>
          </w:pgBorders>
          <w:pgNumType w:fmt="numberInDash"/>
          <w:cols w:space="720" w:num="1"/>
          <w:docGrid w:type="lines" w:linePitch="312" w:charSpace="0"/>
        </w:sectPr>
      </w:pPr>
    </w:p>
    <w:tbl>
      <w:tblPr>
        <w:tblStyle w:val="2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28"/>
        <w:gridCol w:w="9042"/>
      </w:tblGrid>
      <w:tr w14:paraId="545839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8" w:type="dxa"/>
            <w:vAlign w:val="center"/>
          </w:tcPr>
          <w:p w14:paraId="0BD3093B">
            <w:pPr>
              <w:jc w:val="center"/>
              <w:rPr>
                <w:rFonts w:cs="Times New Roman"/>
                <w:color w:val="auto"/>
                <w:sz w:val="24"/>
                <w:szCs w:val="24"/>
              </w:rPr>
            </w:pPr>
            <w:r>
              <w:rPr>
                <w:rFonts w:cs="Times New Roman"/>
                <w:color w:val="auto"/>
                <w:sz w:val="24"/>
                <w:szCs w:val="24"/>
              </w:rPr>
              <w:t>运营</w:t>
            </w:r>
          </w:p>
          <w:p w14:paraId="51C1CBD3">
            <w:pPr>
              <w:jc w:val="center"/>
              <w:rPr>
                <w:rFonts w:cs="Times New Roman"/>
                <w:color w:val="auto"/>
                <w:sz w:val="24"/>
                <w:szCs w:val="24"/>
              </w:rPr>
            </w:pPr>
            <w:r>
              <w:rPr>
                <w:rFonts w:cs="Times New Roman"/>
                <w:color w:val="auto"/>
                <w:sz w:val="24"/>
                <w:szCs w:val="24"/>
              </w:rPr>
              <w:t>期环</w:t>
            </w:r>
          </w:p>
          <w:p w14:paraId="09D297E5">
            <w:pPr>
              <w:jc w:val="center"/>
              <w:rPr>
                <w:rFonts w:cs="Times New Roman"/>
                <w:color w:val="auto"/>
                <w:sz w:val="24"/>
                <w:szCs w:val="24"/>
              </w:rPr>
            </w:pPr>
            <w:r>
              <w:rPr>
                <w:rFonts w:cs="Times New Roman"/>
                <w:color w:val="auto"/>
                <w:sz w:val="24"/>
                <w:szCs w:val="24"/>
              </w:rPr>
              <w:t>境影</w:t>
            </w:r>
          </w:p>
          <w:p w14:paraId="36DBE177">
            <w:pPr>
              <w:jc w:val="center"/>
              <w:rPr>
                <w:rFonts w:cs="Times New Roman"/>
                <w:color w:val="auto"/>
                <w:sz w:val="24"/>
                <w:szCs w:val="24"/>
              </w:rPr>
            </w:pPr>
            <w:r>
              <w:rPr>
                <w:rFonts w:cs="Times New Roman"/>
                <w:color w:val="auto"/>
                <w:sz w:val="24"/>
                <w:szCs w:val="24"/>
              </w:rPr>
              <w:t>响和</w:t>
            </w:r>
          </w:p>
          <w:p w14:paraId="47690EF8">
            <w:pPr>
              <w:jc w:val="center"/>
              <w:rPr>
                <w:rFonts w:cs="Times New Roman"/>
                <w:color w:val="auto"/>
                <w:sz w:val="24"/>
                <w:szCs w:val="24"/>
              </w:rPr>
            </w:pPr>
            <w:r>
              <w:rPr>
                <w:rFonts w:cs="Times New Roman"/>
                <w:color w:val="auto"/>
                <w:sz w:val="24"/>
                <w:szCs w:val="24"/>
              </w:rPr>
              <w:t>保护</w:t>
            </w:r>
          </w:p>
          <w:p w14:paraId="1BF9BFCA">
            <w:pPr>
              <w:jc w:val="center"/>
              <w:rPr>
                <w:rFonts w:cs="Times New Roman"/>
                <w:color w:val="auto"/>
                <w:sz w:val="24"/>
                <w:szCs w:val="24"/>
              </w:rPr>
            </w:pPr>
            <w:r>
              <w:rPr>
                <w:rFonts w:cs="Times New Roman"/>
                <w:color w:val="auto"/>
                <w:sz w:val="24"/>
                <w:szCs w:val="24"/>
              </w:rPr>
              <w:t>措施</w:t>
            </w:r>
          </w:p>
        </w:tc>
        <w:tc>
          <w:tcPr>
            <w:tcW w:w="8852" w:type="dxa"/>
          </w:tcPr>
          <w:p w14:paraId="44C985BE">
            <w:pPr>
              <w:spacing w:line="360" w:lineRule="auto"/>
              <w:ind w:firstLine="482" w:firstLineChars="200"/>
              <w:rPr>
                <w:rFonts w:cs="Times New Roman"/>
                <w:b/>
                <w:color w:val="auto"/>
                <w:sz w:val="24"/>
                <w:szCs w:val="24"/>
              </w:rPr>
            </w:pPr>
            <w:r>
              <w:rPr>
                <w:rFonts w:cs="Times New Roman"/>
                <w:b/>
                <w:color w:val="auto"/>
                <w:sz w:val="24"/>
                <w:szCs w:val="24"/>
              </w:rPr>
              <w:t>（2）达标情况分析</w:t>
            </w:r>
          </w:p>
          <w:p w14:paraId="6CDF383B">
            <w:pPr>
              <w:spacing w:line="360" w:lineRule="auto"/>
              <w:ind w:firstLine="482" w:firstLineChars="200"/>
              <w:rPr>
                <w:rFonts w:cs="Times New Roman"/>
                <w:b/>
                <w:color w:val="auto"/>
                <w:sz w:val="24"/>
                <w:szCs w:val="24"/>
              </w:rPr>
            </w:pPr>
            <w:r>
              <w:rPr>
                <w:rFonts w:cs="Times New Roman"/>
                <w:b/>
                <w:color w:val="auto"/>
                <w:sz w:val="24"/>
                <w:szCs w:val="24"/>
              </w:rPr>
              <w:t>1）预测模式</w:t>
            </w:r>
          </w:p>
          <w:p w14:paraId="684B3753">
            <w:pPr>
              <w:spacing w:line="360" w:lineRule="auto"/>
              <w:ind w:firstLine="480" w:firstLineChars="200"/>
              <w:rPr>
                <w:rFonts w:cs="Times New Roman"/>
                <w:color w:val="auto"/>
                <w:sz w:val="24"/>
                <w:szCs w:val="24"/>
              </w:rPr>
            </w:pPr>
            <w:r>
              <w:rPr>
                <w:rFonts w:cs="Times New Roman"/>
                <w:color w:val="auto"/>
                <w:sz w:val="24"/>
                <w:szCs w:val="24"/>
              </w:rPr>
              <w:t>本次评价采用《环境影响评价技术导则一声环境》（HJ2.4-2021）中推荐模式进行预测，用A声级计算，模式如下：</w:t>
            </w:r>
          </w:p>
          <w:p w14:paraId="1F9CE583">
            <w:pPr>
              <w:spacing w:line="360" w:lineRule="auto"/>
              <w:ind w:firstLine="480" w:firstLineChars="200"/>
              <w:rPr>
                <w:rFonts w:cs="Times New Roman"/>
                <w:color w:val="auto"/>
                <w:sz w:val="24"/>
                <w:szCs w:val="24"/>
              </w:rPr>
            </w:pPr>
            <w:r>
              <w:rPr>
                <w:rFonts w:cs="Times New Roman"/>
                <w:color w:val="auto"/>
                <w:sz w:val="24"/>
                <w:szCs w:val="24"/>
              </w:rPr>
              <w:t>①室外声源</w:t>
            </w:r>
          </w:p>
          <w:p w14:paraId="5C6B71D8">
            <w:pPr>
              <w:spacing w:line="360" w:lineRule="auto"/>
              <w:ind w:firstLine="480" w:firstLineChars="200"/>
              <w:rPr>
                <w:rFonts w:cs="Times New Roman"/>
                <w:color w:val="auto"/>
                <w:sz w:val="24"/>
                <w:szCs w:val="24"/>
              </w:rPr>
            </w:pPr>
            <w:r>
              <w:rPr>
                <w:rFonts w:cs="Times New Roman"/>
                <w:color w:val="auto"/>
                <w:sz w:val="24"/>
                <w:szCs w:val="24"/>
              </w:rPr>
              <w:t>在预测点的声压级计算：</w:t>
            </w:r>
          </w:p>
          <w:p w14:paraId="54E55125">
            <w:pPr>
              <w:spacing w:line="360" w:lineRule="auto"/>
              <w:ind w:firstLine="480" w:firstLineChars="200"/>
              <w:jc w:val="center"/>
              <w:rPr>
                <w:rFonts w:hint="eastAsia" w:eastAsia="宋体" w:cs="Times New Roman"/>
                <w:color w:val="auto"/>
                <w:sz w:val="24"/>
                <w:szCs w:val="24"/>
                <w:lang w:eastAsia="zh-CN"/>
              </w:rPr>
            </w:pPr>
            <w:r>
              <w:rPr>
                <w:rFonts w:cs="Times New Roman"/>
                <w:color w:val="auto"/>
                <w:sz w:val="24"/>
                <w:szCs w:val="24"/>
              </w:rPr>
              <w:t>L</w:t>
            </w:r>
            <w:r>
              <w:rPr>
                <w:rFonts w:cs="Times New Roman"/>
                <w:color w:val="auto"/>
                <w:sz w:val="24"/>
                <w:szCs w:val="24"/>
                <w:vertAlign w:val="subscript"/>
              </w:rPr>
              <w:t>p</w:t>
            </w:r>
            <w:r>
              <w:rPr>
                <w:rFonts w:cs="Times New Roman"/>
                <w:color w:val="auto"/>
                <w:sz w:val="24"/>
                <w:szCs w:val="24"/>
              </w:rPr>
              <w:t>(r)＝L</w:t>
            </w:r>
            <w:r>
              <w:rPr>
                <w:rFonts w:cs="Times New Roman"/>
                <w:color w:val="auto"/>
                <w:sz w:val="24"/>
                <w:szCs w:val="24"/>
                <w:vertAlign w:val="subscript"/>
              </w:rPr>
              <w:t>w</w:t>
            </w:r>
            <w:r>
              <w:rPr>
                <w:rFonts w:cs="Times New Roman"/>
                <w:color w:val="auto"/>
                <w:sz w:val="24"/>
                <w:szCs w:val="24"/>
              </w:rPr>
              <w:t>+D</w:t>
            </w:r>
            <w:r>
              <w:rPr>
                <w:rFonts w:cs="Times New Roman"/>
                <w:color w:val="auto"/>
                <w:sz w:val="24"/>
                <w:szCs w:val="24"/>
                <w:vertAlign w:val="subscript"/>
              </w:rPr>
              <w:t>C</w:t>
            </w:r>
            <w:r>
              <w:rPr>
                <w:rFonts w:cs="Times New Roman"/>
                <w:color w:val="auto"/>
                <w:sz w:val="24"/>
                <w:szCs w:val="24"/>
              </w:rPr>
              <w:t>－</w:t>
            </w:r>
            <w:r>
              <w:rPr>
                <w:rFonts w:hint="eastAsia" w:cs="Times New Roman"/>
                <w:color w:val="auto"/>
                <w:sz w:val="24"/>
                <w:szCs w:val="24"/>
                <w:lang w:eastAsia="zh-CN"/>
              </w:rPr>
              <w:t>（</w:t>
            </w:r>
            <w:r>
              <w:rPr>
                <w:rFonts w:cs="Times New Roman"/>
                <w:color w:val="auto"/>
                <w:sz w:val="24"/>
                <w:szCs w:val="24"/>
              </w:rPr>
              <w:t>A</w:t>
            </w:r>
            <w:r>
              <w:rPr>
                <w:rFonts w:cs="Times New Roman"/>
                <w:color w:val="auto"/>
                <w:sz w:val="24"/>
                <w:szCs w:val="24"/>
                <w:vertAlign w:val="subscript"/>
              </w:rPr>
              <w:t>div</w:t>
            </w:r>
            <w:r>
              <w:rPr>
                <w:rFonts w:cs="Times New Roman"/>
                <w:color w:val="auto"/>
                <w:sz w:val="24"/>
                <w:szCs w:val="24"/>
              </w:rPr>
              <w:t>＋A</w:t>
            </w:r>
            <w:r>
              <w:rPr>
                <w:rFonts w:cs="Times New Roman"/>
                <w:color w:val="auto"/>
                <w:sz w:val="24"/>
                <w:szCs w:val="24"/>
                <w:vertAlign w:val="subscript"/>
              </w:rPr>
              <w:t>atm</w:t>
            </w:r>
            <w:r>
              <w:rPr>
                <w:rFonts w:cs="Times New Roman"/>
                <w:color w:val="auto"/>
                <w:sz w:val="24"/>
                <w:szCs w:val="24"/>
              </w:rPr>
              <w:t>＋A</w:t>
            </w:r>
            <w:r>
              <w:rPr>
                <w:rFonts w:cs="Times New Roman"/>
                <w:color w:val="auto"/>
                <w:sz w:val="24"/>
                <w:szCs w:val="24"/>
                <w:vertAlign w:val="subscript"/>
              </w:rPr>
              <w:t>gr</w:t>
            </w:r>
            <w:r>
              <w:rPr>
                <w:rFonts w:cs="Times New Roman"/>
                <w:color w:val="auto"/>
                <w:sz w:val="24"/>
                <w:szCs w:val="24"/>
              </w:rPr>
              <w:t>＋A</w:t>
            </w:r>
            <w:r>
              <w:rPr>
                <w:rFonts w:cs="Times New Roman"/>
                <w:color w:val="auto"/>
                <w:sz w:val="24"/>
                <w:szCs w:val="24"/>
                <w:vertAlign w:val="subscript"/>
              </w:rPr>
              <w:t>bar</w:t>
            </w:r>
            <w:r>
              <w:rPr>
                <w:rFonts w:cs="Times New Roman"/>
                <w:color w:val="auto"/>
                <w:sz w:val="24"/>
                <w:szCs w:val="24"/>
              </w:rPr>
              <w:t>＋A</w:t>
            </w:r>
            <w:r>
              <w:rPr>
                <w:rFonts w:cs="Times New Roman"/>
                <w:color w:val="auto"/>
                <w:sz w:val="24"/>
                <w:szCs w:val="24"/>
                <w:vertAlign w:val="subscript"/>
              </w:rPr>
              <w:t>misc</w:t>
            </w:r>
            <w:r>
              <w:rPr>
                <w:rFonts w:hint="eastAsia" w:cs="Times New Roman"/>
                <w:color w:val="auto"/>
                <w:sz w:val="24"/>
                <w:szCs w:val="24"/>
                <w:lang w:eastAsia="zh-CN"/>
              </w:rPr>
              <w:t>）</w:t>
            </w:r>
          </w:p>
          <w:p w14:paraId="6278F1DD">
            <w:pPr>
              <w:spacing w:line="360" w:lineRule="auto"/>
              <w:ind w:firstLine="480" w:firstLineChars="200"/>
              <w:rPr>
                <w:rFonts w:cs="Times New Roman"/>
                <w:color w:val="auto"/>
                <w:sz w:val="24"/>
                <w:szCs w:val="24"/>
              </w:rPr>
            </w:pPr>
            <w:r>
              <w:rPr>
                <w:rFonts w:cs="Times New Roman"/>
                <w:color w:val="auto"/>
                <w:sz w:val="24"/>
                <w:szCs w:val="24"/>
              </w:rPr>
              <w:t>式中：L</w:t>
            </w:r>
            <w:r>
              <w:rPr>
                <w:rFonts w:cs="Times New Roman"/>
                <w:color w:val="auto"/>
                <w:sz w:val="24"/>
                <w:szCs w:val="24"/>
                <w:vertAlign w:val="subscript"/>
              </w:rPr>
              <w:t>p</w:t>
            </w:r>
            <w:r>
              <w:rPr>
                <w:rFonts w:cs="Times New Roman"/>
                <w:color w:val="auto"/>
                <w:sz w:val="24"/>
                <w:szCs w:val="24"/>
              </w:rPr>
              <w:t>(r)——预测点处声压级，dB；</w:t>
            </w:r>
          </w:p>
          <w:p w14:paraId="77B5AEAB">
            <w:pPr>
              <w:spacing w:line="360" w:lineRule="auto"/>
              <w:ind w:firstLine="480" w:firstLineChars="200"/>
              <w:rPr>
                <w:rFonts w:cs="Times New Roman"/>
                <w:color w:val="auto"/>
                <w:sz w:val="24"/>
                <w:szCs w:val="24"/>
              </w:rPr>
            </w:pPr>
            <w:r>
              <w:rPr>
                <w:rFonts w:cs="Times New Roman"/>
                <w:color w:val="auto"/>
                <w:sz w:val="24"/>
                <w:szCs w:val="24"/>
              </w:rPr>
              <w:t>L</w:t>
            </w:r>
            <w:r>
              <w:rPr>
                <w:rFonts w:cs="Times New Roman"/>
                <w:color w:val="auto"/>
                <w:sz w:val="24"/>
                <w:szCs w:val="24"/>
                <w:vertAlign w:val="subscript"/>
              </w:rPr>
              <w:t>w</w:t>
            </w:r>
            <w:r>
              <w:rPr>
                <w:rFonts w:cs="Times New Roman"/>
                <w:color w:val="auto"/>
                <w:sz w:val="24"/>
                <w:szCs w:val="24"/>
              </w:rPr>
              <w:t>——由点声源产生的声功率级（A计权或倍频带），dB；</w:t>
            </w:r>
          </w:p>
          <w:p w14:paraId="023C56D4">
            <w:pPr>
              <w:spacing w:line="360" w:lineRule="auto"/>
              <w:ind w:firstLine="480" w:firstLineChars="200"/>
              <w:rPr>
                <w:rFonts w:cs="Times New Roman"/>
                <w:color w:val="auto"/>
                <w:sz w:val="24"/>
                <w:szCs w:val="24"/>
              </w:rPr>
            </w:pPr>
            <w:r>
              <w:rPr>
                <w:rFonts w:cs="Times New Roman"/>
                <w:color w:val="auto"/>
                <w:sz w:val="24"/>
                <w:szCs w:val="24"/>
              </w:rPr>
              <w:t>D</w:t>
            </w:r>
            <w:r>
              <w:rPr>
                <w:rFonts w:cs="Times New Roman"/>
                <w:color w:val="auto"/>
                <w:sz w:val="24"/>
                <w:szCs w:val="24"/>
                <w:vertAlign w:val="subscript"/>
              </w:rPr>
              <w:t>C</w:t>
            </w:r>
            <w:r>
              <w:rPr>
                <w:rFonts w:cs="Times New Roman"/>
                <w:color w:val="auto"/>
                <w:sz w:val="24"/>
                <w:szCs w:val="24"/>
              </w:rPr>
              <w:t>——指向性校正，它描述点声源的等效连续声压级与产生声功率级L</w:t>
            </w:r>
            <w:r>
              <w:rPr>
                <w:rFonts w:cs="Times New Roman"/>
                <w:color w:val="auto"/>
                <w:sz w:val="24"/>
                <w:szCs w:val="24"/>
                <w:vertAlign w:val="subscript"/>
              </w:rPr>
              <w:t>w</w:t>
            </w:r>
            <w:r>
              <w:rPr>
                <w:rFonts w:cs="Times New Roman"/>
                <w:color w:val="auto"/>
                <w:sz w:val="24"/>
                <w:szCs w:val="24"/>
              </w:rPr>
              <w:t>的全向点声源在规定方向的声级的偏差程度，dB；</w:t>
            </w:r>
          </w:p>
          <w:p w14:paraId="04B4BC31">
            <w:pPr>
              <w:spacing w:line="360" w:lineRule="auto"/>
              <w:ind w:firstLine="480" w:firstLineChars="200"/>
              <w:rPr>
                <w:rFonts w:cs="Times New Roman"/>
                <w:color w:val="auto"/>
                <w:sz w:val="24"/>
                <w:szCs w:val="24"/>
              </w:rPr>
            </w:pPr>
            <w:r>
              <w:rPr>
                <w:rFonts w:cs="Times New Roman"/>
                <w:color w:val="auto"/>
                <w:sz w:val="24"/>
                <w:szCs w:val="24"/>
              </w:rPr>
              <w:t>A</w:t>
            </w:r>
            <w:r>
              <w:rPr>
                <w:rFonts w:cs="Times New Roman"/>
                <w:color w:val="auto"/>
                <w:sz w:val="24"/>
                <w:szCs w:val="24"/>
                <w:vertAlign w:val="subscript"/>
              </w:rPr>
              <w:t>div</w:t>
            </w:r>
            <w:r>
              <w:rPr>
                <w:rFonts w:cs="Times New Roman"/>
                <w:color w:val="auto"/>
                <w:sz w:val="24"/>
                <w:szCs w:val="24"/>
              </w:rPr>
              <w:t>——几何发散引起的衰减，dB；</w:t>
            </w:r>
          </w:p>
          <w:p w14:paraId="5E51EB53">
            <w:pPr>
              <w:spacing w:line="360" w:lineRule="auto"/>
              <w:ind w:firstLine="480" w:firstLineChars="200"/>
              <w:rPr>
                <w:rFonts w:cs="Times New Roman"/>
                <w:color w:val="auto"/>
                <w:sz w:val="24"/>
                <w:szCs w:val="24"/>
              </w:rPr>
            </w:pPr>
            <w:r>
              <w:rPr>
                <w:rFonts w:cs="Times New Roman"/>
                <w:color w:val="auto"/>
                <w:sz w:val="24"/>
                <w:szCs w:val="24"/>
              </w:rPr>
              <w:t>A</w:t>
            </w:r>
            <w:r>
              <w:rPr>
                <w:rFonts w:cs="Times New Roman"/>
                <w:color w:val="auto"/>
                <w:sz w:val="24"/>
                <w:szCs w:val="24"/>
                <w:vertAlign w:val="subscript"/>
              </w:rPr>
              <w:t>atm</w:t>
            </w:r>
            <w:r>
              <w:rPr>
                <w:rFonts w:cs="Times New Roman"/>
                <w:color w:val="auto"/>
                <w:sz w:val="24"/>
                <w:szCs w:val="24"/>
              </w:rPr>
              <w:t>——大气吸收引起的衰减，dB；</w:t>
            </w:r>
          </w:p>
          <w:p w14:paraId="224CEEF3">
            <w:pPr>
              <w:spacing w:line="360" w:lineRule="auto"/>
              <w:ind w:firstLine="480" w:firstLineChars="200"/>
              <w:rPr>
                <w:rFonts w:cs="Times New Roman"/>
                <w:color w:val="auto"/>
                <w:sz w:val="24"/>
                <w:szCs w:val="24"/>
              </w:rPr>
            </w:pPr>
            <w:r>
              <w:rPr>
                <w:rFonts w:cs="Times New Roman"/>
                <w:color w:val="auto"/>
                <w:sz w:val="24"/>
                <w:szCs w:val="24"/>
              </w:rPr>
              <w:t>A</w:t>
            </w:r>
            <w:r>
              <w:rPr>
                <w:rFonts w:cs="Times New Roman"/>
                <w:color w:val="auto"/>
                <w:sz w:val="24"/>
                <w:szCs w:val="24"/>
                <w:vertAlign w:val="subscript"/>
              </w:rPr>
              <w:t>gr</w:t>
            </w:r>
            <w:r>
              <w:rPr>
                <w:rFonts w:cs="Times New Roman"/>
                <w:color w:val="auto"/>
                <w:sz w:val="24"/>
                <w:szCs w:val="24"/>
              </w:rPr>
              <w:t>——地面效应引起的衰减，dB；</w:t>
            </w:r>
          </w:p>
          <w:p w14:paraId="38D9324F">
            <w:pPr>
              <w:spacing w:line="360" w:lineRule="auto"/>
              <w:ind w:firstLine="480" w:firstLineChars="200"/>
              <w:rPr>
                <w:rFonts w:cs="Times New Roman"/>
                <w:color w:val="auto"/>
                <w:sz w:val="24"/>
                <w:szCs w:val="24"/>
              </w:rPr>
            </w:pPr>
            <w:r>
              <w:rPr>
                <w:rFonts w:cs="Times New Roman"/>
                <w:color w:val="auto"/>
                <w:sz w:val="24"/>
                <w:szCs w:val="24"/>
              </w:rPr>
              <w:t>A</w:t>
            </w:r>
            <w:r>
              <w:rPr>
                <w:rFonts w:cs="Times New Roman"/>
                <w:color w:val="auto"/>
                <w:sz w:val="24"/>
                <w:szCs w:val="24"/>
                <w:vertAlign w:val="subscript"/>
              </w:rPr>
              <w:t>bar</w:t>
            </w:r>
            <w:r>
              <w:rPr>
                <w:rFonts w:cs="Times New Roman"/>
                <w:color w:val="auto"/>
                <w:sz w:val="24"/>
                <w:szCs w:val="24"/>
              </w:rPr>
              <w:t>——障碍物屏蔽引起的衰减，dB；</w:t>
            </w:r>
          </w:p>
          <w:p w14:paraId="00350A34">
            <w:pPr>
              <w:spacing w:line="360" w:lineRule="auto"/>
              <w:ind w:firstLine="480" w:firstLineChars="200"/>
              <w:rPr>
                <w:rFonts w:cs="Times New Roman"/>
                <w:color w:val="auto"/>
                <w:sz w:val="24"/>
                <w:szCs w:val="24"/>
              </w:rPr>
            </w:pPr>
            <w:r>
              <w:rPr>
                <w:rFonts w:cs="Times New Roman"/>
                <w:color w:val="auto"/>
                <w:sz w:val="24"/>
                <w:szCs w:val="24"/>
              </w:rPr>
              <w:t>A</w:t>
            </w:r>
            <w:r>
              <w:rPr>
                <w:rFonts w:cs="Times New Roman"/>
                <w:color w:val="auto"/>
                <w:sz w:val="24"/>
                <w:szCs w:val="24"/>
                <w:vertAlign w:val="subscript"/>
              </w:rPr>
              <w:t>misc</w:t>
            </w:r>
            <w:r>
              <w:rPr>
                <w:rFonts w:cs="Times New Roman"/>
                <w:color w:val="auto"/>
                <w:sz w:val="24"/>
                <w:szCs w:val="24"/>
              </w:rPr>
              <w:t>——其他多方面效应引起的衰减，dB。</w:t>
            </w:r>
          </w:p>
          <w:p w14:paraId="34A2591C">
            <w:pPr>
              <w:spacing w:line="360" w:lineRule="auto"/>
              <w:ind w:firstLine="480" w:firstLineChars="200"/>
              <w:rPr>
                <w:rFonts w:cs="Times New Roman"/>
                <w:color w:val="auto"/>
                <w:sz w:val="24"/>
                <w:szCs w:val="24"/>
              </w:rPr>
            </w:pPr>
            <w:r>
              <w:rPr>
                <w:rFonts w:cs="Times New Roman"/>
                <w:color w:val="auto"/>
                <w:sz w:val="24"/>
                <w:szCs w:val="24"/>
              </w:rPr>
              <w:t>②室内声源在预测点的声压级计算：</w:t>
            </w:r>
          </w:p>
          <w:p w14:paraId="3D5831B3">
            <w:pPr>
              <w:spacing w:line="360" w:lineRule="auto"/>
              <w:ind w:firstLine="480" w:firstLineChars="200"/>
              <w:rPr>
                <w:rFonts w:cs="Times New Roman"/>
                <w:color w:val="auto"/>
                <w:sz w:val="24"/>
                <w:szCs w:val="24"/>
              </w:rPr>
            </w:pPr>
            <w:r>
              <w:rPr>
                <w:rFonts w:cs="Times New Roman"/>
                <w:color w:val="auto"/>
                <w:sz w:val="24"/>
                <w:szCs w:val="24"/>
              </w:rPr>
              <w:t>（一）首先计算某个室内声源在靠近围护结构处的声压级：</w:t>
            </w:r>
          </w:p>
          <w:p w14:paraId="673C8D8A">
            <w:pPr>
              <w:spacing w:line="360" w:lineRule="auto"/>
              <w:ind w:firstLine="480" w:firstLineChars="200"/>
              <w:jc w:val="center"/>
              <w:rPr>
                <w:rFonts w:cs="Times New Roman"/>
                <w:color w:val="auto"/>
                <w:sz w:val="24"/>
                <w:szCs w:val="24"/>
              </w:rPr>
            </w:pPr>
            <w:r>
              <w:rPr>
                <w:rFonts w:cs="Times New Roman"/>
                <w:color w:val="auto"/>
                <w:sz w:val="24"/>
                <w:szCs w:val="24"/>
              </w:rPr>
              <w:drawing>
                <wp:inline distT="0" distB="0" distL="114300" distR="114300">
                  <wp:extent cx="2461895" cy="578485"/>
                  <wp:effectExtent l="0" t="0" r="14605" b="12065"/>
                  <wp:docPr id="29"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70"/>
                          <pic:cNvPicPr>
                            <a:picLocks noChangeAspect="1"/>
                          </pic:cNvPicPr>
                        </pic:nvPicPr>
                        <pic:blipFill>
                          <a:blip r:embed="rId19"/>
                          <a:stretch>
                            <a:fillRect/>
                          </a:stretch>
                        </pic:blipFill>
                        <pic:spPr>
                          <a:xfrm>
                            <a:off x="0" y="0"/>
                            <a:ext cx="2461895" cy="578485"/>
                          </a:xfrm>
                          <a:prstGeom prst="rect">
                            <a:avLst/>
                          </a:prstGeom>
                          <a:noFill/>
                          <a:ln>
                            <a:noFill/>
                          </a:ln>
                        </pic:spPr>
                      </pic:pic>
                    </a:graphicData>
                  </a:graphic>
                </wp:inline>
              </w:drawing>
            </w:r>
          </w:p>
          <w:p w14:paraId="246BFC10">
            <w:pPr>
              <w:spacing w:line="360" w:lineRule="auto"/>
              <w:ind w:firstLine="480" w:firstLineChars="200"/>
              <w:rPr>
                <w:rFonts w:cs="Times New Roman"/>
                <w:color w:val="auto"/>
                <w:sz w:val="24"/>
                <w:szCs w:val="24"/>
              </w:rPr>
            </w:pPr>
            <w:r>
              <w:rPr>
                <w:rFonts w:cs="Times New Roman"/>
                <w:color w:val="auto"/>
                <w:sz w:val="24"/>
                <w:szCs w:val="24"/>
              </w:rPr>
              <w:t>式中：L</w:t>
            </w:r>
            <w:r>
              <w:rPr>
                <w:rFonts w:cs="Times New Roman"/>
                <w:color w:val="auto"/>
                <w:sz w:val="24"/>
                <w:szCs w:val="24"/>
                <w:vertAlign w:val="subscript"/>
              </w:rPr>
              <w:t>p1</w:t>
            </w:r>
            <w:r>
              <w:rPr>
                <w:rFonts w:cs="Times New Roman"/>
                <w:color w:val="auto"/>
                <w:sz w:val="24"/>
                <w:szCs w:val="24"/>
              </w:rPr>
              <w:t>——靠近开口处（或窗户）室内某倍频带的声压级或A声级，dB；</w:t>
            </w:r>
          </w:p>
          <w:p w14:paraId="7ADC6F2B">
            <w:pPr>
              <w:spacing w:line="360" w:lineRule="auto"/>
              <w:ind w:firstLine="480" w:firstLineChars="200"/>
              <w:rPr>
                <w:rFonts w:cs="Times New Roman"/>
                <w:color w:val="auto"/>
                <w:sz w:val="24"/>
                <w:szCs w:val="24"/>
              </w:rPr>
            </w:pPr>
            <w:r>
              <w:rPr>
                <w:rFonts w:cs="Times New Roman"/>
                <w:color w:val="auto"/>
                <w:sz w:val="24"/>
                <w:szCs w:val="24"/>
              </w:rPr>
              <w:t>Lw——点声源声功率级（A计权或倍频带），dB；</w:t>
            </w:r>
          </w:p>
          <w:p w14:paraId="6D379167">
            <w:pPr>
              <w:spacing w:line="360" w:lineRule="auto"/>
              <w:ind w:firstLine="480" w:firstLineChars="200"/>
              <w:rPr>
                <w:rFonts w:cs="Times New Roman"/>
                <w:color w:val="auto"/>
                <w:sz w:val="24"/>
                <w:szCs w:val="24"/>
              </w:rPr>
            </w:pPr>
            <w:r>
              <w:rPr>
                <w:rFonts w:cs="Times New Roman"/>
                <w:color w:val="auto"/>
                <w:sz w:val="24"/>
                <w:szCs w:val="24"/>
              </w:rPr>
              <w:t>Q——指向性因数；通常对无指向性声源，当声源放在房间中心时，Q=1；当放在一面墙的中心时，Q=2；当放在两面墙夹角处时，Q=4；当放在三面墙夹角处时，Q=8；</w:t>
            </w:r>
          </w:p>
          <w:p w14:paraId="12BE4083">
            <w:pPr>
              <w:spacing w:line="360" w:lineRule="auto"/>
              <w:ind w:firstLine="480" w:firstLineChars="200"/>
              <w:rPr>
                <w:rFonts w:cs="Times New Roman"/>
                <w:color w:val="auto"/>
                <w:sz w:val="24"/>
                <w:szCs w:val="24"/>
              </w:rPr>
            </w:pPr>
            <w:r>
              <w:rPr>
                <w:rFonts w:cs="Times New Roman"/>
                <w:color w:val="auto"/>
                <w:sz w:val="24"/>
                <w:szCs w:val="24"/>
              </w:rPr>
              <w:t>R——房间常数；R=Sα/（1-α），S为房间内表面面积，m</w:t>
            </w:r>
            <w:r>
              <w:rPr>
                <w:rFonts w:cs="Times New Roman"/>
                <w:color w:val="auto"/>
                <w:sz w:val="24"/>
                <w:szCs w:val="24"/>
                <w:vertAlign w:val="superscript"/>
              </w:rPr>
              <w:t>2</w:t>
            </w:r>
            <w:r>
              <w:rPr>
                <w:rFonts w:cs="Times New Roman"/>
                <w:color w:val="auto"/>
                <w:sz w:val="24"/>
                <w:szCs w:val="24"/>
              </w:rPr>
              <w:t>；α为平均吸声系数；</w:t>
            </w:r>
          </w:p>
          <w:p w14:paraId="3967FC25">
            <w:pPr>
              <w:spacing w:line="360" w:lineRule="auto"/>
              <w:ind w:firstLine="480" w:firstLineChars="200"/>
              <w:rPr>
                <w:rFonts w:cs="Times New Roman"/>
                <w:color w:val="auto"/>
                <w:sz w:val="24"/>
                <w:szCs w:val="24"/>
              </w:rPr>
            </w:pPr>
            <w:r>
              <w:rPr>
                <w:rFonts w:cs="Times New Roman"/>
                <w:color w:val="auto"/>
                <w:sz w:val="24"/>
                <w:szCs w:val="24"/>
              </w:rPr>
              <w:t>r——声源到靠近围护结构某点处的距离，m。</w:t>
            </w:r>
          </w:p>
          <w:p w14:paraId="2F760BA2">
            <w:pPr>
              <w:spacing w:line="360" w:lineRule="auto"/>
              <w:ind w:firstLine="480" w:firstLineChars="200"/>
              <w:rPr>
                <w:rFonts w:cs="Times New Roman"/>
                <w:color w:val="auto"/>
                <w:sz w:val="24"/>
                <w:szCs w:val="24"/>
              </w:rPr>
            </w:pPr>
            <w:r>
              <w:rPr>
                <w:rFonts w:cs="Times New Roman"/>
                <w:color w:val="auto"/>
                <w:sz w:val="24"/>
                <w:szCs w:val="24"/>
              </w:rPr>
              <w:t>（二）然后计算出所有室内声源在围护结构处产生的i倍频带叠加声压级：</w:t>
            </w:r>
          </w:p>
          <w:p w14:paraId="1AFBFECB">
            <w:pPr>
              <w:pStyle w:val="35"/>
              <w:spacing w:line="360" w:lineRule="auto"/>
              <w:jc w:val="center"/>
              <w:rPr>
                <w:rFonts w:ascii="Times New Roman" w:cs="Times New Roman"/>
                <w:color w:val="auto"/>
              </w:rPr>
            </w:pPr>
            <w:r>
              <w:rPr>
                <w:rFonts w:ascii="Times New Roman" w:cs="Times New Roman"/>
                <w:color w:val="auto"/>
              </w:rPr>
              <w:drawing>
                <wp:inline distT="0" distB="0" distL="114300" distR="114300">
                  <wp:extent cx="2379980" cy="617855"/>
                  <wp:effectExtent l="0" t="0" r="1270" b="10795"/>
                  <wp:docPr id="30"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71"/>
                          <pic:cNvPicPr>
                            <a:picLocks noChangeAspect="1"/>
                          </pic:cNvPicPr>
                        </pic:nvPicPr>
                        <pic:blipFill>
                          <a:blip r:embed="rId20"/>
                          <a:stretch>
                            <a:fillRect/>
                          </a:stretch>
                        </pic:blipFill>
                        <pic:spPr>
                          <a:xfrm>
                            <a:off x="0" y="0"/>
                            <a:ext cx="2379980" cy="617855"/>
                          </a:xfrm>
                          <a:prstGeom prst="rect">
                            <a:avLst/>
                          </a:prstGeom>
                          <a:noFill/>
                          <a:ln>
                            <a:noFill/>
                          </a:ln>
                        </pic:spPr>
                      </pic:pic>
                    </a:graphicData>
                  </a:graphic>
                </wp:inline>
              </w:drawing>
            </w:r>
          </w:p>
          <w:p w14:paraId="1F4E8F94">
            <w:pPr>
              <w:spacing w:line="360" w:lineRule="auto"/>
              <w:ind w:firstLine="480" w:firstLineChars="200"/>
              <w:rPr>
                <w:rFonts w:cs="Times New Roman"/>
                <w:color w:val="auto"/>
                <w:sz w:val="24"/>
                <w:szCs w:val="24"/>
              </w:rPr>
            </w:pPr>
            <w:r>
              <w:rPr>
                <w:rFonts w:cs="Times New Roman"/>
                <w:color w:val="auto"/>
                <w:sz w:val="24"/>
                <w:szCs w:val="24"/>
              </w:rPr>
              <w:t>式中：</w:t>
            </w:r>
          </w:p>
          <w:p w14:paraId="1BA9899C">
            <w:pPr>
              <w:spacing w:line="360" w:lineRule="auto"/>
              <w:ind w:firstLine="480" w:firstLineChars="200"/>
              <w:rPr>
                <w:rFonts w:cs="Times New Roman"/>
                <w:color w:val="auto"/>
                <w:sz w:val="24"/>
                <w:szCs w:val="24"/>
              </w:rPr>
            </w:pPr>
            <w:r>
              <w:rPr>
                <w:rFonts w:cs="Times New Roman"/>
                <w:color w:val="auto"/>
                <w:sz w:val="24"/>
                <w:szCs w:val="24"/>
              </w:rPr>
              <w:t>L</w:t>
            </w:r>
            <w:r>
              <w:rPr>
                <w:rFonts w:cs="Times New Roman"/>
                <w:color w:val="auto"/>
                <w:sz w:val="24"/>
                <w:szCs w:val="24"/>
                <w:vertAlign w:val="subscript"/>
              </w:rPr>
              <w:t>pli（T）</w:t>
            </w:r>
            <w:r>
              <w:rPr>
                <w:rFonts w:cs="Times New Roman"/>
                <w:color w:val="auto"/>
                <w:sz w:val="24"/>
                <w:szCs w:val="24"/>
              </w:rPr>
              <w:t>——靠近围护结构处室内N个声源i倍频带的叠加声压级，dB；</w:t>
            </w:r>
          </w:p>
          <w:p w14:paraId="41DB127E">
            <w:pPr>
              <w:spacing w:line="360" w:lineRule="auto"/>
              <w:ind w:firstLine="480" w:firstLineChars="200"/>
              <w:rPr>
                <w:rFonts w:cs="Times New Roman"/>
                <w:color w:val="auto"/>
                <w:sz w:val="24"/>
                <w:szCs w:val="24"/>
              </w:rPr>
            </w:pPr>
            <w:r>
              <w:rPr>
                <w:rFonts w:cs="Times New Roman"/>
                <w:color w:val="auto"/>
                <w:sz w:val="24"/>
                <w:szCs w:val="24"/>
              </w:rPr>
              <w:t>L</w:t>
            </w:r>
            <w:r>
              <w:rPr>
                <w:rFonts w:cs="Times New Roman"/>
                <w:color w:val="auto"/>
                <w:sz w:val="24"/>
                <w:szCs w:val="24"/>
                <w:vertAlign w:val="subscript"/>
              </w:rPr>
              <w:t>pli</w:t>
            </w:r>
            <w:r>
              <w:rPr>
                <w:rFonts w:cs="Times New Roman"/>
                <w:color w:val="auto"/>
                <w:sz w:val="24"/>
                <w:szCs w:val="24"/>
              </w:rPr>
              <w:t>——室内j声源i倍频带的声压级，dB；</w:t>
            </w:r>
          </w:p>
          <w:p w14:paraId="0BDAA2FD">
            <w:pPr>
              <w:spacing w:line="360" w:lineRule="auto"/>
              <w:ind w:firstLine="480" w:firstLineChars="200"/>
              <w:rPr>
                <w:rFonts w:cs="Times New Roman"/>
                <w:color w:val="auto"/>
                <w:sz w:val="24"/>
                <w:szCs w:val="24"/>
              </w:rPr>
            </w:pPr>
            <w:r>
              <w:rPr>
                <w:rFonts w:cs="Times New Roman"/>
                <w:color w:val="auto"/>
                <w:sz w:val="24"/>
                <w:szCs w:val="24"/>
              </w:rPr>
              <w:t>N——室内声源总数。</w:t>
            </w:r>
          </w:p>
          <w:p w14:paraId="170B6D73">
            <w:pPr>
              <w:spacing w:line="360" w:lineRule="auto"/>
              <w:ind w:firstLine="480" w:firstLineChars="200"/>
              <w:rPr>
                <w:rFonts w:cs="Times New Roman"/>
                <w:color w:val="auto"/>
                <w:sz w:val="24"/>
                <w:szCs w:val="24"/>
              </w:rPr>
            </w:pPr>
            <w:r>
              <w:rPr>
                <w:rFonts w:cs="Times New Roman"/>
                <w:color w:val="auto"/>
                <w:sz w:val="24"/>
                <w:szCs w:val="24"/>
              </w:rPr>
              <w:t>（三）计算出室外靠近围护结构处的声压级：</w:t>
            </w:r>
          </w:p>
          <w:p w14:paraId="30F86E39">
            <w:pPr>
              <w:spacing w:line="360" w:lineRule="auto"/>
              <w:ind w:firstLine="480" w:firstLineChars="200"/>
              <w:jc w:val="center"/>
              <w:rPr>
                <w:rFonts w:cs="Times New Roman"/>
                <w:color w:val="auto"/>
                <w:sz w:val="24"/>
                <w:szCs w:val="24"/>
              </w:rPr>
            </w:pPr>
            <w:r>
              <w:rPr>
                <w:rFonts w:cs="Times New Roman"/>
                <w:color w:val="auto"/>
                <w:sz w:val="24"/>
                <w:szCs w:val="24"/>
              </w:rPr>
              <w:t>L</w:t>
            </w:r>
            <w:r>
              <w:rPr>
                <w:rFonts w:cs="Times New Roman"/>
                <w:color w:val="auto"/>
                <w:sz w:val="24"/>
                <w:szCs w:val="24"/>
                <w:vertAlign w:val="subscript"/>
              </w:rPr>
              <w:t>p2i</w:t>
            </w:r>
            <w:r>
              <w:rPr>
                <w:rFonts w:hint="eastAsia" w:cs="Times New Roman"/>
                <w:color w:val="auto"/>
                <w:sz w:val="24"/>
                <w:szCs w:val="24"/>
                <w:lang w:eastAsia="zh-CN"/>
              </w:rPr>
              <w:t>（</w:t>
            </w:r>
            <w:r>
              <w:rPr>
                <w:rFonts w:cs="Times New Roman"/>
                <w:color w:val="auto"/>
                <w:sz w:val="24"/>
                <w:szCs w:val="24"/>
              </w:rPr>
              <w:t>T）=L</w:t>
            </w:r>
            <w:r>
              <w:rPr>
                <w:rFonts w:cs="Times New Roman"/>
                <w:color w:val="auto"/>
                <w:sz w:val="24"/>
                <w:szCs w:val="24"/>
                <w:vertAlign w:val="subscript"/>
              </w:rPr>
              <w:t>pli</w:t>
            </w:r>
            <w:r>
              <w:rPr>
                <w:rFonts w:hint="eastAsia" w:cs="Times New Roman"/>
                <w:color w:val="auto"/>
                <w:sz w:val="24"/>
                <w:szCs w:val="24"/>
                <w:lang w:eastAsia="zh-CN"/>
              </w:rPr>
              <w:t>（</w:t>
            </w:r>
            <w:r>
              <w:rPr>
                <w:rFonts w:cs="Times New Roman"/>
                <w:color w:val="auto"/>
                <w:sz w:val="24"/>
                <w:szCs w:val="24"/>
              </w:rPr>
              <w:t>T）-</w:t>
            </w:r>
            <w:r>
              <w:rPr>
                <w:rFonts w:hint="eastAsia" w:cs="Times New Roman"/>
                <w:color w:val="auto"/>
                <w:sz w:val="24"/>
                <w:szCs w:val="24"/>
                <w:lang w:eastAsia="zh-CN"/>
              </w:rPr>
              <w:t>（</w:t>
            </w:r>
            <w:r>
              <w:rPr>
                <w:rFonts w:cs="Times New Roman"/>
                <w:color w:val="auto"/>
                <w:sz w:val="24"/>
                <w:szCs w:val="24"/>
              </w:rPr>
              <w:t>TL</w:t>
            </w:r>
            <w:r>
              <w:rPr>
                <w:rFonts w:cs="Times New Roman"/>
                <w:color w:val="auto"/>
                <w:sz w:val="24"/>
                <w:szCs w:val="24"/>
                <w:vertAlign w:val="subscript"/>
              </w:rPr>
              <w:t>i</w:t>
            </w:r>
            <w:r>
              <w:rPr>
                <w:rFonts w:cs="Times New Roman"/>
                <w:color w:val="auto"/>
                <w:sz w:val="24"/>
                <w:szCs w:val="24"/>
              </w:rPr>
              <w:t>+6）</w:t>
            </w:r>
          </w:p>
          <w:p w14:paraId="2E4E9C4E">
            <w:pPr>
              <w:spacing w:line="360" w:lineRule="auto"/>
              <w:ind w:firstLine="480" w:firstLineChars="200"/>
              <w:rPr>
                <w:rFonts w:cs="Times New Roman"/>
                <w:color w:val="auto"/>
                <w:sz w:val="24"/>
                <w:szCs w:val="24"/>
              </w:rPr>
            </w:pPr>
            <w:r>
              <w:rPr>
                <w:rFonts w:cs="Times New Roman"/>
                <w:color w:val="auto"/>
                <w:sz w:val="24"/>
                <w:szCs w:val="24"/>
              </w:rPr>
              <w:t>式中：</w:t>
            </w:r>
          </w:p>
          <w:p w14:paraId="4994F72C">
            <w:pPr>
              <w:spacing w:line="360" w:lineRule="auto"/>
              <w:ind w:firstLine="480" w:firstLineChars="200"/>
              <w:rPr>
                <w:rFonts w:cs="Times New Roman"/>
                <w:color w:val="auto"/>
                <w:sz w:val="24"/>
                <w:szCs w:val="24"/>
              </w:rPr>
            </w:pPr>
            <w:r>
              <w:rPr>
                <w:rFonts w:cs="Times New Roman"/>
                <w:color w:val="auto"/>
                <w:sz w:val="24"/>
                <w:szCs w:val="24"/>
              </w:rPr>
              <w:t>L</w:t>
            </w:r>
            <w:r>
              <w:rPr>
                <w:rFonts w:cs="Times New Roman"/>
                <w:color w:val="auto"/>
                <w:sz w:val="24"/>
                <w:szCs w:val="24"/>
                <w:vertAlign w:val="subscript"/>
              </w:rPr>
              <w:t>p2i</w:t>
            </w:r>
            <w:r>
              <w:rPr>
                <w:rFonts w:cs="Times New Roman"/>
                <w:color w:val="auto"/>
                <w:sz w:val="24"/>
                <w:szCs w:val="24"/>
              </w:rPr>
              <w:t>（T）——靠近围护结构处室外N个声源i倍频带的叠加声压级，dB；</w:t>
            </w:r>
          </w:p>
          <w:p w14:paraId="20F4AA66">
            <w:pPr>
              <w:spacing w:line="360" w:lineRule="auto"/>
              <w:ind w:firstLine="480" w:firstLineChars="200"/>
              <w:rPr>
                <w:rFonts w:cs="Times New Roman"/>
                <w:color w:val="auto"/>
                <w:sz w:val="24"/>
                <w:szCs w:val="24"/>
              </w:rPr>
            </w:pPr>
            <w:r>
              <w:rPr>
                <w:rFonts w:cs="Times New Roman"/>
                <w:color w:val="auto"/>
                <w:sz w:val="24"/>
                <w:szCs w:val="24"/>
              </w:rPr>
              <w:t>L</w:t>
            </w:r>
            <w:r>
              <w:rPr>
                <w:rFonts w:cs="Times New Roman"/>
                <w:color w:val="auto"/>
                <w:sz w:val="24"/>
                <w:szCs w:val="24"/>
                <w:vertAlign w:val="subscript"/>
              </w:rPr>
              <w:t>pli</w:t>
            </w:r>
            <w:r>
              <w:rPr>
                <w:rFonts w:cs="Times New Roman"/>
                <w:color w:val="auto"/>
                <w:sz w:val="24"/>
                <w:szCs w:val="24"/>
              </w:rPr>
              <w:t>（T）——靠近围护结构处室内N个声源i倍频带的叠加声压级，dB；</w:t>
            </w:r>
          </w:p>
          <w:p w14:paraId="362CCA33">
            <w:pPr>
              <w:spacing w:line="360" w:lineRule="auto"/>
              <w:ind w:firstLine="480" w:firstLineChars="200"/>
              <w:rPr>
                <w:rFonts w:cs="Times New Roman"/>
                <w:color w:val="auto"/>
                <w:sz w:val="24"/>
                <w:szCs w:val="24"/>
              </w:rPr>
            </w:pPr>
            <w:r>
              <w:rPr>
                <w:rFonts w:cs="Times New Roman"/>
                <w:color w:val="auto"/>
                <w:sz w:val="24"/>
                <w:szCs w:val="24"/>
              </w:rPr>
              <w:t>TL</w:t>
            </w:r>
            <w:r>
              <w:rPr>
                <w:rFonts w:cs="Times New Roman"/>
                <w:color w:val="auto"/>
                <w:sz w:val="24"/>
                <w:szCs w:val="24"/>
                <w:vertAlign w:val="subscript"/>
              </w:rPr>
              <w:t>i</w:t>
            </w:r>
            <w:r>
              <w:rPr>
                <w:rFonts w:cs="Times New Roman"/>
                <w:color w:val="auto"/>
                <w:sz w:val="24"/>
                <w:szCs w:val="24"/>
              </w:rPr>
              <w:t>——围护结构i倍频带的隔声量，dB。</w:t>
            </w:r>
          </w:p>
          <w:p w14:paraId="589EA0FF">
            <w:pPr>
              <w:spacing w:line="360" w:lineRule="auto"/>
              <w:ind w:firstLine="480" w:firstLineChars="200"/>
              <w:rPr>
                <w:rFonts w:cs="Times New Roman"/>
                <w:color w:val="auto"/>
                <w:sz w:val="24"/>
                <w:szCs w:val="24"/>
              </w:rPr>
            </w:pPr>
            <w:r>
              <w:rPr>
                <w:rFonts w:cs="Times New Roman"/>
                <w:color w:val="auto"/>
                <w:sz w:val="24"/>
                <w:szCs w:val="24"/>
              </w:rPr>
              <w:t>（四）将室外声级和透声面积换算成等效的室外声源，计算出等效声源第i个倍频带的声功率级：</w:t>
            </w:r>
          </w:p>
          <w:p w14:paraId="3E032FF3">
            <w:pPr>
              <w:spacing w:line="360" w:lineRule="auto"/>
              <w:ind w:firstLine="480" w:firstLineChars="200"/>
              <w:jc w:val="center"/>
              <w:rPr>
                <w:rFonts w:cs="Times New Roman"/>
                <w:color w:val="auto"/>
                <w:sz w:val="24"/>
                <w:szCs w:val="24"/>
              </w:rPr>
            </w:pPr>
            <w:r>
              <w:rPr>
                <w:rFonts w:cs="Times New Roman"/>
                <w:color w:val="auto"/>
                <w:sz w:val="24"/>
                <w:szCs w:val="24"/>
              </w:rPr>
              <w:t>L</w:t>
            </w:r>
            <w:r>
              <w:rPr>
                <w:rFonts w:cs="Times New Roman"/>
                <w:color w:val="auto"/>
                <w:sz w:val="24"/>
                <w:szCs w:val="24"/>
                <w:vertAlign w:val="subscript"/>
              </w:rPr>
              <w:t>w</w:t>
            </w:r>
            <w:r>
              <w:rPr>
                <w:rFonts w:cs="Times New Roman"/>
                <w:color w:val="auto"/>
                <w:sz w:val="24"/>
                <w:szCs w:val="24"/>
              </w:rPr>
              <w:t>=L</w:t>
            </w:r>
            <w:r>
              <w:rPr>
                <w:rFonts w:cs="Times New Roman"/>
                <w:color w:val="auto"/>
                <w:sz w:val="24"/>
                <w:szCs w:val="24"/>
                <w:vertAlign w:val="subscript"/>
              </w:rPr>
              <w:t>p2</w:t>
            </w:r>
            <w:r>
              <w:rPr>
                <w:rFonts w:hint="eastAsia" w:cs="Times New Roman"/>
                <w:color w:val="auto"/>
                <w:sz w:val="24"/>
                <w:szCs w:val="24"/>
                <w:lang w:eastAsia="zh-CN"/>
              </w:rPr>
              <w:t>（</w:t>
            </w:r>
            <w:r>
              <w:rPr>
                <w:rFonts w:cs="Times New Roman"/>
                <w:color w:val="auto"/>
                <w:sz w:val="24"/>
                <w:szCs w:val="24"/>
              </w:rPr>
              <w:t>T）+10lgS</w:t>
            </w:r>
          </w:p>
          <w:p w14:paraId="16E61054">
            <w:pPr>
              <w:spacing w:line="360" w:lineRule="auto"/>
              <w:ind w:firstLine="480" w:firstLineChars="200"/>
              <w:rPr>
                <w:rFonts w:cs="Times New Roman"/>
                <w:color w:val="auto"/>
                <w:sz w:val="24"/>
                <w:szCs w:val="24"/>
              </w:rPr>
            </w:pPr>
            <w:r>
              <w:rPr>
                <w:rFonts w:cs="Times New Roman"/>
                <w:color w:val="auto"/>
                <w:sz w:val="24"/>
                <w:szCs w:val="24"/>
              </w:rPr>
              <w:t>式中：L</w:t>
            </w:r>
            <w:r>
              <w:rPr>
                <w:rFonts w:cs="Times New Roman"/>
                <w:color w:val="auto"/>
                <w:sz w:val="24"/>
                <w:szCs w:val="24"/>
                <w:vertAlign w:val="subscript"/>
              </w:rPr>
              <w:t>w</w:t>
            </w:r>
            <w:r>
              <w:rPr>
                <w:rFonts w:cs="Times New Roman"/>
                <w:color w:val="auto"/>
                <w:sz w:val="24"/>
                <w:szCs w:val="24"/>
              </w:rPr>
              <w:t>——中心位置位于透声面积（S）处的等效声源的倍频带声功率级，dB；</w:t>
            </w:r>
          </w:p>
          <w:p w14:paraId="333B04CA">
            <w:pPr>
              <w:spacing w:line="360" w:lineRule="auto"/>
              <w:ind w:firstLine="480" w:firstLineChars="200"/>
              <w:rPr>
                <w:rFonts w:cs="Times New Roman"/>
                <w:color w:val="auto"/>
                <w:sz w:val="24"/>
                <w:szCs w:val="24"/>
              </w:rPr>
            </w:pPr>
            <w:r>
              <w:rPr>
                <w:rFonts w:cs="Times New Roman"/>
                <w:color w:val="auto"/>
                <w:sz w:val="24"/>
                <w:szCs w:val="24"/>
              </w:rPr>
              <w:t>L</w:t>
            </w:r>
            <w:r>
              <w:rPr>
                <w:rFonts w:cs="Times New Roman"/>
                <w:color w:val="auto"/>
                <w:sz w:val="24"/>
                <w:szCs w:val="24"/>
                <w:vertAlign w:val="subscript"/>
              </w:rPr>
              <w:t>p2</w:t>
            </w:r>
            <w:r>
              <w:rPr>
                <w:rFonts w:cs="Times New Roman"/>
                <w:color w:val="auto"/>
                <w:sz w:val="24"/>
                <w:szCs w:val="24"/>
              </w:rPr>
              <w:t>（T）——靠近围护结构处室外声源的声压级，dB；</w:t>
            </w:r>
          </w:p>
          <w:p w14:paraId="5318D20A">
            <w:pPr>
              <w:spacing w:line="360" w:lineRule="auto"/>
              <w:ind w:firstLine="480" w:firstLineChars="200"/>
              <w:rPr>
                <w:rFonts w:cs="Times New Roman"/>
                <w:color w:val="auto"/>
                <w:sz w:val="24"/>
                <w:szCs w:val="24"/>
              </w:rPr>
            </w:pPr>
            <w:r>
              <w:rPr>
                <w:rFonts w:cs="Times New Roman"/>
                <w:color w:val="auto"/>
                <w:sz w:val="24"/>
                <w:szCs w:val="24"/>
              </w:rPr>
              <w:t>S——透声面积，m</w:t>
            </w:r>
            <w:r>
              <w:rPr>
                <w:rFonts w:cs="Times New Roman"/>
                <w:color w:val="auto"/>
                <w:sz w:val="24"/>
                <w:szCs w:val="24"/>
                <w:vertAlign w:val="superscript"/>
              </w:rPr>
              <w:t>2</w:t>
            </w:r>
            <w:r>
              <w:rPr>
                <w:rFonts w:cs="Times New Roman"/>
                <w:color w:val="auto"/>
                <w:sz w:val="24"/>
                <w:szCs w:val="24"/>
              </w:rPr>
              <w:t>。</w:t>
            </w:r>
          </w:p>
          <w:p w14:paraId="246F58FF">
            <w:pPr>
              <w:numPr>
                <w:ilvl w:val="0"/>
                <w:numId w:val="2"/>
              </w:numPr>
              <w:spacing w:line="360" w:lineRule="auto"/>
              <w:ind w:firstLine="480" w:firstLineChars="200"/>
              <w:rPr>
                <w:rFonts w:cs="Times New Roman"/>
                <w:color w:val="auto"/>
                <w:sz w:val="24"/>
                <w:szCs w:val="24"/>
              </w:rPr>
            </w:pPr>
            <w:r>
              <w:rPr>
                <w:rFonts w:cs="Times New Roman"/>
                <w:color w:val="auto"/>
                <w:sz w:val="24"/>
                <w:szCs w:val="24"/>
              </w:rPr>
              <w:t>等效室外声源的位置为围护结构的位置，其声功率级为L</w:t>
            </w:r>
            <w:r>
              <w:rPr>
                <w:rFonts w:cs="Times New Roman"/>
                <w:color w:val="auto"/>
                <w:sz w:val="24"/>
                <w:szCs w:val="24"/>
                <w:vertAlign w:val="subscript"/>
              </w:rPr>
              <w:t>w</w:t>
            </w:r>
            <w:r>
              <w:rPr>
                <w:rFonts w:cs="Times New Roman"/>
                <w:color w:val="auto"/>
                <w:sz w:val="24"/>
                <w:szCs w:val="24"/>
              </w:rPr>
              <w:t>，由此计算等效声源在预测点产生的声级。</w:t>
            </w:r>
          </w:p>
          <w:p w14:paraId="58BDCA78">
            <w:pPr>
              <w:spacing w:line="360" w:lineRule="auto"/>
              <w:ind w:firstLine="480" w:firstLineChars="200"/>
              <w:rPr>
                <w:rFonts w:cs="Times New Roman"/>
                <w:color w:val="auto"/>
                <w:sz w:val="24"/>
                <w:szCs w:val="24"/>
              </w:rPr>
            </w:pPr>
            <w:r>
              <w:rPr>
                <w:rFonts w:cs="Times New Roman"/>
                <w:color w:val="auto"/>
                <w:sz w:val="24"/>
                <w:szCs w:val="24"/>
              </w:rPr>
              <w:t>③总声级的计算</w:t>
            </w:r>
          </w:p>
          <w:p w14:paraId="205F2ABC">
            <w:pPr>
              <w:spacing w:line="360" w:lineRule="auto"/>
              <w:ind w:firstLine="480" w:firstLineChars="200"/>
              <w:rPr>
                <w:rFonts w:cs="Times New Roman"/>
                <w:color w:val="auto"/>
                <w:sz w:val="24"/>
                <w:szCs w:val="24"/>
              </w:rPr>
            </w:pPr>
            <w:r>
              <w:rPr>
                <w:rFonts w:cs="Times New Roman"/>
                <w:color w:val="auto"/>
                <w:sz w:val="24"/>
                <w:szCs w:val="24"/>
              </w:rPr>
              <w:t>设第i个室外声源在预测点产生的A声级为L</w:t>
            </w:r>
            <w:r>
              <w:rPr>
                <w:rFonts w:cs="Times New Roman"/>
                <w:color w:val="auto"/>
                <w:sz w:val="24"/>
                <w:szCs w:val="24"/>
                <w:vertAlign w:val="subscript"/>
              </w:rPr>
              <w:t>Ai</w:t>
            </w:r>
            <w:r>
              <w:rPr>
                <w:rFonts w:cs="Times New Roman"/>
                <w:color w:val="auto"/>
                <w:sz w:val="24"/>
                <w:szCs w:val="24"/>
              </w:rPr>
              <w:t>，在T时间内该声源工作时间为t</w:t>
            </w:r>
            <w:r>
              <w:rPr>
                <w:rFonts w:cs="Times New Roman"/>
                <w:color w:val="auto"/>
                <w:sz w:val="24"/>
                <w:szCs w:val="24"/>
                <w:vertAlign w:val="subscript"/>
              </w:rPr>
              <w:t>i</w:t>
            </w:r>
            <w:r>
              <w:rPr>
                <w:rFonts w:cs="Times New Roman"/>
                <w:color w:val="auto"/>
                <w:sz w:val="24"/>
                <w:szCs w:val="24"/>
              </w:rPr>
              <w:t>；第j个等效室外声源在预测点产生的A声级为L</w:t>
            </w:r>
            <w:r>
              <w:rPr>
                <w:rFonts w:cs="Times New Roman"/>
                <w:color w:val="auto"/>
                <w:sz w:val="24"/>
                <w:szCs w:val="24"/>
                <w:vertAlign w:val="subscript"/>
              </w:rPr>
              <w:t>Aj</w:t>
            </w:r>
            <w:r>
              <w:rPr>
                <w:rFonts w:cs="Times New Roman"/>
                <w:color w:val="auto"/>
                <w:sz w:val="24"/>
                <w:szCs w:val="24"/>
              </w:rPr>
              <w:t>，在T时间内该声源工作时间为t</w:t>
            </w:r>
            <w:r>
              <w:rPr>
                <w:rFonts w:cs="Times New Roman"/>
                <w:color w:val="auto"/>
                <w:sz w:val="24"/>
                <w:szCs w:val="24"/>
                <w:vertAlign w:val="subscript"/>
              </w:rPr>
              <w:t>j</w:t>
            </w:r>
            <w:r>
              <w:rPr>
                <w:rFonts w:cs="Times New Roman"/>
                <w:color w:val="auto"/>
                <w:sz w:val="24"/>
                <w:szCs w:val="24"/>
              </w:rPr>
              <w:t>，则拟建工程声源对预测点产生的贡献值（L</w:t>
            </w:r>
            <w:r>
              <w:rPr>
                <w:rFonts w:cs="Times New Roman"/>
                <w:color w:val="auto"/>
                <w:sz w:val="24"/>
                <w:szCs w:val="24"/>
                <w:vertAlign w:val="subscript"/>
              </w:rPr>
              <w:t>eqg</w:t>
            </w:r>
            <w:r>
              <w:rPr>
                <w:rFonts w:cs="Times New Roman"/>
                <w:color w:val="auto"/>
                <w:sz w:val="24"/>
                <w:szCs w:val="24"/>
              </w:rPr>
              <w:t>）为：</w:t>
            </w:r>
          </w:p>
          <w:p w14:paraId="7FFBC3BE">
            <w:pPr>
              <w:spacing w:line="360" w:lineRule="auto"/>
              <w:ind w:firstLine="480" w:firstLineChars="200"/>
              <w:jc w:val="center"/>
              <w:rPr>
                <w:rFonts w:cs="Times New Roman"/>
                <w:color w:val="auto"/>
                <w:sz w:val="24"/>
                <w:szCs w:val="24"/>
              </w:rPr>
            </w:pPr>
            <w:r>
              <w:rPr>
                <w:rFonts w:cs="Times New Roman"/>
                <w:color w:val="auto"/>
                <w:sz w:val="24"/>
                <w:szCs w:val="24"/>
              </w:rPr>
              <w:drawing>
                <wp:inline distT="0" distB="0" distL="114300" distR="114300">
                  <wp:extent cx="3433445" cy="715010"/>
                  <wp:effectExtent l="0" t="0" r="14605" b="8890"/>
                  <wp:docPr id="1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1"/>
                          <pic:cNvPicPr>
                            <a:picLocks noChangeAspect="1"/>
                          </pic:cNvPicPr>
                        </pic:nvPicPr>
                        <pic:blipFill>
                          <a:blip r:embed="rId21"/>
                          <a:stretch>
                            <a:fillRect/>
                          </a:stretch>
                        </pic:blipFill>
                        <pic:spPr>
                          <a:xfrm>
                            <a:off x="0" y="0"/>
                            <a:ext cx="3433445" cy="715010"/>
                          </a:xfrm>
                          <a:prstGeom prst="rect">
                            <a:avLst/>
                          </a:prstGeom>
                          <a:noFill/>
                          <a:ln>
                            <a:noFill/>
                          </a:ln>
                        </pic:spPr>
                      </pic:pic>
                    </a:graphicData>
                  </a:graphic>
                </wp:inline>
              </w:drawing>
            </w:r>
          </w:p>
          <w:p w14:paraId="0F6F565A">
            <w:pPr>
              <w:spacing w:line="360" w:lineRule="auto"/>
              <w:ind w:firstLine="480" w:firstLineChars="200"/>
              <w:rPr>
                <w:rFonts w:cs="Times New Roman"/>
                <w:color w:val="auto"/>
                <w:sz w:val="24"/>
                <w:szCs w:val="24"/>
              </w:rPr>
            </w:pPr>
            <w:r>
              <w:rPr>
                <w:rFonts w:cs="Times New Roman"/>
                <w:color w:val="auto"/>
                <w:sz w:val="24"/>
                <w:szCs w:val="24"/>
              </w:rPr>
              <w:t>式中：L</w:t>
            </w:r>
            <w:r>
              <w:rPr>
                <w:rFonts w:cs="Times New Roman"/>
                <w:color w:val="auto"/>
                <w:sz w:val="24"/>
                <w:szCs w:val="24"/>
                <w:vertAlign w:val="subscript"/>
              </w:rPr>
              <w:t>eqg</w:t>
            </w:r>
            <w:r>
              <w:rPr>
                <w:rFonts w:cs="Times New Roman"/>
                <w:color w:val="auto"/>
                <w:sz w:val="24"/>
                <w:szCs w:val="24"/>
              </w:rPr>
              <w:t>——建设项目声源在预测点产生的噪声贡献值，dB；</w:t>
            </w:r>
          </w:p>
          <w:p w14:paraId="22D44283">
            <w:pPr>
              <w:spacing w:line="360" w:lineRule="auto"/>
              <w:ind w:firstLine="480" w:firstLineChars="200"/>
              <w:rPr>
                <w:rFonts w:cs="Times New Roman"/>
                <w:color w:val="auto"/>
                <w:sz w:val="24"/>
                <w:szCs w:val="24"/>
              </w:rPr>
            </w:pPr>
            <w:r>
              <w:rPr>
                <w:rFonts w:cs="Times New Roman"/>
                <w:color w:val="auto"/>
                <w:sz w:val="24"/>
                <w:szCs w:val="24"/>
              </w:rPr>
              <w:t>T——用于计算等效声级的时间，s；</w:t>
            </w:r>
          </w:p>
          <w:p w14:paraId="27E33D2E">
            <w:pPr>
              <w:spacing w:line="360" w:lineRule="auto"/>
              <w:ind w:firstLine="480" w:firstLineChars="200"/>
              <w:rPr>
                <w:rFonts w:cs="Times New Roman"/>
                <w:color w:val="auto"/>
                <w:sz w:val="24"/>
                <w:szCs w:val="24"/>
              </w:rPr>
            </w:pPr>
            <w:r>
              <w:rPr>
                <w:rFonts w:cs="Times New Roman"/>
                <w:color w:val="auto"/>
                <w:sz w:val="24"/>
                <w:szCs w:val="24"/>
              </w:rPr>
              <w:t>N——室外声源个数；</w:t>
            </w:r>
          </w:p>
          <w:p w14:paraId="2F0D3645">
            <w:pPr>
              <w:spacing w:line="360" w:lineRule="auto"/>
              <w:ind w:firstLine="480" w:firstLineChars="200"/>
              <w:rPr>
                <w:rFonts w:cs="Times New Roman"/>
                <w:color w:val="auto"/>
                <w:sz w:val="24"/>
                <w:szCs w:val="24"/>
              </w:rPr>
            </w:pPr>
            <w:r>
              <w:rPr>
                <w:rFonts w:cs="Times New Roman"/>
                <w:color w:val="auto"/>
                <w:sz w:val="24"/>
                <w:szCs w:val="24"/>
              </w:rPr>
              <w:t>t</w:t>
            </w:r>
            <w:r>
              <w:rPr>
                <w:rFonts w:cs="Times New Roman"/>
                <w:color w:val="auto"/>
                <w:sz w:val="24"/>
                <w:szCs w:val="24"/>
                <w:vertAlign w:val="subscript"/>
              </w:rPr>
              <w:t>i</w:t>
            </w:r>
            <w:r>
              <w:rPr>
                <w:rFonts w:cs="Times New Roman"/>
                <w:color w:val="auto"/>
                <w:sz w:val="24"/>
                <w:szCs w:val="24"/>
              </w:rPr>
              <w:t>——在T时间内i声源工作时间，s；</w:t>
            </w:r>
          </w:p>
          <w:p w14:paraId="5DB54E79">
            <w:pPr>
              <w:spacing w:line="360" w:lineRule="auto"/>
              <w:ind w:firstLine="480" w:firstLineChars="200"/>
              <w:rPr>
                <w:rFonts w:cs="Times New Roman"/>
                <w:color w:val="auto"/>
                <w:sz w:val="24"/>
                <w:szCs w:val="24"/>
              </w:rPr>
            </w:pPr>
            <w:r>
              <w:rPr>
                <w:rFonts w:cs="Times New Roman"/>
                <w:color w:val="auto"/>
                <w:sz w:val="24"/>
                <w:szCs w:val="24"/>
              </w:rPr>
              <w:t>M——等效室外声源个数；</w:t>
            </w:r>
          </w:p>
          <w:p w14:paraId="51CCB886">
            <w:pPr>
              <w:spacing w:line="360" w:lineRule="auto"/>
              <w:ind w:firstLine="480" w:firstLineChars="200"/>
              <w:rPr>
                <w:rFonts w:cs="Times New Roman"/>
                <w:color w:val="auto"/>
                <w:sz w:val="24"/>
                <w:szCs w:val="24"/>
              </w:rPr>
            </w:pPr>
            <w:r>
              <w:rPr>
                <w:rFonts w:cs="Times New Roman"/>
                <w:color w:val="auto"/>
                <w:sz w:val="24"/>
                <w:szCs w:val="24"/>
              </w:rPr>
              <w:t>t</w:t>
            </w:r>
            <w:r>
              <w:rPr>
                <w:rFonts w:cs="Times New Roman"/>
                <w:color w:val="auto"/>
                <w:sz w:val="24"/>
                <w:szCs w:val="24"/>
                <w:vertAlign w:val="subscript"/>
              </w:rPr>
              <w:t>j</w:t>
            </w:r>
            <w:r>
              <w:rPr>
                <w:rFonts w:cs="Times New Roman"/>
                <w:color w:val="auto"/>
                <w:sz w:val="24"/>
                <w:szCs w:val="24"/>
              </w:rPr>
              <w:t>——在T时间内j声源工作时间，s。</w:t>
            </w:r>
          </w:p>
          <w:p w14:paraId="6864D2BD">
            <w:pPr>
              <w:spacing w:line="360" w:lineRule="auto"/>
              <w:ind w:firstLine="482" w:firstLineChars="200"/>
              <w:rPr>
                <w:rFonts w:cs="Times New Roman"/>
                <w:b/>
                <w:bCs/>
                <w:color w:val="auto"/>
                <w:sz w:val="24"/>
                <w:szCs w:val="24"/>
              </w:rPr>
            </w:pPr>
            <w:r>
              <w:rPr>
                <w:rFonts w:cs="Times New Roman"/>
                <w:b/>
                <w:bCs/>
                <w:color w:val="auto"/>
                <w:sz w:val="24"/>
                <w:szCs w:val="24"/>
              </w:rPr>
              <w:t>2）参数确定</w:t>
            </w:r>
          </w:p>
          <w:p w14:paraId="22761817">
            <w:pPr>
              <w:spacing w:line="360" w:lineRule="auto"/>
              <w:ind w:firstLine="480" w:firstLineChars="200"/>
              <w:rPr>
                <w:rFonts w:cs="Times New Roman"/>
                <w:color w:val="auto"/>
                <w:sz w:val="24"/>
                <w:szCs w:val="24"/>
              </w:rPr>
            </w:pPr>
            <w:r>
              <w:rPr>
                <w:rFonts w:cs="Times New Roman"/>
                <w:color w:val="auto"/>
                <w:sz w:val="24"/>
                <w:szCs w:val="24"/>
              </w:rPr>
              <w:t>①声波几何发散引起的A声级衰减量：</w:t>
            </w:r>
          </w:p>
          <w:p w14:paraId="53715B1A">
            <w:pPr>
              <w:spacing w:line="360" w:lineRule="auto"/>
              <w:ind w:firstLine="480" w:firstLineChars="200"/>
              <w:jc w:val="center"/>
              <w:rPr>
                <w:rFonts w:hint="eastAsia" w:eastAsia="宋体" w:cs="Times New Roman"/>
                <w:color w:val="auto"/>
                <w:sz w:val="24"/>
                <w:szCs w:val="24"/>
                <w:lang w:val="en-US" w:eastAsia="zh-CN"/>
              </w:rPr>
            </w:pPr>
            <w:r>
              <w:rPr>
                <w:rFonts w:cs="Times New Roman"/>
                <w:color w:val="auto"/>
                <w:sz w:val="24"/>
                <w:szCs w:val="24"/>
              </w:rPr>
              <w:t>点声源A</w:t>
            </w:r>
            <w:r>
              <w:rPr>
                <w:rFonts w:cs="Times New Roman"/>
                <w:color w:val="auto"/>
                <w:sz w:val="24"/>
                <w:szCs w:val="24"/>
                <w:vertAlign w:val="subscript"/>
              </w:rPr>
              <w:t>div</w:t>
            </w:r>
            <w:r>
              <w:rPr>
                <w:rFonts w:cs="Times New Roman"/>
                <w:color w:val="auto"/>
                <w:sz w:val="24"/>
                <w:szCs w:val="24"/>
              </w:rPr>
              <w:t>= 201g</w:t>
            </w:r>
            <w:r>
              <w:rPr>
                <w:rFonts w:hint="eastAsia" w:cs="Times New Roman"/>
                <w:color w:val="auto"/>
                <w:sz w:val="24"/>
                <w:szCs w:val="24"/>
                <w:lang w:eastAsia="zh-CN"/>
              </w:rPr>
              <w:t>（</w:t>
            </w:r>
            <w:r>
              <w:rPr>
                <w:rFonts w:cs="Times New Roman"/>
                <w:color w:val="auto"/>
                <w:sz w:val="24"/>
                <w:szCs w:val="24"/>
              </w:rPr>
              <w:t>r/r</w:t>
            </w:r>
            <w:r>
              <w:rPr>
                <w:rFonts w:cs="Times New Roman"/>
                <w:color w:val="auto"/>
                <w:sz w:val="24"/>
                <w:szCs w:val="24"/>
                <w:vertAlign w:val="subscript"/>
              </w:rPr>
              <w:t>0</w:t>
            </w:r>
            <w:r>
              <w:rPr>
                <w:rFonts w:hint="eastAsia" w:cs="Times New Roman"/>
                <w:color w:val="auto"/>
                <w:sz w:val="24"/>
                <w:szCs w:val="24"/>
                <w:lang w:val="en-US" w:eastAsia="zh-CN"/>
              </w:rPr>
              <w:t>）</w:t>
            </w:r>
          </w:p>
          <w:p w14:paraId="56C7AFC5">
            <w:pPr>
              <w:spacing w:line="360" w:lineRule="auto"/>
              <w:ind w:firstLine="480" w:firstLineChars="200"/>
              <w:rPr>
                <w:rFonts w:cs="Times New Roman"/>
                <w:color w:val="auto"/>
                <w:sz w:val="24"/>
                <w:szCs w:val="24"/>
                <w:vertAlign w:val="subscript"/>
              </w:rPr>
            </w:pPr>
            <w:r>
              <w:rPr>
                <w:rFonts w:cs="Times New Roman"/>
                <w:color w:val="auto"/>
                <w:sz w:val="24"/>
                <w:szCs w:val="24"/>
              </w:rPr>
              <w:t>②空气吸收衰减量A</w:t>
            </w:r>
            <w:r>
              <w:rPr>
                <w:rFonts w:cs="Times New Roman"/>
                <w:color w:val="auto"/>
                <w:sz w:val="24"/>
                <w:szCs w:val="24"/>
                <w:vertAlign w:val="subscript"/>
              </w:rPr>
              <w:t>atm</w:t>
            </w:r>
            <w:r>
              <w:rPr>
                <w:rFonts w:cs="Times New Roman"/>
                <w:color w:val="auto"/>
                <w:sz w:val="24"/>
                <w:szCs w:val="24"/>
              </w:rPr>
              <w:t>：</w:t>
            </w:r>
          </w:p>
          <w:p w14:paraId="36209AC4">
            <w:pPr>
              <w:spacing w:line="360" w:lineRule="auto"/>
              <w:ind w:firstLine="480" w:firstLineChars="200"/>
              <w:rPr>
                <w:rFonts w:cs="Times New Roman"/>
                <w:color w:val="auto"/>
                <w:sz w:val="24"/>
                <w:szCs w:val="24"/>
              </w:rPr>
            </w:pPr>
            <w:r>
              <w:rPr>
                <w:rFonts w:cs="Times New Roman"/>
                <w:color w:val="auto"/>
                <w:sz w:val="24"/>
                <w:szCs w:val="24"/>
              </w:rPr>
              <w:t>拟建项目噪声以中低频为主，空气吸收性衰减很少，预测时可忽略不计。</w:t>
            </w:r>
          </w:p>
          <w:p w14:paraId="0FA64A28">
            <w:pPr>
              <w:spacing w:line="360" w:lineRule="auto"/>
              <w:ind w:firstLine="480" w:firstLineChars="200"/>
              <w:rPr>
                <w:rFonts w:cs="Times New Roman"/>
                <w:color w:val="auto"/>
                <w:sz w:val="24"/>
                <w:szCs w:val="24"/>
              </w:rPr>
            </w:pPr>
            <w:r>
              <w:rPr>
                <w:rFonts w:cs="Times New Roman"/>
                <w:color w:val="auto"/>
                <w:sz w:val="24"/>
                <w:szCs w:val="24"/>
              </w:rPr>
              <w:t>③遮挡物引起的衰减量A</w:t>
            </w:r>
            <w:r>
              <w:rPr>
                <w:rFonts w:cs="Times New Roman"/>
                <w:color w:val="auto"/>
                <w:sz w:val="24"/>
                <w:szCs w:val="24"/>
                <w:vertAlign w:val="subscript"/>
              </w:rPr>
              <w:t>bar</w:t>
            </w:r>
            <w:r>
              <w:rPr>
                <w:rFonts w:cs="Times New Roman"/>
                <w:color w:val="auto"/>
                <w:sz w:val="24"/>
                <w:szCs w:val="24"/>
              </w:rPr>
              <w:t>：</w:t>
            </w:r>
          </w:p>
          <w:p w14:paraId="5762A945">
            <w:pPr>
              <w:spacing w:line="360" w:lineRule="auto"/>
              <w:ind w:firstLine="480" w:firstLineChars="200"/>
              <w:rPr>
                <w:rFonts w:cs="Times New Roman"/>
                <w:color w:val="auto"/>
                <w:sz w:val="24"/>
                <w:szCs w:val="24"/>
              </w:rPr>
            </w:pPr>
            <w:r>
              <w:rPr>
                <w:rFonts w:cs="Times New Roman"/>
                <w:color w:val="auto"/>
                <w:sz w:val="24"/>
                <w:szCs w:val="24"/>
              </w:rPr>
              <w:t>噪声在向外传播过程中将受到厂房</w:t>
            </w:r>
            <w:r>
              <w:rPr>
                <w:rFonts w:hint="eastAsia" w:cs="Times New Roman"/>
                <w:color w:val="auto"/>
                <w:sz w:val="24"/>
                <w:szCs w:val="24"/>
                <w:lang w:eastAsia="zh-CN"/>
              </w:rPr>
              <w:t>或其他</w:t>
            </w:r>
            <w:r>
              <w:rPr>
                <w:rFonts w:cs="Times New Roman"/>
                <w:color w:val="auto"/>
                <w:sz w:val="24"/>
                <w:szCs w:val="24"/>
              </w:rPr>
              <w:t>车间的阻挡影响，从而引起声能量的衰减，具体衰减根据不同声级的传播途径而定，一般取0~30dB（A），本次环评取15。</w:t>
            </w:r>
          </w:p>
          <w:p w14:paraId="5D65F2E0">
            <w:pPr>
              <w:spacing w:line="360" w:lineRule="auto"/>
              <w:ind w:firstLine="480" w:firstLineChars="200"/>
              <w:rPr>
                <w:rFonts w:cs="Times New Roman"/>
                <w:color w:val="auto"/>
                <w:sz w:val="24"/>
                <w:szCs w:val="24"/>
              </w:rPr>
            </w:pPr>
            <w:r>
              <w:rPr>
                <w:rFonts w:cs="Times New Roman"/>
                <w:color w:val="auto"/>
                <w:sz w:val="24"/>
                <w:szCs w:val="24"/>
              </w:rPr>
              <w:t>④地面效应引起的声级衰减量A</w:t>
            </w:r>
            <w:r>
              <w:rPr>
                <w:rFonts w:cs="Times New Roman"/>
                <w:color w:val="auto"/>
                <w:sz w:val="24"/>
                <w:szCs w:val="24"/>
                <w:vertAlign w:val="subscript"/>
              </w:rPr>
              <w:t>gr</w:t>
            </w:r>
            <w:r>
              <w:rPr>
                <w:rFonts w:cs="Times New Roman"/>
                <w:color w:val="auto"/>
                <w:sz w:val="24"/>
                <w:szCs w:val="24"/>
              </w:rPr>
              <w:t>：</w:t>
            </w:r>
          </w:p>
          <w:p w14:paraId="5D336663">
            <w:pPr>
              <w:spacing w:line="360" w:lineRule="auto"/>
              <w:ind w:firstLine="480" w:firstLineChars="200"/>
              <w:rPr>
                <w:rFonts w:cs="Times New Roman"/>
                <w:color w:val="auto"/>
                <w:sz w:val="24"/>
                <w:szCs w:val="24"/>
              </w:rPr>
            </w:pPr>
            <w:r>
              <w:rPr>
                <w:rFonts w:cs="Times New Roman"/>
                <w:color w:val="auto"/>
                <w:sz w:val="24"/>
                <w:szCs w:val="24"/>
              </w:rPr>
              <w:t>根据项目总平面布置和噪声源强及外环境状况，可以忽略本项附加衰减量。</w:t>
            </w:r>
          </w:p>
          <w:p w14:paraId="4C662657">
            <w:pPr>
              <w:spacing w:line="360" w:lineRule="auto"/>
              <w:ind w:firstLine="480" w:firstLineChars="200"/>
              <w:rPr>
                <w:rFonts w:cs="Times New Roman"/>
                <w:color w:val="auto"/>
                <w:sz w:val="24"/>
                <w:szCs w:val="24"/>
              </w:rPr>
            </w:pPr>
            <w:r>
              <w:rPr>
                <w:rFonts w:cs="Times New Roman"/>
                <w:color w:val="auto"/>
                <w:sz w:val="24"/>
                <w:szCs w:val="24"/>
              </w:rPr>
              <w:t>⑤其他多方面效应引起的声级衰减量A</w:t>
            </w:r>
            <w:r>
              <w:rPr>
                <w:rFonts w:cs="Times New Roman"/>
                <w:color w:val="auto"/>
                <w:sz w:val="24"/>
                <w:szCs w:val="24"/>
                <w:vertAlign w:val="subscript"/>
              </w:rPr>
              <w:t>misc</w:t>
            </w:r>
            <w:r>
              <w:rPr>
                <w:rFonts w:cs="Times New Roman"/>
                <w:color w:val="auto"/>
                <w:sz w:val="24"/>
                <w:szCs w:val="24"/>
              </w:rPr>
              <w:t>：</w:t>
            </w:r>
          </w:p>
          <w:p w14:paraId="67B31100">
            <w:pPr>
              <w:spacing w:line="360" w:lineRule="auto"/>
              <w:ind w:firstLine="480" w:firstLineChars="200"/>
              <w:rPr>
                <w:rFonts w:cs="Times New Roman"/>
                <w:color w:val="auto"/>
                <w:sz w:val="24"/>
                <w:szCs w:val="24"/>
              </w:rPr>
            </w:pPr>
            <w:r>
              <w:rPr>
                <w:rFonts w:cs="Times New Roman"/>
                <w:color w:val="auto"/>
                <w:sz w:val="24"/>
                <w:szCs w:val="24"/>
              </w:rPr>
              <w:t>其他衰减包括通过工业场所的衰减，通过房屋群的衰减等。一般情况下，不考虑自然条件（如风、温度梯度、雾）变化引起的附加修正。</w:t>
            </w:r>
          </w:p>
          <w:p w14:paraId="06896276">
            <w:pPr>
              <w:spacing w:line="360" w:lineRule="auto"/>
              <w:ind w:firstLine="482" w:firstLineChars="200"/>
              <w:rPr>
                <w:rFonts w:cs="Times New Roman"/>
                <w:b/>
                <w:bCs/>
                <w:color w:val="auto"/>
                <w:sz w:val="24"/>
                <w:szCs w:val="24"/>
              </w:rPr>
            </w:pPr>
            <w:r>
              <w:rPr>
                <w:rFonts w:cs="Times New Roman"/>
                <w:b/>
                <w:bCs/>
                <w:color w:val="auto"/>
                <w:sz w:val="24"/>
                <w:szCs w:val="24"/>
              </w:rPr>
              <w:t>3）预测结果</w:t>
            </w:r>
          </w:p>
          <w:p w14:paraId="7FB31786">
            <w:pPr>
              <w:spacing w:line="360" w:lineRule="auto"/>
              <w:ind w:firstLine="480" w:firstLineChars="200"/>
              <w:rPr>
                <w:rFonts w:cs="Times New Roman"/>
                <w:color w:val="auto"/>
                <w:sz w:val="24"/>
                <w:szCs w:val="24"/>
              </w:rPr>
            </w:pPr>
            <w:r>
              <w:rPr>
                <w:rFonts w:cs="Times New Roman"/>
                <w:color w:val="auto"/>
                <w:sz w:val="24"/>
                <w:szCs w:val="24"/>
              </w:rPr>
              <w:t>根据不同设备的噪声级、确定的预测模式以及拟采取的降噪措施计算出不同距离处的噪声值。项目厂界噪声预测结果如下表所示：</w:t>
            </w:r>
          </w:p>
          <w:p w14:paraId="20E9800C">
            <w:pPr>
              <w:spacing w:line="360" w:lineRule="auto"/>
              <w:jc w:val="center"/>
              <w:rPr>
                <w:rFonts w:cs="Times New Roman"/>
                <w:b/>
                <w:bCs/>
                <w:color w:val="auto"/>
                <w:sz w:val="24"/>
                <w:szCs w:val="24"/>
              </w:rPr>
            </w:pPr>
            <w:r>
              <w:rPr>
                <w:rFonts w:cs="Times New Roman"/>
                <w:b/>
                <w:bCs/>
                <w:color w:val="auto"/>
                <w:sz w:val="24"/>
                <w:szCs w:val="24"/>
              </w:rPr>
              <w:t>表4-1</w:t>
            </w:r>
            <w:r>
              <w:rPr>
                <w:rFonts w:hint="eastAsia" w:cs="Times New Roman"/>
                <w:b/>
                <w:bCs/>
                <w:color w:val="auto"/>
                <w:sz w:val="24"/>
                <w:szCs w:val="24"/>
                <w:lang w:val="en-US" w:eastAsia="zh-CN"/>
              </w:rPr>
              <w:t>2</w:t>
            </w:r>
            <w:r>
              <w:rPr>
                <w:rFonts w:cs="Times New Roman"/>
                <w:b/>
                <w:bCs/>
                <w:color w:val="auto"/>
                <w:sz w:val="24"/>
                <w:szCs w:val="24"/>
              </w:rPr>
              <w:t xml:space="preserve">  项目运营期噪声预测结果</w:t>
            </w:r>
          </w:p>
          <w:tbl>
            <w:tblPr>
              <w:tblStyle w:val="25"/>
              <w:tblW w:w="8826"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42"/>
              <w:gridCol w:w="1639"/>
              <w:gridCol w:w="954"/>
              <w:gridCol w:w="954"/>
              <w:gridCol w:w="954"/>
              <w:gridCol w:w="1115"/>
              <w:gridCol w:w="936"/>
              <w:gridCol w:w="979"/>
              <w:gridCol w:w="753"/>
            </w:tblGrid>
            <w:tr w14:paraId="109C496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307" w:type="pct"/>
                  <w:vMerge w:val="restart"/>
                  <w:tcBorders>
                    <w:tl2br w:val="nil"/>
                    <w:tr2bl w:val="nil"/>
                  </w:tcBorders>
                  <w:shd w:val="clear" w:color="000000" w:themeColor="text1" w:fill="auto"/>
                  <w:vAlign w:val="center"/>
                </w:tcPr>
                <w:p w14:paraId="255AB70B">
                  <w:pPr>
                    <w:jc w:val="center"/>
                    <w:rPr>
                      <w:rFonts w:cs="Times New Roman"/>
                      <w:b/>
                      <w:bCs/>
                      <w:color w:val="auto"/>
                      <w:szCs w:val="21"/>
                    </w:rPr>
                  </w:pPr>
                  <w:r>
                    <w:rPr>
                      <w:rFonts w:cs="Times New Roman"/>
                      <w:b/>
                      <w:bCs/>
                      <w:color w:val="auto"/>
                      <w:szCs w:val="21"/>
                    </w:rPr>
                    <w:t>编号</w:t>
                  </w:r>
                </w:p>
              </w:tc>
              <w:tc>
                <w:tcPr>
                  <w:tcW w:w="928" w:type="pct"/>
                  <w:vMerge w:val="restart"/>
                  <w:tcBorders>
                    <w:tl2br w:val="nil"/>
                    <w:tr2bl w:val="nil"/>
                  </w:tcBorders>
                  <w:shd w:val="clear" w:color="000000" w:themeColor="text1" w:fill="auto"/>
                  <w:vAlign w:val="center"/>
                </w:tcPr>
                <w:p w14:paraId="2E489562">
                  <w:pPr>
                    <w:jc w:val="center"/>
                    <w:rPr>
                      <w:rFonts w:cs="Times New Roman"/>
                      <w:b/>
                      <w:bCs/>
                      <w:color w:val="auto"/>
                      <w:szCs w:val="21"/>
                    </w:rPr>
                  </w:pPr>
                  <w:r>
                    <w:rPr>
                      <w:rFonts w:cs="Times New Roman"/>
                      <w:b/>
                      <w:bCs/>
                      <w:color w:val="auto"/>
                      <w:szCs w:val="21"/>
                    </w:rPr>
                    <w:t>预测点位置</w:t>
                  </w:r>
                </w:p>
              </w:tc>
              <w:tc>
                <w:tcPr>
                  <w:tcW w:w="1080" w:type="pct"/>
                  <w:gridSpan w:val="2"/>
                  <w:tcBorders>
                    <w:tl2br w:val="nil"/>
                    <w:tr2bl w:val="nil"/>
                  </w:tcBorders>
                  <w:shd w:val="clear" w:color="000000" w:themeColor="text1" w:fill="auto"/>
                  <w:vAlign w:val="center"/>
                </w:tcPr>
                <w:p w14:paraId="4644863C">
                  <w:pPr>
                    <w:jc w:val="center"/>
                    <w:rPr>
                      <w:rFonts w:cs="Times New Roman"/>
                      <w:b/>
                      <w:bCs/>
                      <w:color w:val="auto"/>
                      <w:szCs w:val="21"/>
                    </w:rPr>
                  </w:pPr>
                  <w:r>
                    <w:rPr>
                      <w:rFonts w:cs="Times New Roman"/>
                      <w:b/>
                      <w:bCs/>
                      <w:color w:val="auto"/>
                      <w:szCs w:val="21"/>
                    </w:rPr>
                    <w:t>空间相对位置</w:t>
                  </w:r>
                </w:p>
              </w:tc>
              <w:tc>
                <w:tcPr>
                  <w:tcW w:w="540" w:type="pct"/>
                  <w:tcBorders>
                    <w:tl2br w:val="nil"/>
                    <w:tr2bl w:val="nil"/>
                  </w:tcBorders>
                  <w:shd w:val="clear" w:color="000000" w:themeColor="text1" w:fill="auto"/>
                  <w:vAlign w:val="center"/>
                </w:tcPr>
                <w:p w14:paraId="64FF799C">
                  <w:pPr>
                    <w:jc w:val="center"/>
                    <w:rPr>
                      <w:rFonts w:cs="Times New Roman"/>
                      <w:b/>
                      <w:bCs/>
                      <w:color w:val="auto"/>
                      <w:szCs w:val="21"/>
                    </w:rPr>
                  </w:pPr>
                  <w:r>
                    <w:rPr>
                      <w:rFonts w:cs="Times New Roman"/>
                      <w:b/>
                      <w:bCs/>
                      <w:color w:val="auto"/>
                      <w:szCs w:val="21"/>
                    </w:rPr>
                    <w:t>贡献值</w:t>
                  </w:r>
                </w:p>
                <w:p w14:paraId="4AE4E0AB">
                  <w:pPr>
                    <w:jc w:val="center"/>
                    <w:rPr>
                      <w:rFonts w:cs="Times New Roman"/>
                      <w:b/>
                      <w:bCs/>
                      <w:color w:val="auto"/>
                      <w:szCs w:val="21"/>
                    </w:rPr>
                  </w:pPr>
                  <w:r>
                    <w:rPr>
                      <w:rFonts w:cs="Times New Roman"/>
                      <w:b/>
                      <w:bCs/>
                      <w:color w:val="auto"/>
                      <w:szCs w:val="21"/>
                    </w:rPr>
                    <w:t>[dB</w:t>
                  </w:r>
                  <w:r>
                    <w:rPr>
                      <w:rFonts w:hint="eastAsia" w:cs="Times New Roman"/>
                      <w:b/>
                      <w:bCs/>
                      <w:color w:val="auto"/>
                      <w:szCs w:val="21"/>
                      <w:lang w:eastAsia="zh-CN"/>
                    </w:rPr>
                    <w:t>(</w:t>
                  </w:r>
                  <w:r>
                    <w:rPr>
                      <w:rFonts w:cs="Times New Roman"/>
                      <w:b/>
                      <w:bCs/>
                      <w:color w:val="auto"/>
                      <w:szCs w:val="21"/>
                    </w:rPr>
                    <w:t>A</w:t>
                  </w:r>
                  <w:r>
                    <w:rPr>
                      <w:rFonts w:hint="eastAsia" w:cs="Times New Roman"/>
                      <w:b/>
                      <w:bCs/>
                      <w:color w:val="auto"/>
                      <w:szCs w:val="21"/>
                      <w:lang w:val="en-US" w:eastAsia="zh-CN"/>
                    </w:rPr>
                    <w:t>)</w:t>
                  </w:r>
                  <w:r>
                    <w:rPr>
                      <w:rFonts w:cs="Times New Roman"/>
                      <w:b/>
                      <w:bCs/>
                      <w:color w:val="auto"/>
                      <w:szCs w:val="21"/>
                    </w:rPr>
                    <w:t>]</w:t>
                  </w:r>
                </w:p>
              </w:tc>
              <w:tc>
                <w:tcPr>
                  <w:tcW w:w="631" w:type="pct"/>
                  <w:tcBorders>
                    <w:tl2br w:val="nil"/>
                    <w:tr2bl w:val="nil"/>
                  </w:tcBorders>
                  <w:shd w:val="clear" w:color="000000" w:themeColor="text1" w:fill="auto"/>
                  <w:vAlign w:val="center"/>
                </w:tcPr>
                <w:p w14:paraId="2BB9B297">
                  <w:pPr>
                    <w:jc w:val="center"/>
                    <w:rPr>
                      <w:rFonts w:cs="Times New Roman"/>
                      <w:b/>
                      <w:bCs/>
                      <w:color w:val="auto"/>
                      <w:szCs w:val="21"/>
                    </w:rPr>
                  </w:pPr>
                  <w:r>
                    <w:rPr>
                      <w:rFonts w:cs="Times New Roman"/>
                      <w:b/>
                      <w:bCs/>
                      <w:color w:val="auto"/>
                      <w:szCs w:val="21"/>
                    </w:rPr>
                    <w:t>背景值</w:t>
                  </w:r>
                </w:p>
                <w:p w14:paraId="7DF1C639">
                  <w:pPr>
                    <w:jc w:val="center"/>
                    <w:rPr>
                      <w:rFonts w:cs="Times New Roman"/>
                      <w:b/>
                      <w:bCs/>
                      <w:color w:val="auto"/>
                      <w:szCs w:val="21"/>
                    </w:rPr>
                  </w:pPr>
                  <w:r>
                    <w:rPr>
                      <w:rFonts w:cs="Times New Roman"/>
                      <w:b/>
                      <w:bCs/>
                      <w:color w:val="auto"/>
                      <w:szCs w:val="21"/>
                    </w:rPr>
                    <w:t>[dB</w:t>
                  </w:r>
                  <w:r>
                    <w:rPr>
                      <w:rFonts w:hint="eastAsia" w:cs="Times New Roman"/>
                      <w:b/>
                      <w:bCs/>
                      <w:color w:val="auto"/>
                      <w:szCs w:val="21"/>
                      <w:lang w:eastAsia="zh-CN"/>
                    </w:rPr>
                    <w:t>(</w:t>
                  </w:r>
                  <w:r>
                    <w:rPr>
                      <w:rFonts w:cs="Times New Roman"/>
                      <w:b/>
                      <w:bCs/>
                      <w:color w:val="auto"/>
                      <w:szCs w:val="21"/>
                    </w:rPr>
                    <w:t>A</w:t>
                  </w:r>
                  <w:r>
                    <w:rPr>
                      <w:rFonts w:hint="eastAsia" w:cs="Times New Roman"/>
                      <w:b/>
                      <w:bCs/>
                      <w:color w:val="auto"/>
                      <w:szCs w:val="21"/>
                      <w:lang w:val="en-US" w:eastAsia="zh-CN"/>
                    </w:rPr>
                    <w:t>)</w:t>
                  </w:r>
                  <w:r>
                    <w:rPr>
                      <w:rFonts w:cs="Times New Roman"/>
                      <w:b/>
                      <w:bCs/>
                      <w:color w:val="auto"/>
                      <w:szCs w:val="21"/>
                    </w:rPr>
                    <w:t>]</w:t>
                  </w:r>
                </w:p>
              </w:tc>
              <w:tc>
                <w:tcPr>
                  <w:tcW w:w="530" w:type="pct"/>
                  <w:tcBorders>
                    <w:tl2br w:val="nil"/>
                    <w:tr2bl w:val="nil"/>
                  </w:tcBorders>
                  <w:shd w:val="clear" w:color="000000" w:themeColor="text1" w:fill="auto"/>
                  <w:vAlign w:val="center"/>
                </w:tcPr>
                <w:p w14:paraId="03C66067">
                  <w:pPr>
                    <w:jc w:val="center"/>
                    <w:rPr>
                      <w:rFonts w:cs="Times New Roman"/>
                      <w:b/>
                      <w:bCs/>
                      <w:color w:val="auto"/>
                      <w:szCs w:val="21"/>
                    </w:rPr>
                  </w:pPr>
                  <w:r>
                    <w:rPr>
                      <w:rFonts w:cs="Times New Roman"/>
                      <w:b/>
                      <w:bCs/>
                      <w:color w:val="auto"/>
                      <w:szCs w:val="21"/>
                    </w:rPr>
                    <w:t>预测值</w:t>
                  </w:r>
                </w:p>
                <w:p w14:paraId="40786562">
                  <w:pPr>
                    <w:jc w:val="center"/>
                    <w:rPr>
                      <w:rFonts w:cs="Times New Roman"/>
                      <w:b/>
                      <w:bCs/>
                      <w:color w:val="auto"/>
                      <w:szCs w:val="21"/>
                    </w:rPr>
                  </w:pPr>
                  <w:r>
                    <w:rPr>
                      <w:rFonts w:cs="Times New Roman"/>
                      <w:b/>
                      <w:bCs/>
                      <w:color w:val="auto"/>
                      <w:szCs w:val="21"/>
                    </w:rPr>
                    <w:t>[dB</w:t>
                  </w:r>
                  <w:r>
                    <w:rPr>
                      <w:rFonts w:hint="eastAsia" w:cs="Times New Roman"/>
                      <w:b/>
                      <w:bCs/>
                      <w:color w:val="auto"/>
                      <w:szCs w:val="21"/>
                      <w:lang w:eastAsia="zh-CN"/>
                    </w:rPr>
                    <w:t>(</w:t>
                  </w:r>
                  <w:r>
                    <w:rPr>
                      <w:rFonts w:cs="Times New Roman"/>
                      <w:b/>
                      <w:bCs/>
                      <w:color w:val="auto"/>
                      <w:szCs w:val="21"/>
                    </w:rPr>
                    <w:t>A</w:t>
                  </w:r>
                  <w:r>
                    <w:rPr>
                      <w:rFonts w:hint="eastAsia" w:cs="Times New Roman"/>
                      <w:b/>
                      <w:bCs/>
                      <w:color w:val="auto"/>
                      <w:szCs w:val="21"/>
                      <w:lang w:val="en-US" w:eastAsia="zh-CN"/>
                    </w:rPr>
                    <w:t>)</w:t>
                  </w:r>
                  <w:r>
                    <w:rPr>
                      <w:rFonts w:cs="Times New Roman"/>
                      <w:b/>
                      <w:bCs/>
                      <w:color w:val="auto"/>
                      <w:szCs w:val="21"/>
                    </w:rPr>
                    <w:t>]</w:t>
                  </w:r>
                </w:p>
              </w:tc>
              <w:tc>
                <w:tcPr>
                  <w:tcW w:w="554" w:type="pct"/>
                  <w:tcBorders>
                    <w:tl2br w:val="nil"/>
                    <w:tr2bl w:val="nil"/>
                  </w:tcBorders>
                  <w:shd w:val="clear" w:color="000000" w:themeColor="text1" w:fill="auto"/>
                  <w:vAlign w:val="center"/>
                </w:tcPr>
                <w:p w14:paraId="232994E7">
                  <w:pPr>
                    <w:jc w:val="center"/>
                    <w:rPr>
                      <w:rFonts w:cs="Times New Roman"/>
                      <w:b/>
                      <w:bCs/>
                      <w:color w:val="auto"/>
                      <w:szCs w:val="21"/>
                    </w:rPr>
                  </w:pPr>
                  <w:r>
                    <w:rPr>
                      <w:rFonts w:cs="Times New Roman"/>
                      <w:b/>
                      <w:bCs/>
                      <w:color w:val="auto"/>
                      <w:szCs w:val="21"/>
                    </w:rPr>
                    <w:t>标准值</w:t>
                  </w:r>
                </w:p>
                <w:p w14:paraId="4A66437C">
                  <w:pPr>
                    <w:jc w:val="center"/>
                    <w:rPr>
                      <w:rFonts w:cs="Times New Roman"/>
                      <w:b/>
                      <w:bCs/>
                      <w:color w:val="auto"/>
                      <w:szCs w:val="21"/>
                    </w:rPr>
                  </w:pPr>
                  <w:r>
                    <w:rPr>
                      <w:rFonts w:cs="Times New Roman"/>
                      <w:b/>
                      <w:bCs/>
                      <w:color w:val="auto"/>
                      <w:szCs w:val="21"/>
                    </w:rPr>
                    <w:t>[dB</w:t>
                  </w:r>
                  <w:r>
                    <w:rPr>
                      <w:rFonts w:hint="eastAsia" w:cs="Times New Roman"/>
                      <w:b/>
                      <w:bCs/>
                      <w:color w:val="auto"/>
                      <w:szCs w:val="21"/>
                      <w:lang w:eastAsia="zh-CN"/>
                    </w:rPr>
                    <w:t>(</w:t>
                  </w:r>
                  <w:r>
                    <w:rPr>
                      <w:rFonts w:cs="Times New Roman"/>
                      <w:b/>
                      <w:bCs/>
                      <w:color w:val="auto"/>
                      <w:szCs w:val="21"/>
                    </w:rPr>
                    <w:t>A</w:t>
                  </w:r>
                  <w:r>
                    <w:rPr>
                      <w:rFonts w:hint="eastAsia" w:cs="Times New Roman"/>
                      <w:b/>
                      <w:bCs/>
                      <w:color w:val="auto"/>
                      <w:szCs w:val="21"/>
                      <w:lang w:val="en-US" w:eastAsia="zh-CN"/>
                    </w:rPr>
                    <w:t>)</w:t>
                  </w:r>
                  <w:r>
                    <w:rPr>
                      <w:rFonts w:cs="Times New Roman"/>
                      <w:b/>
                      <w:bCs/>
                      <w:color w:val="auto"/>
                      <w:szCs w:val="21"/>
                    </w:rPr>
                    <w:t>]</w:t>
                  </w:r>
                </w:p>
              </w:tc>
              <w:tc>
                <w:tcPr>
                  <w:tcW w:w="426" w:type="pct"/>
                  <w:vMerge w:val="restart"/>
                  <w:tcBorders>
                    <w:tl2br w:val="nil"/>
                    <w:tr2bl w:val="nil"/>
                  </w:tcBorders>
                  <w:shd w:val="clear" w:color="000000" w:themeColor="text1" w:fill="auto"/>
                  <w:vAlign w:val="center"/>
                </w:tcPr>
                <w:p w14:paraId="16136CE3">
                  <w:pPr>
                    <w:jc w:val="center"/>
                    <w:rPr>
                      <w:rFonts w:cs="Times New Roman"/>
                      <w:b/>
                      <w:bCs/>
                      <w:color w:val="auto"/>
                      <w:szCs w:val="21"/>
                    </w:rPr>
                  </w:pPr>
                  <w:r>
                    <w:rPr>
                      <w:rFonts w:cs="Times New Roman"/>
                      <w:b/>
                      <w:bCs/>
                      <w:color w:val="auto"/>
                      <w:szCs w:val="21"/>
                    </w:rPr>
                    <w:t>预测结果</w:t>
                  </w:r>
                </w:p>
              </w:tc>
            </w:tr>
            <w:tr w14:paraId="181F0C6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07" w:type="pct"/>
                  <w:vMerge w:val="continue"/>
                  <w:tcBorders>
                    <w:tl2br w:val="nil"/>
                    <w:tr2bl w:val="nil"/>
                  </w:tcBorders>
                  <w:vAlign w:val="center"/>
                </w:tcPr>
                <w:p w14:paraId="77187FD2">
                  <w:pPr>
                    <w:jc w:val="center"/>
                    <w:rPr>
                      <w:rFonts w:cs="Times New Roman"/>
                      <w:color w:val="auto"/>
                      <w:szCs w:val="21"/>
                    </w:rPr>
                  </w:pPr>
                </w:p>
              </w:tc>
              <w:tc>
                <w:tcPr>
                  <w:tcW w:w="928" w:type="pct"/>
                  <w:vMerge w:val="continue"/>
                  <w:tcBorders>
                    <w:tl2br w:val="nil"/>
                    <w:tr2bl w:val="nil"/>
                  </w:tcBorders>
                  <w:vAlign w:val="center"/>
                </w:tcPr>
                <w:p w14:paraId="4DF90585">
                  <w:pPr>
                    <w:jc w:val="center"/>
                    <w:rPr>
                      <w:rFonts w:cs="Times New Roman"/>
                      <w:color w:val="auto"/>
                      <w:szCs w:val="21"/>
                    </w:rPr>
                  </w:pPr>
                </w:p>
              </w:tc>
              <w:tc>
                <w:tcPr>
                  <w:tcW w:w="540" w:type="pct"/>
                  <w:tcBorders>
                    <w:tl2br w:val="nil"/>
                    <w:tr2bl w:val="nil"/>
                  </w:tcBorders>
                  <w:shd w:val="clear" w:color="000000" w:themeColor="text1" w:fill="auto"/>
                  <w:vAlign w:val="center"/>
                </w:tcPr>
                <w:p w14:paraId="5028D202">
                  <w:pPr>
                    <w:spacing w:line="240" w:lineRule="exact"/>
                    <w:jc w:val="center"/>
                    <w:rPr>
                      <w:rFonts w:cs="Times New Roman"/>
                      <w:b/>
                      <w:bCs/>
                      <w:color w:val="auto"/>
                      <w:sz w:val="21"/>
                      <w:szCs w:val="21"/>
                    </w:rPr>
                  </w:pPr>
                  <w:r>
                    <w:rPr>
                      <w:rFonts w:cs="Times New Roman"/>
                      <w:b/>
                      <w:bCs/>
                      <w:color w:val="auto"/>
                      <w:szCs w:val="21"/>
                    </w:rPr>
                    <w:t>X</w:t>
                  </w:r>
                </w:p>
              </w:tc>
              <w:tc>
                <w:tcPr>
                  <w:tcW w:w="540" w:type="pct"/>
                  <w:tcBorders>
                    <w:tl2br w:val="nil"/>
                    <w:tr2bl w:val="nil"/>
                  </w:tcBorders>
                  <w:shd w:val="clear" w:color="000000" w:themeColor="text1" w:fill="auto"/>
                  <w:vAlign w:val="center"/>
                </w:tcPr>
                <w:p w14:paraId="1A25BBAA">
                  <w:pPr>
                    <w:spacing w:line="240" w:lineRule="exact"/>
                    <w:jc w:val="center"/>
                    <w:rPr>
                      <w:rFonts w:cs="Times New Roman"/>
                      <w:b/>
                      <w:bCs/>
                      <w:color w:val="auto"/>
                      <w:sz w:val="21"/>
                      <w:szCs w:val="21"/>
                    </w:rPr>
                  </w:pPr>
                  <w:r>
                    <w:rPr>
                      <w:rFonts w:cs="Times New Roman"/>
                      <w:b/>
                      <w:bCs/>
                      <w:color w:val="auto"/>
                      <w:szCs w:val="21"/>
                    </w:rPr>
                    <w:t>Y</w:t>
                  </w:r>
                </w:p>
              </w:tc>
              <w:tc>
                <w:tcPr>
                  <w:tcW w:w="540" w:type="pct"/>
                  <w:tcBorders>
                    <w:tl2br w:val="nil"/>
                    <w:tr2bl w:val="nil"/>
                  </w:tcBorders>
                  <w:shd w:val="clear" w:color="000000" w:themeColor="text1" w:fill="auto"/>
                  <w:vAlign w:val="center"/>
                </w:tcPr>
                <w:p w14:paraId="134312A6">
                  <w:pPr>
                    <w:pStyle w:val="76"/>
                    <w:snapToGrid w:val="0"/>
                    <w:spacing w:before="0" w:after="0"/>
                    <w:rPr>
                      <w:rFonts w:cs="Times New Roman"/>
                      <w:b/>
                      <w:bCs/>
                      <w:color w:val="auto"/>
                      <w:sz w:val="21"/>
                      <w:szCs w:val="21"/>
                    </w:rPr>
                  </w:pPr>
                  <w:r>
                    <w:rPr>
                      <w:rFonts w:cs="Times New Roman"/>
                      <w:b/>
                      <w:bCs/>
                      <w:color w:val="auto"/>
                      <w:sz w:val="21"/>
                      <w:szCs w:val="21"/>
                    </w:rPr>
                    <w:t>昼间</w:t>
                  </w:r>
                </w:p>
              </w:tc>
              <w:tc>
                <w:tcPr>
                  <w:tcW w:w="631" w:type="pct"/>
                  <w:tcBorders>
                    <w:tl2br w:val="nil"/>
                    <w:tr2bl w:val="nil"/>
                  </w:tcBorders>
                  <w:shd w:val="clear" w:color="000000" w:themeColor="text1" w:fill="auto"/>
                  <w:vAlign w:val="center"/>
                </w:tcPr>
                <w:p w14:paraId="0072E935">
                  <w:pPr>
                    <w:pStyle w:val="76"/>
                    <w:snapToGrid w:val="0"/>
                    <w:spacing w:before="0" w:after="0"/>
                    <w:rPr>
                      <w:rFonts w:cs="Times New Roman"/>
                      <w:b/>
                      <w:bCs/>
                      <w:color w:val="auto"/>
                      <w:sz w:val="21"/>
                      <w:szCs w:val="21"/>
                    </w:rPr>
                  </w:pPr>
                  <w:r>
                    <w:rPr>
                      <w:rFonts w:cs="Times New Roman"/>
                      <w:b/>
                      <w:bCs/>
                      <w:color w:val="auto"/>
                      <w:sz w:val="21"/>
                      <w:szCs w:val="21"/>
                    </w:rPr>
                    <w:t>昼间</w:t>
                  </w:r>
                </w:p>
              </w:tc>
              <w:tc>
                <w:tcPr>
                  <w:tcW w:w="530" w:type="pct"/>
                  <w:tcBorders>
                    <w:tl2br w:val="nil"/>
                    <w:tr2bl w:val="nil"/>
                  </w:tcBorders>
                  <w:shd w:val="clear" w:color="000000" w:themeColor="text1" w:fill="auto"/>
                  <w:vAlign w:val="center"/>
                </w:tcPr>
                <w:p w14:paraId="2E1D8FED">
                  <w:pPr>
                    <w:pStyle w:val="76"/>
                    <w:snapToGrid w:val="0"/>
                    <w:spacing w:before="0" w:after="0"/>
                    <w:rPr>
                      <w:rFonts w:cs="Times New Roman"/>
                      <w:b/>
                      <w:bCs/>
                      <w:color w:val="auto"/>
                      <w:sz w:val="21"/>
                      <w:szCs w:val="21"/>
                    </w:rPr>
                  </w:pPr>
                  <w:r>
                    <w:rPr>
                      <w:rFonts w:cs="Times New Roman"/>
                      <w:b/>
                      <w:bCs/>
                      <w:color w:val="auto"/>
                      <w:sz w:val="21"/>
                      <w:szCs w:val="21"/>
                    </w:rPr>
                    <w:t>昼间</w:t>
                  </w:r>
                </w:p>
              </w:tc>
              <w:tc>
                <w:tcPr>
                  <w:tcW w:w="554" w:type="pct"/>
                  <w:tcBorders>
                    <w:tl2br w:val="nil"/>
                    <w:tr2bl w:val="nil"/>
                  </w:tcBorders>
                  <w:shd w:val="clear" w:color="000000" w:themeColor="text1" w:fill="auto"/>
                  <w:vAlign w:val="center"/>
                </w:tcPr>
                <w:p w14:paraId="236395EE">
                  <w:pPr>
                    <w:pStyle w:val="76"/>
                    <w:snapToGrid w:val="0"/>
                    <w:spacing w:before="0" w:after="0"/>
                    <w:rPr>
                      <w:rFonts w:cs="Times New Roman"/>
                      <w:b/>
                      <w:bCs/>
                      <w:color w:val="auto"/>
                      <w:sz w:val="21"/>
                      <w:szCs w:val="21"/>
                    </w:rPr>
                  </w:pPr>
                  <w:r>
                    <w:rPr>
                      <w:rFonts w:cs="Times New Roman"/>
                      <w:b/>
                      <w:bCs/>
                      <w:color w:val="auto"/>
                      <w:sz w:val="21"/>
                      <w:szCs w:val="21"/>
                    </w:rPr>
                    <w:t>昼间</w:t>
                  </w:r>
                </w:p>
              </w:tc>
              <w:tc>
                <w:tcPr>
                  <w:tcW w:w="426" w:type="pct"/>
                  <w:vMerge w:val="continue"/>
                  <w:tcBorders>
                    <w:tl2br w:val="nil"/>
                    <w:tr2bl w:val="nil"/>
                  </w:tcBorders>
                  <w:vAlign w:val="center"/>
                </w:tcPr>
                <w:p w14:paraId="3E16AF26">
                  <w:pPr>
                    <w:jc w:val="center"/>
                    <w:rPr>
                      <w:rFonts w:cs="Times New Roman"/>
                      <w:color w:val="auto"/>
                      <w:szCs w:val="21"/>
                    </w:rPr>
                  </w:pPr>
                </w:p>
              </w:tc>
            </w:tr>
            <w:tr w14:paraId="33DC95E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07" w:type="pct"/>
                  <w:tcBorders>
                    <w:tl2br w:val="nil"/>
                    <w:tr2bl w:val="nil"/>
                  </w:tcBorders>
                  <w:vAlign w:val="center"/>
                </w:tcPr>
                <w:p w14:paraId="5F001768">
                  <w:pPr>
                    <w:jc w:val="center"/>
                    <w:rPr>
                      <w:rFonts w:cs="Times New Roman"/>
                      <w:color w:val="auto"/>
                      <w:szCs w:val="21"/>
                    </w:rPr>
                  </w:pPr>
                  <w:r>
                    <w:rPr>
                      <w:rFonts w:cs="Times New Roman"/>
                      <w:color w:val="auto"/>
                      <w:szCs w:val="21"/>
                    </w:rPr>
                    <w:t>1#</w:t>
                  </w:r>
                </w:p>
              </w:tc>
              <w:tc>
                <w:tcPr>
                  <w:tcW w:w="928" w:type="pct"/>
                  <w:tcBorders>
                    <w:tl2br w:val="nil"/>
                    <w:tr2bl w:val="nil"/>
                  </w:tcBorders>
                  <w:vAlign w:val="center"/>
                </w:tcPr>
                <w:p w14:paraId="2E379DFB">
                  <w:pPr>
                    <w:adjustRightInd w:val="0"/>
                    <w:jc w:val="center"/>
                    <w:rPr>
                      <w:rFonts w:cs="Times New Roman"/>
                      <w:color w:val="auto"/>
                      <w:szCs w:val="21"/>
                    </w:rPr>
                  </w:pPr>
                  <w:r>
                    <w:rPr>
                      <w:rFonts w:cs="Times New Roman"/>
                      <w:color w:val="auto"/>
                      <w:szCs w:val="21"/>
                    </w:rPr>
                    <w:t>项目北</w:t>
                  </w:r>
                  <w:r>
                    <w:rPr>
                      <w:rFonts w:hint="eastAsia" w:cs="Times New Roman"/>
                      <w:color w:val="auto"/>
                      <w:szCs w:val="21"/>
                      <w:lang w:eastAsia="zh-CN"/>
                    </w:rPr>
                    <w:t>侧</w:t>
                  </w:r>
                  <w:r>
                    <w:rPr>
                      <w:rFonts w:cs="Times New Roman"/>
                      <w:color w:val="auto"/>
                      <w:szCs w:val="21"/>
                    </w:rPr>
                    <w:t>厂界外1m</w:t>
                  </w:r>
                </w:p>
              </w:tc>
              <w:tc>
                <w:tcPr>
                  <w:tcW w:w="540" w:type="pct"/>
                  <w:tcBorders>
                    <w:tl2br w:val="nil"/>
                    <w:tr2bl w:val="nil"/>
                  </w:tcBorders>
                  <w:vAlign w:val="center"/>
                </w:tcPr>
                <w:p w14:paraId="5E8BD758">
                  <w:pPr>
                    <w:adjustRightInd w:val="0"/>
                    <w:jc w:val="center"/>
                    <w:rPr>
                      <w:rFonts w:cs="Times New Roman"/>
                      <w:color w:val="auto"/>
                      <w:szCs w:val="21"/>
                      <w:highlight w:val="yellow"/>
                    </w:rPr>
                  </w:pPr>
                  <w:r>
                    <w:rPr>
                      <w:rFonts w:hint="eastAsia"/>
                    </w:rPr>
                    <w:t>59.94</w:t>
                  </w:r>
                </w:p>
              </w:tc>
              <w:tc>
                <w:tcPr>
                  <w:tcW w:w="540" w:type="pct"/>
                  <w:tcBorders>
                    <w:tl2br w:val="nil"/>
                    <w:tr2bl w:val="nil"/>
                  </w:tcBorders>
                  <w:vAlign w:val="center"/>
                </w:tcPr>
                <w:p w14:paraId="46BF8DD1">
                  <w:pPr>
                    <w:adjustRightInd w:val="0"/>
                    <w:jc w:val="center"/>
                    <w:rPr>
                      <w:rFonts w:cs="Times New Roman"/>
                      <w:color w:val="auto"/>
                      <w:szCs w:val="21"/>
                      <w:highlight w:val="yellow"/>
                    </w:rPr>
                  </w:pPr>
                  <w:r>
                    <w:rPr>
                      <w:rFonts w:hint="eastAsia"/>
                    </w:rPr>
                    <w:t>86.54</w:t>
                  </w:r>
                </w:p>
              </w:tc>
              <w:tc>
                <w:tcPr>
                  <w:tcW w:w="540" w:type="pct"/>
                  <w:tcBorders>
                    <w:tl2br w:val="nil"/>
                    <w:tr2bl w:val="nil"/>
                  </w:tcBorders>
                  <w:vAlign w:val="center"/>
                </w:tcPr>
                <w:p w14:paraId="09E39B0F">
                  <w:pPr>
                    <w:adjustRightInd w:val="0"/>
                    <w:jc w:val="center"/>
                    <w:rPr>
                      <w:rFonts w:cs="Times New Roman"/>
                      <w:color w:val="auto"/>
                      <w:szCs w:val="21"/>
                      <w:highlight w:val="yellow"/>
                    </w:rPr>
                  </w:pPr>
                  <w:r>
                    <w:rPr>
                      <w:rFonts w:hint="eastAsia"/>
                    </w:rPr>
                    <w:t>49.47</w:t>
                  </w:r>
                </w:p>
              </w:tc>
              <w:tc>
                <w:tcPr>
                  <w:tcW w:w="631" w:type="pct"/>
                  <w:tcBorders>
                    <w:tl2br w:val="nil"/>
                    <w:tr2bl w:val="nil"/>
                  </w:tcBorders>
                  <w:vAlign w:val="center"/>
                </w:tcPr>
                <w:p w14:paraId="0F7AACF9">
                  <w:pPr>
                    <w:pStyle w:val="76"/>
                    <w:snapToGrid w:val="0"/>
                    <w:spacing w:before="0" w:after="0"/>
                    <w:rPr>
                      <w:rFonts w:cs="Times New Roman"/>
                      <w:bCs/>
                      <w:color w:val="auto"/>
                      <w:sz w:val="21"/>
                      <w:szCs w:val="21"/>
                      <w:highlight w:val="none"/>
                    </w:rPr>
                  </w:pPr>
                  <w:r>
                    <w:rPr>
                      <w:rFonts w:cs="Times New Roman"/>
                      <w:bCs/>
                      <w:color w:val="auto"/>
                      <w:sz w:val="21"/>
                      <w:szCs w:val="21"/>
                      <w:highlight w:val="none"/>
                    </w:rPr>
                    <w:t>/</w:t>
                  </w:r>
                </w:p>
              </w:tc>
              <w:tc>
                <w:tcPr>
                  <w:tcW w:w="530" w:type="pct"/>
                  <w:tcBorders>
                    <w:tl2br w:val="nil"/>
                    <w:tr2bl w:val="nil"/>
                  </w:tcBorders>
                  <w:vAlign w:val="center"/>
                </w:tcPr>
                <w:p w14:paraId="241BECB8">
                  <w:pPr>
                    <w:adjustRightInd w:val="0"/>
                    <w:jc w:val="center"/>
                    <w:rPr>
                      <w:rFonts w:cs="Times New Roman"/>
                      <w:color w:val="auto"/>
                      <w:szCs w:val="21"/>
                      <w:highlight w:val="yellow"/>
                    </w:rPr>
                  </w:pPr>
                  <w:r>
                    <w:rPr>
                      <w:rFonts w:hint="eastAsia"/>
                    </w:rPr>
                    <w:t>49.47</w:t>
                  </w:r>
                </w:p>
              </w:tc>
              <w:tc>
                <w:tcPr>
                  <w:tcW w:w="554" w:type="pct"/>
                  <w:tcBorders>
                    <w:tl2br w:val="nil"/>
                    <w:tr2bl w:val="nil"/>
                  </w:tcBorders>
                  <w:vAlign w:val="center"/>
                </w:tcPr>
                <w:p w14:paraId="5FB141B8">
                  <w:pPr>
                    <w:jc w:val="center"/>
                    <w:rPr>
                      <w:rFonts w:hint="default" w:eastAsia="宋体" w:cs="Times New Roman"/>
                      <w:color w:val="auto"/>
                      <w:szCs w:val="21"/>
                      <w:lang w:val="en-US" w:eastAsia="zh-CN"/>
                    </w:rPr>
                  </w:pPr>
                  <w:r>
                    <w:rPr>
                      <w:rFonts w:hint="eastAsia" w:cs="Times New Roman"/>
                      <w:color w:val="auto"/>
                      <w:szCs w:val="21"/>
                      <w:lang w:val="en-US" w:eastAsia="zh-CN"/>
                    </w:rPr>
                    <w:t>65</w:t>
                  </w:r>
                </w:p>
              </w:tc>
              <w:tc>
                <w:tcPr>
                  <w:tcW w:w="426" w:type="pct"/>
                  <w:tcBorders>
                    <w:tl2br w:val="nil"/>
                    <w:tr2bl w:val="nil"/>
                  </w:tcBorders>
                  <w:vAlign w:val="center"/>
                </w:tcPr>
                <w:p w14:paraId="479E18FA">
                  <w:pPr>
                    <w:jc w:val="center"/>
                    <w:rPr>
                      <w:rFonts w:cs="Times New Roman"/>
                      <w:color w:val="auto"/>
                      <w:szCs w:val="21"/>
                    </w:rPr>
                  </w:pPr>
                  <w:r>
                    <w:rPr>
                      <w:rFonts w:cs="Times New Roman"/>
                      <w:color w:val="auto"/>
                      <w:szCs w:val="21"/>
                    </w:rPr>
                    <w:t>达标</w:t>
                  </w:r>
                </w:p>
              </w:tc>
            </w:tr>
            <w:tr w14:paraId="3D35F21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07" w:type="pct"/>
                  <w:tcBorders>
                    <w:tl2br w:val="nil"/>
                    <w:tr2bl w:val="nil"/>
                  </w:tcBorders>
                  <w:vAlign w:val="center"/>
                </w:tcPr>
                <w:p w14:paraId="7AC19B20">
                  <w:pPr>
                    <w:jc w:val="center"/>
                    <w:rPr>
                      <w:rFonts w:cs="Times New Roman"/>
                      <w:color w:val="auto"/>
                      <w:szCs w:val="21"/>
                    </w:rPr>
                  </w:pPr>
                  <w:r>
                    <w:rPr>
                      <w:rFonts w:cs="Times New Roman"/>
                      <w:color w:val="auto"/>
                      <w:szCs w:val="21"/>
                    </w:rPr>
                    <w:t>2#</w:t>
                  </w:r>
                </w:p>
              </w:tc>
              <w:tc>
                <w:tcPr>
                  <w:tcW w:w="928" w:type="pct"/>
                  <w:tcBorders>
                    <w:tl2br w:val="nil"/>
                    <w:tr2bl w:val="nil"/>
                  </w:tcBorders>
                  <w:vAlign w:val="center"/>
                </w:tcPr>
                <w:p w14:paraId="498EAB0C">
                  <w:pPr>
                    <w:adjustRightInd w:val="0"/>
                    <w:jc w:val="center"/>
                    <w:rPr>
                      <w:rFonts w:cs="Times New Roman"/>
                      <w:color w:val="auto"/>
                      <w:szCs w:val="21"/>
                    </w:rPr>
                  </w:pPr>
                  <w:r>
                    <w:rPr>
                      <w:rFonts w:cs="Times New Roman"/>
                      <w:color w:val="auto"/>
                      <w:szCs w:val="21"/>
                    </w:rPr>
                    <w:t>项目东</w:t>
                  </w:r>
                  <w:r>
                    <w:rPr>
                      <w:rFonts w:hint="eastAsia" w:cs="Times New Roman"/>
                      <w:color w:val="auto"/>
                      <w:szCs w:val="21"/>
                      <w:lang w:eastAsia="zh-CN"/>
                    </w:rPr>
                    <w:t>侧</w:t>
                  </w:r>
                  <w:r>
                    <w:rPr>
                      <w:rFonts w:cs="Times New Roman"/>
                      <w:color w:val="auto"/>
                      <w:szCs w:val="21"/>
                    </w:rPr>
                    <w:t>厂界外1m</w:t>
                  </w:r>
                </w:p>
              </w:tc>
              <w:tc>
                <w:tcPr>
                  <w:tcW w:w="540" w:type="pct"/>
                  <w:tcBorders>
                    <w:tl2br w:val="nil"/>
                    <w:tr2bl w:val="nil"/>
                  </w:tcBorders>
                  <w:vAlign w:val="center"/>
                </w:tcPr>
                <w:p w14:paraId="634DE625">
                  <w:pPr>
                    <w:adjustRightInd w:val="0"/>
                    <w:jc w:val="center"/>
                    <w:rPr>
                      <w:rFonts w:cs="Times New Roman"/>
                      <w:color w:val="auto"/>
                      <w:szCs w:val="21"/>
                      <w:highlight w:val="yellow"/>
                    </w:rPr>
                  </w:pPr>
                  <w:r>
                    <w:rPr>
                      <w:rFonts w:hint="eastAsia"/>
                    </w:rPr>
                    <w:t>129.45</w:t>
                  </w:r>
                </w:p>
              </w:tc>
              <w:tc>
                <w:tcPr>
                  <w:tcW w:w="540" w:type="pct"/>
                  <w:tcBorders>
                    <w:tl2br w:val="nil"/>
                    <w:tr2bl w:val="nil"/>
                  </w:tcBorders>
                  <w:vAlign w:val="center"/>
                </w:tcPr>
                <w:p w14:paraId="3D4E32EA">
                  <w:pPr>
                    <w:adjustRightInd w:val="0"/>
                    <w:jc w:val="center"/>
                    <w:rPr>
                      <w:rFonts w:cs="Times New Roman"/>
                      <w:color w:val="auto"/>
                      <w:szCs w:val="21"/>
                      <w:highlight w:val="yellow"/>
                    </w:rPr>
                  </w:pPr>
                  <w:r>
                    <w:rPr>
                      <w:rFonts w:hint="eastAsia"/>
                    </w:rPr>
                    <w:t>37.90</w:t>
                  </w:r>
                </w:p>
              </w:tc>
              <w:tc>
                <w:tcPr>
                  <w:tcW w:w="540" w:type="pct"/>
                  <w:tcBorders>
                    <w:tl2br w:val="nil"/>
                    <w:tr2bl w:val="nil"/>
                  </w:tcBorders>
                  <w:vAlign w:val="center"/>
                </w:tcPr>
                <w:p w14:paraId="71B527D1">
                  <w:pPr>
                    <w:adjustRightInd w:val="0"/>
                    <w:jc w:val="center"/>
                    <w:rPr>
                      <w:rFonts w:cs="Times New Roman"/>
                      <w:color w:val="auto"/>
                      <w:szCs w:val="21"/>
                      <w:highlight w:val="yellow"/>
                    </w:rPr>
                  </w:pPr>
                  <w:r>
                    <w:rPr>
                      <w:rFonts w:hint="eastAsia"/>
                    </w:rPr>
                    <w:t>52.93</w:t>
                  </w:r>
                </w:p>
              </w:tc>
              <w:tc>
                <w:tcPr>
                  <w:tcW w:w="631" w:type="pct"/>
                  <w:tcBorders>
                    <w:tl2br w:val="nil"/>
                    <w:tr2bl w:val="nil"/>
                  </w:tcBorders>
                  <w:vAlign w:val="center"/>
                </w:tcPr>
                <w:p w14:paraId="66F7DE90">
                  <w:pPr>
                    <w:pStyle w:val="76"/>
                    <w:snapToGrid w:val="0"/>
                    <w:spacing w:before="0" w:after="0"/>
                    <w:rPr>
                      <w:rFonts w:cs="Times New Roman"/>
                      <w:bCs/>
                      <w:color w:val="auto"/>
                      <w:sz w:val="21"/>
                      <w:szCs w:val="21"/>
                      <w:highlight w:val="none"/>
                    </w:rPr>
                  </w:pPr>
                  <w:r>
                    <w:rPr>
                      <w:rFonts w:cs="Times New Roman"/>
                      <w:bCs/>
                      <w:color w:val="auto"/>
                      <w:sz w:val="21"/>
                      <w:szCs w:val="21"/>
                      <w:highlight w:val="none"/>
                    </w:rPr>
                    <w:t>/</w:t>
                  </w:r>
                </w:p>
              </w:tc>
              <w:tc>
                <w:tcPr>
                  <w:tcW w:w="530" w:type="pct"/>
                  <w:tcBorders>
                    <w:tl2br w:val="nil"/>
                    <w:tr2bl w:val="nil"/>
                  </w:tcBorders>
                  <w:vAlign w:val="center"/>
                </w:tcPr>
                <w:p w14:paraId="3F963FBA">
                  <w:pPr>
                    <w:adjustRightInd w:val="0"/>
                    <w:jc w:val="center"/>
                    <w:rPr>
                      <w:rFonts w:cs="Times New Roman"/>
                      <w:color w:val="auto"/>
                      <w:szCs w:val="21"/>
                      <w:highlight w:val="yellow"/>
                    </w:rPr>
                  </w:pPr>
                  <w:r>
                    <w:rPr>
                      <w:rFonts w:hint="eastAsia"/>
                    </w:rPr>
                    <w:t>52.93</w:t>
                  </w:r>
                </w:p>
              </w:tc>
              <w:tc>
                <w:tcPr>
                  <w:tcW w:w="554" w:type="pct"/>
                  <w:tcBorders>
                    <w:tl2br w:val="nil"/>
                    <w:tr2bl w:val="nil"/>
                  </w:tcBorders>
                  <w:vAlign w:val="center"/>
                </w:tcPr>
                <w:p w14:paraId="603BC1AB">
                  <w:pPr>
                    <w:jc w:val="center"/>
                    <w:rPr>
                      <w:rFonts w:hint="default" w:eastAsia="宋体" w:cs="Times New Roman"/>
                      <w:color w:val="auto"/>
                      <w:szCs w:val="21"/>
                      <w:lang w:val="en-US" w:eastAsia="zh-CN"/>
                    </w:rPr>
                  </w:pPr>
                  <w:r>
                    <w:rPr>
                      <w:rFonts w:hint="eastAsia" w:cs="Times New Roman"/>
                      <w:color w:val="auto"/>
                      <w:szCs w:val="21"/>
                      <w:lang w:val="en-US" w:eastAsia="zh-CN"/>
                    </w:rPr>
                    <w:t>65</w:t>
                  </w:r>
                </w:p>
              </w:tc>
              <w:tc>
                <w:tcPr>
                  <w:tcW w:w="426" w:type="pct"/>
                  <w:tcBorders>
                    <w:tl2br w:val="nil"/>
                    <w:tr2bl w:val="nil"/>
                  </w:tcBorders>
                  <w:vAlign w:val="center"/>
                </w:tcPr>
                <w:p w14:paraId="46299A3B">
                  <w:pPr>
                    <w:jc w:val="center"/>
                    <w:rPr>
                      <w:rFonts w:cs="Times New Roman"/>
                      <w:color w:val="auto"/>
                      <w:szCs w:val="21"/>
                    </w:rPr>
                  </w:pPr>
                  <w:r>
                    <w:rPr>
                      <w:rFonts w:cs="Times New Roman"/>
                      <w:color w:val="auto"/>
                      <w:szCs w:val="21"/>
                    </w:rPr>
                    <w:t>达标</w:t>
                  </w:r>
                </w:p>
              </w:tc>
            </w:tr>
            <w:tr w14:paraId="0530E5D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07" w:type="pct"/>
                  <w:tcBorders>
                    <w:tl2br w:val="nil"/>
                    <w:tr2bl w:val="nil"/>
                  </w:tcBorders>
                  <w:vAlign w:val="center"/>
                </w:tcPr>
                <w:p w14:paraId="5CE8BB59">
                  <w:pPr>
                    <w:jc w:val="center"/>
                    <w:rPr>
                      <w:rFonts w:cs="Times New Roman"/>
                      <w:color w:val="auto"/>
                      <w:szCs w:val="21"/>
                    </w:rPr>
                  </w:pPr>
                  <w:r>
                    <w:rPr>
                      <w:rFonts w:cs="Times New Roman"/>
                      <w:color w:val="auto"/>
                      <w:szCs w:val="21"/>
                    </w:rPr>
                    <w:t>3#</w:t>
                  </w:r>
                </w:p>
              </w:tc>
              <w:tc>
                <w:tcPr>
                  <w:tcW w:w="928" w:type="pct"/>
                  <w:tcBorders>
                    <w:tl2br w:val="nil"/>
                    <w:tr2bl w:val="nil"/>
                  </w:tcBorders>
                  <w:vAlign w:val="center"/>
                </w:tcPr>
                <w:p w14:paraId="64FF23D7">
                  <w:pPr>
                    <w:adjustRightInd w:val="0"/>
                    <w:jc w:val="center"/>
                    <w:rPr>
                      <w:rFonts w:cs="Times New Roman"/>
                      <w:color w:val="auto"/>
                      <w:szCs w:val="21"/>
                    </w:rPr>
                  </w:pPr>
                  <w:r>
                    <w:rPr>
                      <w:rFonts w:cs="Times New Roman"/>
                      <w:color w:val="auto"/>
                      <w:szCs w:val="21"/>
                    </w:rPr>
                    <w:t>项目南</w:t>
                  </w:r>
                  <w:r>
                    <w:rPr>
                      <w:rFonts w:hint="eastAsia" w:cs="Times New Roman"/>
                      <w:color w:val="auto"/>
                      <w:szCs w:val="21"/>
                      <w:lang w:eastAsia="zh-CN"/>
                    </w:rPr>
                    <w:t>侧</w:t>
                  </w:r>
                  <w:r>
                    <w:rPr>
                      <w:rFonts w:cs="Times New Roman"/>
                      <w:color w:val="auto"/>
                      <w:szCs w:val="21"/>
                    </w:rPr>
                    <w:t>厂界外1m</w:t>
                  </w:r>
                </w:p>
              </w:tc>
              <w:tc>
                <w:tcPr>
                  <w:tcW w:w="540" w:type="pct"/>
                  <w:tcBorders>
                    <w:tl2br w:val="nil"/>
                    <w:tr2bl w:val="nil"/>
                  </w:tcBorders>
                  <w:vAlign w:val="center"/>
                </w:tcPr>
                <w:p w14:paraId="59DD0060">
                  <w:pPr>
                    <w:adjustRightInd w:val="0"/>
                    <w:jc w:val="center"/>
                    <w:rPr>
                      <w:rFonts w:cs="Times New Roman"/>
                      <w:color w:val="auto"/>
                      <w:szCs w:val="21"/>
                      <w:highlight w:val="yellow"/>
                    </w:rPr>
                  </w:pPr>
                  <w:r>
                    <w:rPr>
                      <w:rFonts w:hint="eastAsia"/>
                    </w:rPr>
                    <w:t>65.04</w:t>
                  </w:r>
                </w:p>
              </w:tc>
              <w:tc>
                <w:tcPr>
                  <w:tcW w:w="540" w:type="pct"/>
                  <w:tcBorders>
                    <w:tl2br w:val="nil"/>
                    <w:tr2bl w:val="nil"/>
                  </w:tcBorders>
                  <w:vAlign w:val="center"/>
                </w:tcPr>
                <w:p w14:paraId="510AE20A">
                  <w:pPr>
                    <w:adjustRightInd w:val="0"/>
                    <w:jc w:val="center"/>
                    <w:rPr>
                      <w:rFonts w:cs="Times New Roman"/>
                      <w:color w:val="auto"/>
                      <w:szCs w:val="21"/>
                      <w:highlight w:val="yellow"/>
                    </w:rPr>
                  </w:pPr>
                  <w:r>
                    <w:rPr>
                      <w:rFonts w:hint="eastAsia"/>
                    </w:rPr>
                    <w:t>-1.47</w:t>
                  </w:r>
                </w:p>
              </w:tc>
              <w:tc>
                <w:tcPr>
                  <w:tcW w:w="540" w:type="pct"/>
                  <w:tcBorders>
                    <w:tl2br w:val="nil"/>
                    <w:tr2bl w:val="nil"/>
                  </w:tcBorders>
                  <w:vAlign w:val="center"/>
                </w:tcPr>
                <w:p w14:paraId="12205C5F">
                  <w:pPr>
                    <w:adjustRightInd w:val="0"/>
                    <w:jc w:val="center"/>
                    <w:rPr>
                      <w:rFonts w:cs="Times New Roman"/>
                      <w:color w:val="auto"/>
                      <w:szCs w:val="21"/>
                      <w:highlight w:val="yellow"/>
                    </w:rPr>
                  </w:pPr>
                  <w:r>
                    <w:rPr>
                      <w:rFonts w:hint="eastAsia"/>
                    </w:rPr>
                    <w:t>59.24</w:t>
                  </w:r>
                </w:p>
              </w:tc>
              <w:tc>
                <w:tcPr>
                  <w:tcW w:w="631" w:type="pct"/>
                  <w:tcBorders>
                    <w:tl2br w:val="nil"/>
                    <w:tr2bl w:val="nil"/>
                  </w:tcBorders>
                  <w:vAlign w:val="center"/>
                </w:tcPr>
                <w:p w14:paraId="0B3BBB88">
                  <w:pPr>
                    <w:pStyle w:val="76"/>
                    <w:snapToGrid w:val="0"/>
                    <w:spacing w:before="0" w:after="0"/>
                    <w:rPr>
                      <w:rFonts w:cs="Times New Roman"/>
                      <w:bCs/>
                      <w:color w:val="auto"/>
                      <w:sz w:val="21"/>
                      <w:szCs w:val="21"/>
                      <w:highlight w:val="none"/>
                    </w:rPr>
                  </w:pPr>
                  <w:r>
                    <w:rPr>
                      <w:rFonts w:cs="Times New Roman"/>
                      <w:bCs/>
                      <w:color w:val="auto"/>
                      <w:sz w:val="21"/>
                      <w:szCs w:val="21"/>
                      <w:highlight w:val="none"/>
                    </w:rPr>
                    <w:t>/</w:t>
                  </w:r>
                </w:p>
              </w:tc>
              <w:tc>
                <w:tcPr>
                  <w:tcW w:w="530" w:type="pct"/>
                  <w:tcBorders>
                    <w:tl2br w:val="nil"/>
                    <w:tr2bl w:val="nil"/>
                  </w:tcBorders>
                  <w:vAlign w:val="center"/>
                </w:tcPr>
                <w:p w14:paraId="3E1DE9B3">
                  <w:pPr>
                    <w:adjustRightInd w:val="0"/>
                    <w:jc w:val="center"/>
                    <w:rPr>
                      <w:rFonts w:cs="Times New Roman"/>
                      <w:color w:val="auto"/>
                      <w:szCs w:val="21"/>
                      <w:highlight w:val="yellow"/>
                    </w:rPr>
                  </w:pPr>
                  <w:r>
                    <w:rPr>
                      <w:rFonts w:hint="eastAsia"/>
                    </w:rPr>
                    <w:t>59.24</w:t>
                  </w:r>
                </w:p>
              </w:tc>
              <w:tc>
                <w:tcPr>
                  <w:tcW w:w="554" w:type="pct"/>
                  <w:tcBorders>
                    <w:tl2br w:val="nil"/>
                    <w:tr2bl w:val="nil"/>
                  </w:tcBorders>
                  <w:vAlign w:val="center"/>
                </w:tcPr>
                <w:p w14:paraId="6FB4549D">
                  <w:pPr>
                    <w:jc w:val="center"/>
                    <w:rPr>
                      <w:rFonts w:hint="default" w:eastAsia="宋体" w:cs="Times New Roman"/>
                      <w:color w:val="auto"/>
                      <w:szCs w:val="21"/>
                      <w:lang w:val="en-US" w:eastAsia="zh-CN"/>
                    </w:rPr>
                  </w:pPr>
                  <w:r>
                    <w:rPr>
                      <w:rFonts w:hint="eastAsia" w:cs="Times New Roman"/>
                      <w:color w:val="auto"/>
                      <w:szCs w:val="21"/>
                      <w:lang w:val="en-US" w:eastAsia="zh-CN"/>
                    </w:rPr>
                    <w:t>65</w:t>
                  </w:r>
                </w:p>
              </w:tc>
              <w:tc>
                <w:tcPr>
                  <w:tcW w:w="426" w:type="pct"/>
                  <w:tcBorders>
                    <w:tl2br w:val="nil"/>
                    <w:tr2bl w:val="nil"/>
                  </w:tcBorders>
                  <w:vAlign w:val="center"/>
                </w:tcPr>
                <w:p w14:paraId="0FDB52FB">
                  <w:pPr>
                    <w:jc w:val="center"/>
                    <w:rPr>
                      <w:rFonts w:cs="Times New Roman"/>
                      <w:color w:val="auto"/>
                      <w:szCs w:val="21"/>
                    </w:rPr>
                  </w:pPr>
                  <w:r>
                    <w:rPr>
                      <w:rFonts w:cs="Times New Roman"/>
                      <w:color w:val="auto"/>
                      <w:szCs w:val="21"/>
                    </w:rPr>
                    <w:t>达标</w:t>
                  </w:r>
                </w:p>
              </w:tc>
            </w:tr>
            <w:tr w14:paraId="295CD25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07" w:type="pct"/>
                  <w:tcBorders>
                    <w:tl2br w:val="nil"/>
                    <w:tr2bl w:val="nil"/>
                  </w:tcBorders>
                  <w:vAlign w:val="center"/>
                </w:tcPr>
                <w:p w14:paraId="7713C2FC">
                  <w:pPr>
                    <w:jc w:val="center"/>
                    <w:rPr>
                      <w:rFonts w:cs="Times New Roman"/>
                      <w:color w:val="auto"/>
                      <w:szCs w:val="21"/>
                    </w:rPr>
                  </w:pPr>
                  <w:r>
                    <w:rPr>
                      <w:rFonts w:cs="Times New Roman"/>
                      <w:color w:val="auto"/>
                      <w:szCs w:val="21"/>
                    </w:rPr>
                    <w:t>4#</w:t>
                  </w:r>
                </w:p>
              </w:tc>
              <w:tc>
                <w:tcPr>
                  <w:tcW w:w="928" w:type="pct"/>
                  <w:tcBorders>
                    <w:tl2br w:val="nil"/>
                    <w:tr2bl w:val="nil"/>
                  </w:tcBorders>
                  <w:vAlign w:val="center"/>
                </w:tcPr>
                <w:p w14:paraId="5BA0D30D">
                  <w:pPr>
                    <w:adjustRightInd w:val="0"/>
                    <w:jc w:val="center"/>
                    <w:rPr>
                      <w:rFonts w:cs="Times New Roman"/>
                      <w:color w:val="auto"/>
                      <w:szCs w:val="21"/>
                    </w:rPr>
                  </w:pPr>
                  <w:r>
                    <w:rPr>
                      <w:rFonts w:cs="Times New Roman"/>
                      <w:color w:val="auto"/>
                      <w:szCs w:val="21"/>
                    </w:rPr>
                    <w:t>项目西</w:t>
                  </w:r>
                  <w:r>
                    <w:rPr>
                      <w:rFonts w:hint="eastAsia" w:cs="Times New Roman"/>
                      <w:color w:val="auto"/>
                      <w:szCs w:val="21"/>
                      <w:lang w:eastAsia="zh-CN"/>
                    </w:rPr>
                    <w:t>侧</w:t>
                  </w:r>
                  <w:r>
                    <w:rPr>
                      <w:rFonts w:cs="Times New Roman"/>
                      <w:color w:val="auto"/>
                      <w:szCs w:val="21"/>
                    </w:rPr>
                    <w:t>厂界外1m</w:t>
                  </w:r>
                </w:p>
              </w:tc>
              <w:tc>
                <w:tcPr>
                  <w:tcW w:w="540" w:type="pct"/>
                  <w:tcBorders>
                    <w:tl2br w:val="nil"/>
                    <w:tr2bl w:val="nil"/>
                  </w:tcBorders>
                  <w:vAlign w:val="center"/>
                </w:tcPr>
                <w:p w14:paraId="072DF4BE">
                  <w:pPr>
                    <w:adjustRightInd w:val="0"/>
                    <w:jc w:val="center"/>
                    <w:rPr>
                      <w:rFonts w:cs="Times New Roman"/>
                      <w:color w:val="auto"/>
                      <w:szCs w:val="21"/>
                      <w:highlight w:val="yellow"/>
                    </w:rPr>
                  </w:pPr>
                  <w:r>
                    <w:rPr>
                      <w:rFonts w:hint="eastAsia"/>
                    </w:rPr>
                    <w:t>-1.77</w:t>
                  </w:r>
                </w:p>
              </w:tc>
              <w:tc>
                <w:tcPr>
                  <w:tcW w:w="540" w:type="pct"/>
                  <w:tcBorders>
                    <w:tl2br w:val="nil"/>
                    <w:tr2bl w:val="nil"/>
                  </w:tcBorders>
                  <w:vAlign w:val="center"/>
                </w:tcPr>
                <w:p w14:paraId="30B3EF67">
                  <w:pPr>
                    <w:adjustRightInd w:val="0"/>
                    <w:jc w:val="center"/>
                    <w:rPr>
                      <w:rFonts w:cs="Times New Roman"/>
                      <w:color w:val="auto"/>
                      <w:szCs w:val="21"/>
                      <w:highlight w:val="yellow"/>
                    </w:rPr>
                  </w:pPr>
                  <w:r>
                    <w:rPr>
                      <w:rFonts w:hint="eastAsia"/>
                    </w:rPr>
                    <w:t>44.05</w:t>
                  </w:r>
                </w:p>
              </w:tc>
              <w:tc>
                <w:tcPr>
                  <w:tcW w:w="540" w:type="pct"/>
                  <w:tcBorders>
                    <w:tl2br w:val="nil"/>
                    <w:tr2bl w:val="nil"/>
                  </w:tcBorders>
                  <w:vAlign w:val="center"/>
                </w:tcPr>
                <w:p w14:paraId="683A8C00">
                  <w:pPr>
                    <w:adjustRightInd w:val="0"/>
                    <w:jc w:val="center"/>
                    <w:rPr>
                      <w:rFonts w:cs="Times New Roman"/>
                      <w:color w:val="auto"/>
                      <w:szCs w:val="21"/>
                      <w:highlight w:val="yellow"/>
                    </w:rPr>
                  </w:pPr>
                  <w:r>
                    <w:rPr>
                      <w:rFonts w:hint="eastAsia"/>
                    </w:rPr>
                    <w:t>54.47</w:t>
                  </w:r>
                </w:p>
              </w:tc>
              <w:tc>
                <w:tcPr>
                  <w:tcW w:w="631" w:type="pct"/>
                  <w:tcBorders>
                    <w:tl2br w:val="nil"/>
                    <w:tr2bl w:val="nil"/>
                  </w:tcBorders>
                  <w:vAlign w:val="center"/>
                </w:tcPr>
                <w:p w14:paraId="27B75A3F">
                  <w:pPr>
                    <w:pStyle w:val="76"/>
                    <w:snapToGrid w:val="0"/>
                    <w:spacing w:before="0" w:after="0"/>
                    <w:rPr>
                      <w:rFonts w:cs="Times New Roman"/>
                      <w:bCs/>
                      <w:color w:val="auto"/>
                      <w:sz w:val="21"/>
                      <w:szCs w:val="21"/>
                      <w:highlight w:val="none"/>
                    </w:rPr>
                  </w:pPr>
                  <w:r>
                    <w:rPr>
                      <w:rFonts w:cs="Times New Roman"/>
                      <w:bCs/>
                      <w:color w:val="auto"/>
                      <w:sz w:val="21"/>
                      <w:szCs w:val="21"/>
                      <w:highlight w:val="none"/>
                    </w:rPr>
                    <w:t>/</w:t>
                  </w:r>
                </w:p>
              </w:tc>
              <w:tc>
                <w:tcPr>
                  <w:tcW w:w="530" w:type="pct"/>
                  <w:tcBorders>
                    <w:tl2br w:val="nil"/>
                    <w:tr2bl w:val="nil"/>
                  </w:tcBorders>
                  <w:vAlign w:val="center"/>
                </w:tcPr>
                <w:p w14:paraId="201C7A2A">
                  <w:pPr>
                    <w:adjustRightInd w:val="0"/>
                    <w:jc w:val="center"/>
                    <w:rPr>
                      <w:rFonts w:cs="Times New Roman"/>
                      <w:color w:val="auto"/>
                      <w:szCs w:val="21"/>
                      <w:highlight w:val="yellow"/>
                    </w:rPr>
                  </w:pPr>
                  <w:r>
                    <w:rPr>
                      <w:rFonts w:hint="eastAsia"/>
                    </w:rPr>
                    <w:t>54.47</w:t>
                  </w:r>
                </w:p>
              </w:tc>
              <w:tc>
                <w:tcPr>
                  <w:tcW w:w="554" w:type="pct"/>
                  <w:tcBorders>
                    <w:tl2br w:val="nil"/>
                    <w:tr2bl w:val="nil"/>
                  </w:tcBorders>
                  <w:vAlign w:val="center"/>
                </w:tcPr>
                <w:p w14:paraId="3EB28420">
                  <w:pPr>
                    <w:jc w:val="center"/>
                    <w:rPr>
                      <w:rFonts w:hint="default" w:eastAsia="宋体" w:cs="Times New Roman"/>
                      <w:color w:val="auto"/>
                      <w:szCs w:val="21"/>
                      <w:lang w:val="en-US" w:eastAsia="zh-CN"/>
                    </w:rPr>
                  </w:pPr>
                  <w:r>
                    <w:rPr>
                      <w:rFonts w:hint="eastAsia" w:cs="Times New Roman"/>
                      <w:color w:val="auto"/>
                      <w:szCs w:val="21"/>
                      <w:lang w:val="en-US" w:eastAsia="zh-CN"/>
                    </w:rPr>
                    <w:t>65</w:t>
                  </w:r>
                </w:p>
              </w:tc>
              <w:tc>
                <w:tcPr>
                  <w:tcW w:w="426" w:type="pct"/>
                  <w:tcBorders>
                    <w:tl2br w:val="nil"/>
                    <w:tr2bl w:val="nil"/>
                  </w:tcBorders>
                  <w:vAlign w:val="center"/>
                </w:tcPr>
                <w:p w14:paraId="1082FA15">
                  <w:pPr>
                    <w:jc w:val="center"/>
                    <w:rPr>
                      <w:rFonts w:cs="Times New Roman"/>
                      <w:color w:val="auto"/>
                      <w:szCs w:val="21"/>
                    </w:rPr>
                  </w:pPr>
                  <w:r>
                    <w:rPr>
                      <w:rFonts w:cs="Times New Roman"/>
                      <w:color w:val="auto"/>
                      <w:szCs w:val="21"/>
                    </w:rPr>
                    <w:t>达标</w:t>
                  </w:r>
                </w:p>
              </w:tc>
            </w:tr>
          </w:tbl>
          <w:p w14:paraId="0F2FD94C">
            <w:pPr>
              <w:spacing w:line="360" w:lineRule="auto"/>
              <w:ind w:firstLine="480" w:firstLineChars="200"/>
              <w:rPr>
                <w:rFonts w:cs="Times New Roman"/>
                <w:color w:val="auto"/>
                <w:sz w:val="24"/>
                <w:szCs w:val="24"/>
              </w:rPr>
            </w:pPr>
            <w:r>
              <w:rPr>
                <w:rFonts w:cs="Times New Roman"/>
                <w:color w:val="auto"/>
                <w:sz w:val="24"/>
                <w:szCs w:val="24"/>
              </w:rPr>
              <w:t>由预测结果可知，营运期昼间厂界四周预测点噪声排放值均满足《工业企业厂界环境噪声排放标准》（GB12348-2008）</w:t>
            </w:r>
            <w:r>
              <w:rPr>
                <w:rFonts w:hint="eastAsia" w:cs="Times New Roman"/>
                <w:color w:val="auto"/>
                <w:sz w:val="24"/>
                <w:szCs w:val="24"/>
                <w:lang w:val="en-US" w:eastAsia="zh-CN"/>
              </w:rPr>
              <w:t>3</w:t>
            </w:r>
            <w:r>
              <w:rPr>
                <w:rFonts w:cs="Times New Roman"/>
                <w:color w:val="auto"/>
                <w:sz w:val="24"/>
                <w:szCs w:val="24"/>
              </w:rPr>
              <w:t>类标准，可实现达标排放；夜间不运营，不会对周围环境产生影响。且项目周边50m内无声环境敏感目标。因此，本项目噪声不会对区域声环境造成影响。</w:t>
            </w:r>
          </w:p>
          <w:p w14:paraId="1E567B8E">
            <w:pPr>
              <w:spacing w:line="360" w:lineRule="auto"/>
              <w:ind w:firstLine="361" w:firstLineChars="150"/>
              <w:rPr>
                <w:rFonts w:cs="Times New Roman"/>
                <w:b/>
                <w:color w:val="auto"/>
                <w:sz w:val="24"/>
                <w:szCs w:val="24"/>
              </w:rPr>
            </w:pPr>
            <w:r>
              <w:rPr>
                <w:rFonts w:cs="Times New Roman"/>
                <w:b/>
                <w:color w:val="auto"/>
                <w:sz w:val="24"/>
                <w:szCs w:val="24"/>
              </w:rPr>
              <w:t>（3）监测要求</w:t>
            </w:r>
          </w:p>
          <w:p w14:paraId="05B54414">
            <w:pPr>
              <w:spacing w:line="360" w:lineRule="auto"/>
              <w:ind w:firstLine="480" w:firstLineChars="200"/>
              <w:rPr>
                <w:rFonts w:cs="Times New Roman"/>
                <w:color w:val="auto"/>
                <w:sz w:val="24"/>
                <w:szCs w:val="24"/>
              </w:rPr>
            </w:pPr>
            <w:r>
              <w:rPr>
                <w:rFonts w:cs="Times New Roman"/>
                <w:color w:val="auto"/>
                <w:sz w:val="24"/>
                <w:szCs w:val="24"/>
              </w:rPr>
              <w:t>本次环评根据《排污单位自行监测技术指南 总则》（HJ819-2017）提出项目生产运行阶段的污染源监测计划，详见下表：</w:t>
            </w:r>
          </w:p>
          <w:p w14:paraId="0102E7A5">
            <w:pPr>
              <w:spacing w:line="360" w:lineRule="auto"/>
              <w:jc w:val="center"/>
              <w:rPr>
                <w:rFonts w:cs="Times New Roman"/>
                <w:b/>
                <w:bCs/>
                <w:color w:val="auto"/>
                <w:sz w:val="24"/>
                <w:szCs w:val="24"/>
              </w:rPr>
            </w:pPr>
            <w:r>
              <w:rPr>
                <w:rFonts w:cs="Times New Roman"/>
                <w:b/>
                <w:bCs/>
                <w:color w:val="auto"/>
                <w:sz w:val="24"/>
                <w:szCs w:val="24"/>
              </w:rPr>
              <w:t>表4-1</w:t>
            </w:r>
            <w:r>
              <w:rPr>
                <w:rFonts w:hint="eastAsia" w:cs="Times New Roman"/>
                <w:b/>
                <w:bCs/>
                <w:color w:val="auto"/>
                <w:sz w:val="24"/>
                <w:szCs w:val="24"/>
                <w:lang w:val="en-US" w:eastAsia="zh-CN"/>
              </w:rPr>
              <w:t>3</w:t>
            </w:r>
            <w:r>
              <w:rPr>
                <w:rFonts w:cs="Times New Roman"/>
                <w:b/>
                <w:bCs/>
                <w:color w:val="auto"/>
                <w:sz w:val="24"/>
                <w:szCs w:val="24"/>
              </w:rPr>
              <w:t xml:space="preserve">  噪声监测方案</w:t>
            </w:r>
          </w:p>
          <w:tbl>
            <w:tblPr>
              <w:tblStyle w:val="24"/>
              <w:tblW w:w="4994"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742"/>
              <w:gridCol w:w="2097"/>
              <w:gridCol w:w="1127"/>
              <w:gridCol w:w="3849"/>
            </w:tblGrid>
            <w:tr w14:paraId="148ED78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88" w:type="pct"/>
                  <w:tcBorders>
                    <w:tl2br w:val="nil"/>
                    <w:tr2bl w:val="nil"/>
                  </w:tcBorders>
                  <w:shd w:val="clear" w:color="auto" w:fill="auto"/>
                  <w:vAlign w:val="center"/>
                </w:tcPr>
                <w:p w14:paraId="13B7F932">
                  <w:pPr>
                    <w:jc w:val="center"/>
                    <w:rPr>
                      <w:rFonts w:cs="Times New Roman"/>
                      <w:b/>
                      <w:bCs/>
                      <w:color w:val="auto"/>
                      <w:szCs w:val="21"/>
                    </w:rPr>
                  </w:pPr>
                  <w:r>
                    <w:rPr>
                      <w:rFonts w:cs="Times New Roman"/>
                      <w:b/>
                      <w:bCs/>
                      <w:color w:val="auto"/>
                      <w:szCs w:val="21"/>
                    </w:rPr>
                    <w:t>监测点位</w:t>
                  </w:r>
                </w:p>
              </w:tc>
              <w:tc>
                <w:tcPr>
                  <w:tcW w:w="1189" w:type="pct"/>
                  <w:tcBorders>
                    <w:tl2br w:val="nil"/>
                    <w:tr2bl w:val="nil"/>
                  </w:tcBorders>
                  <w:shd w:val="clear" w:color="auto" w:fill="auto"/>
                  <w:vAlign w:val="center"/>
                </w:tcPr>
                <w:p w14:paraId="2A350813">
                  <w:pPr>
                    <w:jc w:val="center"/>
                    <w:rPr>
                      <w:rFonts w:cs="Times New Roman"/>
                      <w:b/>
                      <w:bCs/>
                      <w:color w:val="auto"/>
                      <w:szCs w:val="21"/>
                    </w:rPr>
                  </w:pPr>
                  <w:r>
                    <w:rPr>
                      <w:rFonts w:cs="Times New Roman"/>
                      <w:b/>
                      <w:bCs/>
                      <w:color w:val="auto"/>
                      <w:szCs w:val="21"/>
                    </w:rPr>
                    <w:t>监测指标</w:t>
                  </w:r>
                </w:p>
              </w:tc>
              <w:tc>
                <w:tcPr>
                  <w:tcW w:w="639" w:type="pct"/>
                  <w:tcBorders>
                    <w:tl2br w:val="nil"/>
                    <w:tr2bl w:val="nil"/>
                  </w:tcBorders>
                  <w:shd w:val="clear" w:color="auto" w:fill="auto"/>
                  <w:vAlign w:val="center"/>
                </w:tcPr>
                <w:p w14:paraId="0174D79A">
                  <w:pPr>
                    <w:jc w:val="center"/>
                    <w:rPr>
                      <w:rFonts w:cs="Times New Roman"/>
                      <w:b/>
                      <w:bCs/>
                      <w:color w:val="auto"/>
                      <w:szCs w:val="21"/>
                    </w:rPr>
                  </w:pPr>
                  <w:r>
                    <w:rPr>
                      <w:rFonts w:cs="Times New Roman"/>
                      <w:b/>
                      <w:bCs/>
                      <w:color w:val="auto"/>
                      <w:szCs w:val="21"/>
                    </w:rPr>
                    <w:t>监测频次</w:t>
                  </w:r>
                </w:p>
              </w:tc>
              <w:tc>
                <w:tcPr>
                  <w:tcW w:w="2182" w:type="pct"/>
                  <w:tcBorders>
                    <w:tl2br w:val="nil"/>
                    <w:tr2bl w:val="nil"/>
                  </w:tcBorders>
                </w:tcPr>
                <w:p w14:paraId="59048561">
                  <w:pPr>
                    <w:jc w:val="center"/>
                    <w:rPr>
                      <w:rFonts w:cs="Times New Roman"/>
                      <w:b/>
                      <w:bCs/>
                      <w:color w:val="auto"/>
                      <w:szCs w:val="21"/>
                    </w:rPr>
                  </w:pPr>
                  <w:r>
                    <w:rPr>
                      <w:rFonts w:cs="Times New Roman"/>
                      <w:b/>
                      <w:bCs/>
                      <w:color w:val="auto"/>
                      <w:szCs w:val="21"/>
                    </w:rPr>
                    <w:t>执行排放标准</w:t>
                  </w:r>
                </w:p>
              </w:tc>
            </w:tr>
            <w:tr w14:paraId="2519B59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88" w:type="pct"/>
                  <w:tcBorders>
                    <w:tl2br w:val="nil"/>
                    <w:tr2bl w:val="nil"/>
                  </w:tcBorders>
                  <w:shd w:val="clear" w:color="auto" w:fill="auto"/>
                  <w:vAlign w:val="center"/>
                </w:tcPr>
                <w:p w14:paraId="59E0E588">
                  <w:pPr>
                    <w:jc w:val="center"/>
                    <w:rPr>
                      <w:rFonts w:cs="Times New Roman"/>
                      <w:color w:val="auto"/>
                      <w:szCs w:val="21"/>
                    </w:rPr>
                  </w:pPr>
                  <w:r>
                    <w:rPr>
                      <w:rFonts w:cs="Times New Roman"/>
                      <w:color w:val="auto"/>
                      <w:szCs w:val="21"/>
                    </w:rPr>
                    <w:t>项目厂界四周（厂界外1m处）</w:t>
                  </w:r>
                </w:p>
              </w:tc>
              <w:tc>
                <w:tcPr>
                  <w:tcW w:w="1189" w:type="pct"/>
                  <w:tcBorders>
                    <w:tl2br w:val="nil"/>
                    <w:tr2bl w:val="nil"/>
                  </w:tcBorders>
                  <w:shd w:val="clear" w:color="auto" w:fill="auto"/>
                  <w:vAlign w:val="center"/>
                </w:tcPr>
                <w:p w14:paraId="6382F088">
                  <w:pPr>
                    <w:jc w:val="center"/>
                    <w:rPr>
                      <w:rFonts w:cs="Times New Roman"/>
                      <w:color w:val="auto"/>
                      <w:szCs w:val="21"/>
                    </w:rPr>
                  </w:pPr>
                  <w:r>
                    <w:rPr>
                      <w:rFonts w:cs="Times New Roman"/>
                      <w:color w:val="auto"/>
                      <w:szCs w:val="21"/>
                    </w:rPr>
                    <w:t>昼夜等效连续 A 声级</w:t>
                  </w:r>
                </w:p>
              </w:tc>
              <w:tc>
                <w:tcPr>
                  <w:tcW w:w="639" w:type="pct"/>
                  <w:tcBorders>
                    <w:tl2br w:val="nil"/>
                    <w:tr2bl w:val="nil"/>
                  </w:tcBorders>
                  <w:shd w:val="clear" w:color="auto" w:fill="auto"/>
                  <w:vAlign w:val="center"/>
                </w:tcPr>
                <w:p w14:paraId="682F6475">
                  <w:pPr>
                    <w:jc w:val="center"/>
                    <w:rPr>
                      <w:rFonts w:cs="Times New Roman"/>
                      <w:color w:val="auto"/>
                      <w:szCs w:val="21"/>
                    </w:rPr>
                  </w:pPr>
                  <w:r>
                    <w:rPr>
                      <w:rFonts w:cs="Times New Roman"/>
                      <w:color w:val="auto"/>
                      <w:szCs w:val="21"/>
                    </w:rPr>
                    <w:t>1季度/次</w:t>
                  </w:r>
                </w:p>
              </w:tc>
              <w:tc>
                <w:tcPr>
                  <w:tcW w:w="2182" w:type="pct"/>
                  <w:tcBorders>
                    <w:tl2br w:val="nil"/>
                    <w:tr2bl w:val="nil"/>
                  </w:tcBorders>
                  <w:vAlign w:val="center"/>
                </w:tcPr>
                <w:p w14:paraId="1877AB76">
                  <w:pPr>
                    <w:jc w:val="center"/>
                    <w:rPr>
                      <w:rFonts w:cs="Times New Roman"/>
                      <w:color w:val="auto"/>
                      <w:szCs w:val="21"/>
                    </w:rPr>
                  </w:pPr>
                  <w:r>
                    <w:rPr>
                      <w:rFonts w:cs="Times New Roman"/>
                      <w:color w:val="auto"/>
                      <w:szCs w:val="21"/>
                    </w:rPr>
                    <w:t>《工业企业厂界环境噪声排放标准》（GB12348-2008）</w:t>
                  </w:r>
                  <w:r>
                    <w:rPr>
                      <w:rFonts w:hint="eastAsia" w:cs="Times New Roman"/>
                      <w:color w:val="auto"/>
                      <w:szCs w:val="21"/>
                      <w:lang w:val="en-US" w:eastAsia="zh-CN"/>
                    </w:rPr>
                    <w:t>3</w:t>
                  </w:r>
                  <w:r>
                    <w:rPr>
                      <w:rFonts w:cs="Times New Roman"/>
                      <w:color w:val="auto"/>
                      <w:szCs w:val="21"/>
                    </w:rPr>
                    <w:t>类标准</w:t>
                  </w:r>
                </w:p>
              </w:tc>
            </w:tr>
          </w:tbl>
          <w:p w14:paraId="2E2A42E1">
            <w:pPr>
              <w:spacing w:line="360" w:lineRule="auto"/>
              <w:ind w:firstLine="482" w:firstLineChars="200"/>
              <w:rPr>
                <w:rFonts w:cs="Times New Roman"/>
                <w:b/>
                <w:color w:val="auto"/>
                <w:sz w:val="24"/>
                <w:szCs w:val="24"/>
              </w:rPr>
            </w:pPr>
            <w:r>
              <w:rPr>
                <w:rFonts w:cs="Times New Roman"/>
                <w:b/>
                <w:color w:val="auto"/>
                <w:sz w:val="24"/>
                <w:szCs w:val="24"/>
              </w:rPr>
              <w:t>4、固体废物</w:t>
            </w:r>
          </w:p>
          <w:p w14:paraId="6A66C19C">
            <w:pPr>
              <w:spacing w:line="360" w:lineRule="auto"/>
              <w:ind w:firstLine="480" w:firstLineChars="200"/>
              <w:rPr>
                <w:rFonts w:cs="Times New Roman"/>
                <w:color w:val="auto"/>
                <w:sz w:val="24"/>
                <w:szCs w:val="24"/>
              </w:rPr>
            </w:pPr>
            <w:r>
              <w:rPr>
                <w:rFonts w:cs="Times New Roman"/>
                <w:color w:val="auto"/>
                <w:sz w:val="24"/>
                <w:szCs w:val="24"/>
              </w:rPr>
              <w:t>一般固体废物：生活垃圾、</w:t>
            </w:r>
            <w:r>
              <w:rPr>
                <w:rFonts w:hint="eastAsia" w:cs="Times New Roman"/>
                <w:color w:val="auto"/>
                <w:sz w:val="24"/>
                <w:szCs w:val="24"/>
              </w:rPr>
              <w:t>沉淀池</w:t>
            </w:r>
            <w:r>
              <w:rPr>
                <w:rFonts w:hint="eastAsia" w:cs="Times New Roman"/>
                <w:color w:val="auto"/>
                <w:sz w:val="24"/>
                <w:szCs w:val="24"/>
                <w:lang w:eastAsia="zh-CN"/>
              </w:rPr>
              <w:t>泥沙</w:t>
            </w:r>
            <w:r>
              <w:rPr>
                <w:rFonts w:cs="Times New Roman"/>
                <w:color w:val="auto"/>
                <w:sz w:val="24"/>
                <w:szCs w:val="24"/>
              </w:rPr>
              <w:t>、</w:t>
            </w:r>
            <w:r>
              <w:rPr>
                <w:rFonts w:hint="eastAsia" w:cs="Times New Roman"/>
                <w:color w:val="auto"/>
                <w:sz w:val="24"/>
                <w:szCs w:val="24"/>
              </w:rPr>
              <w:t>废</w:t>
            </w:r>
            <w:r>
              <w:rPr>
                <w:rFonts w:cs="Times New Roman"/>
                <w:color w:val="auto"/>
                <w:sz w:val="24"/>
                <w:szCs w:val="24"/>
              </w:rPr>
              <w:t>边角料、粗砂。</w:t>
            </w:r>
          </w:p>
          <w:p w14:paraId="3D9C8A40">
            <w:pPr>
              <w:spacing w:line="360" w:lineRule="auto"/>
              <w:ind w:firstLine="361" w:firstLineChars="150"/>
              <w:rPr>
                <w:rFonts w:cs="Times New Roman"/>
                <w:b/>
                <w:color w:val="auto"/>
                <w:sz w:val="24"/>
                <w:szCs w:val="24"/>
              </w:rPr>
            </w:pPr>
            <w:r>
              <w:rPr>
                <w:rFonts w:cs="Times New Roman"/>
                <w:b/>
                <w:color w:val="auto"/>
                <w:sz w:val="24"/>
                <w:szCs w:val="24"/>
              </w:rPr>
              <w:t>（1）一般固体废物产生及处置措施</w:t>
            </w:r>
          </w:p>
          <w:p w14:paraId="3BC94955">
            <w:pPr>
              <w:spacing w:line="360" w:lineRule="auto"/>
              <w:ind w:firstLine="482" w:firstLineChars="200"/>
              <w:rPr>
                <w:rFonts w:cs="Times New Roman"/>
                <w:b/>
                <w:bCs/>
                <w:color w:val="auto"/>
                <w:sz w:val="24"/>
                <w:szCs w:val="24"/>
              </w:rPr>
            </w:pPr>
            <w:r>
              <w:rPr>
                <w:rFonts w:cs="Times New Roman"/>
                <w:b/>
                <w:bCs/>
                <w:color w:val="auto"/>
                <w:sz w:val="24"/>
                <w:szCs w:val="24"/>
              </w:rPr>
              <w:t>①生活垃圾</w:t>
            </w:r>
          </w:p>
          <w:p w14:paraId="694ABFB5">
            <w:pPr>
              <w:spacing w:line="360" w:lineRule="auto"/>
              <w:ind w:firstLine="480" w:firstLineChars="200"/>
              <w:rPr>
                <w:rFonts w:cs="Times New Roman"/>
                <w:color w:val="auto"/>
                <w:sz w:val="24"/>
                <w:szCs w:val="24"/>
              </w:rPr>
            </w:pPr>
            <w:r>
              <w:rPr>
                <w:rFonts w:cs="Times New Roman"/>
                <w:color w:val="auto"/>
                <w:sz w:val="24"/>
                <w:szCs w:val="24"/>
              </w:rPr>
              <w:t>项目全厂劳动定员</w:t>
            </w:r>
            <w:r>
              <w:rPr>
                <w:rFonts w:hint="eastAsia" w:cs="Times New Roman"/>
                <w:color w:val="auto"/>
                <w:sz w:val="24"/>
                <w:szCs w:val="24"/>
                <w:lang w:val="en-US" w:eastAsia="zh-CN"/>
              </w:rPr>
              <w:t>15</w:t>
            </w:r>
            <w:r>
              <w:rPr>
                <w:rFonts w:cs="Times New Roman"/>
                <w:color w:val="auto"/>
                <w:sz w:val="24"/>
                <w:szCs w:val="24"/>
              </w:rPr>
              <w:t>人，年工作300天，生活垃圾产生量按照0.5kg/人·天计，</w:t>
            </w:r>
            <w:r>
              <w:rPr>
                <w:rFonts w:cs="Times New Roman"/>
                <w:color w:val="auto"/>
                <w:sz w:val="24"/>
              </w:rPr>
              <w:t>则产生量为</w:t>
            </w:r>
            <w:r>
              <w:rPr>
                <w:rFonts w:hint="eastAsia" w:cs="Times New Roman"/>
                <w:color w:val="auto"/>
                <w:sz w:val="24"/>
                <w:lang w:val="en-US" w:eastAsia="zh-CN"/>
              </w:rPr>
              <w:t>2.25</w:t>
            </w:r>
            <w:r>
              <w:rPr>
                <w:rFonts w:cs="Times New Roman"/>
                <w:color w:val="auto"/>
                <w:sz w:val="24"/>
              </w:rPr>
              <w:t>t/a。</w:t>
            </w:r>
            <w:r>
              <w:rPr>
                <w:rFonts w:cs="Times New Roman"/>
                <w:color w:val="000000" w:themeColor="text1"/>
                <w:sz w:val="24"/>
                <w:szCs w:val="24"/>
                <w14:textFill>
                  <w14:solidFill>
                    <w14:schemeClr w14:val="tx1"/>
                  </w14:solidFill>
                </w14:textFill>
              </w:rPr>
              <w:t>其属于</w:t>
            </w:r>
            <w:r>
              <w:rPr>
                <w:rFonts w:hint="eastAsia" w:cs="Times New Roman"/>
                <w:color w:val="000000" w:themeColor="text1"/>
                <w:sz w:val="24"/>
                <w:szCs w:val="24"/>
                <w14:textFill>
                  <w14:solidFill>
                    <w14:schemeClr w14:val="tx1"/>
                  </w14:solidFill>
                </w14:textFill>
              </w:rPr>
              <w:t>《固体废物分类与代码目录》</w:t>
            </w:r>
            <w:r>
              <w:rPr>
                <w:rFonts w:cs="Times New Roman"/>
                <w:color w:val="000000" w:themeColor="text1"/>
                <w:sz w:val="24"/>
                <w:szCs w:val="24"/>
                <w14:textFill>
                  <w14:solidFill>
                    <w14:schemeClr w14:val="tx1"/>
                  </w14:solidFill>
                </w14:textFill>
              </w:rPr>
              <w:t>中</w:t>
            </w:r>
            <w:r>
              <w:rPr>
                <w:rFonts w:hint="eastAsia" w:cs="Times New Roman"/>
                <w:color w:val="000000" w:themeColor="text1"/>
                <w:sz w:val="24"/>
                <w:szCs w:val="24"/>
                <w:lang w:eastAsia="zh-CN"/>
                <w14:textFill>
                  <w14:solidFill>
                    <w14:schemeClr w14:val="tx1"/>
                  </w14:solidFill>
                </w14:textFill>
              </w:rPr>
              <w:t>“SW64</w:t>
            </w:r>
            <w:r>
              <w:rPr>
                <w:rFonts w:hint="eastAsia" w:cs="Times New Roman"/>
                <w:color w:val="000000" w:themeColor="text1"/>
                <w:sz w:val="24"/>
                <w:szCs w:val="24"/>
                <w:lang w:val="en-US" w:eastAsia="zh-CN"/>
                <w14:textFill>
                  <w14:solidFill>
                    <w14:schemeClr w14:val="tx1"/>
                  </w14:solidFill>
                </w14:textFill>
              </w:rPr>
              <w:t xml:space="preserve"> </w:t>
            </w:r>
            <w:r>
              <w:rPr>
                <w:rFonts w:hint="eastAsia" w:cs="Times New Roman"/>
                <w:color w:val="000000" w:themeColor="text1"/>
                <w:sz w:val="24"/>
                <w:szCs w:val="24"/>
                <w:lang w:eastAsia="zh-CN"/>
                <w14:textFill>
                  <w14:solidFill>
                    <w14:schemeClr w14:val="tx1"/>
                  </w14:solidFill>
                </w14:textFill>
              </w:rPr>
              <w:t>其他垃圾</w:t>
            </w:r>
            <w:r>
              <w:rPr>
                <w:rFonts w:cs="Times New Roman"/>
                <w:color w:val="000000" w:themeColor="text1"/>
                <w:sz w:val="24"/>
                <w:szCs w:val="24"/>
                <w14:textFill>
                  <w14:solidFill>
                    <w14:schemeClr w14:val="tx1"/>
                  </w14:solidFill>
                </w14:textFill>
              </w:rPr>
              <w:t>，其废物代码属于：</w:t>
            </w:r>
            <w:r>
              <w:rPr>
                <w:rFonts w:hint="eastAsia" w:cs="Times New Roman"/>
                <w:color w:val="000000" w:themeColor="text1"/>
                <w:sz w:val="24"/>
                <w:szCs w:val="24"/>
                <w14:textFill>
                  <w14:solidFill>
                    <w14:schemeClr w14:val="tx1"/>
                  </w14:solidFill>
                </w14:textFill>
              </w:rPr>
              <w:t>900-099-S64</w:t>
            </w:r>
            <w:r>
              <w:rPr>
                <w:rFonts w:hint="eastAsia" w:cs="Times New Roman"/>
                <w:color w:val="000000" w:themeColor="text1"/>
                <w:sz w:val="24"/>
                <w:szCs w:val="24"/>
                <w:lang w:val="en-US" w:eastAsia="zh-CN"/>
                <w14:textFill>
                  <w14:solidFill>
                    <w14:schemeClr w14:val="tx1"/>
                  </w14:solidFill>
                </w14:textFill>
              </w:rPr>
              <w:t xml:space="preserve"> </w:t>
            </w:r>
            <w:r>
              <w:rPr>
                <w:rFonts w:ascii="宋体" w:hAnsi="宋体" w:eastAsia="宋体" w:cs="宋体"/>
                <w:color w:val="000000" w:themeColor="text1"/>
                <w:sz w:val="24"/>
                <w:szCs w:val="24"/>
                <w14:textFill>
                  <w14:solidFill>
                    <w14:schemeClr w14:val="tx1"/>
                  </w14:solidFill>
                </w14:textFill>
              </w:rPr>
              <w:t>以上之外的生活垃圾</w:t>
            </w:r>
            <w:r>
              <w:rPr>
                <w:rFonts w:hint="eastAsia" w:cs="Times New Roman"/>
                <w:color w:val="000000" w:themeColor="text1"/>
                <w:sz w:val="24"/>
                <w:szCs w:val="24"/>
                <w:lang w:eastAsia="zh-CN"/>
                <w14:textFill>
                  <w14:solidFill>
                    <w14:schemeClr w14:val="tx1"/>
                  </w14:solidFill>
                </w14:textFill>
              </w:rPr>
              <w:t>”</w:t>
            </w:r>
            <w:r>
              <w:rPr>
                <w:rFonts w:cs="Times New Roman"/>
                <w:color w:val="000000" w:themeColor="text1"/>
                <w:sz w:val="24"/>
                <w:szCs w:val="24"/>
                <w14:textFill>
                  <w14:solidFill>
                    <w14:schemeClr w14:val="tx1"/>
                  </w14:solidFill>
                </w14:textFill>
              </w:rPr>
              <w:t>。</w:t>
            </w:r>
            <w:r>
              <w:rPr>
                <w:rFonts w:cs="Times New Roman"/>
                <w:color w:val="auto"/>
                <w:sz w:val="24"/>
                <w:szCs w:val="24"/>
              </w:rPr>
              <w:t>经袋装收集后定期交由环卫部门统一清运。</w:t>
            </w:r>
          </w:p>
          <w:p w14:paraId="6AC7D476">
            <w:pPr>
              <w:spacing w:line="360" w:lineRule="auto"/>
              <w:ind w:firstLine="482" w:firstLineChars="200"/>
              <w:rPr>
                <w:rFonts w:cs="Times New Roman"/>
                <w:b/>
                <w:bCs/>
                <w:color w:val="auto"/>
                <w:sz w:val="24"/>
                <w:szCs w:val="24"/>
              </w:rPr>
            </w:pPr>
            <w:r>
              <w:rPr>
                <w:rFonts w:cs="Times New Roman"/>
                <w:b/>
                <w:bCs/>
                <w:color w:val="auto"/>
                <w:sz w:val="24"/>
                <w:szCs w:val="24"/>
              </w:rPr>
              <w:t xml:space="preserve">②粗砂 </w:t>
            </w:r>
          </w:p>
          <w:p w14:paraId="12DE2AD8">
            <w:pPr>
              <w:spacing w:line="360" w:lineRule="auto"/>
              <w:ind w:firstLine="480" w:firstLineChars="200"/>
              <w:rPr>
                <w:rFonts w:cs="Times New Roman"/>
                <w:color w:val="auto"/>
                <w:sz w:val="24"/>
                <w:szCs w:val="24"/>
              </w:rPr>
            </w:pPr>
            <w:r>
              <w:rPr>
                <w:rFonts w:cs="Times New Roman"/>
                <w:color w:val="auto"/>
                <w:sz w:val="24"/>
                <w:szCs w:val="24"/>
              </w:rPr>
              <w:t>根据类比及结合项目原生产情况可知，</w:t>
            </w:r>
            <w:r>
              <w:rPr>
                <w:rFonts w:hint="eastAsia" w:cs="Times New Roman"/>
                <w:color w:val="auto"/>
                <w:sz w:val="24"/>
                <w:szCs w:val="24"/>
              </w:rPr>
              <w:t>产生量约为原料的3%，即</w:t>
            </w:r>
            <w:r>
              <w:rPr>
                <w:rFonts w:cs="Times New Roman"/>
                <w:color w:val="auto"/>
                <w:sz w:val="24"/>
                <w:szCs w:val="24"/>
              </w:rPr>
              <w:t>生产废水中粗砂产生量约</w:t>
            </w:r>
            <w:r>
              <w:rPr>
                <w:rFonts w:hint="eastAsia" w:cs="Times New Roman"/>
                <w:color w:val="auto"/>
                <w:sz w:val="24"/>
                <w:szCs w:val="24"/>
                <w:lang w:val="en-US" w:eastAsia="zh-CN"/>
              </w:rPr>
              <w:t>750</w:t>
            </w:r>
            <w:r>
              <w:rPr>
                <w:rFonts w:cs="Times New Roman"/>
                <w:color w:val="auto"/>
                <w:sz w:val="24"/>
                <w:szCs w:val="24"/>
              </w:rPr>
              <w:t>t/a。</w:t>
            </w:r>
            <w:r>
              <w:rPr>
                <w:rFonts w:cs="Times New Roman"/>
                <w:color w:val="000000" w:themeColor="text1"/>
                <w:sz w:val="24"/>
                <w:szCs w:val="24"/>
                <w14:textFill>
                  <w14:solidFill>
                    <w14:schemeClr w14:val="tx1"/>
                  </w14:solidFill>
                </w14:textFill>
              </w:rPr>
              <w:t>其属于</w:t>
            </w:r>
            <w:r>
              <w:rPr>
                <w:rFonts w:hint="eastAsia" w:cs="Times New Roman"/>
                <w:color w:val="000000" w:themeColor="text1"/>
                <w:sz w:val="24"/>
                <w:szCs w:val="24"/>
                <w14:textFill>
                  <w14:solidFill>
                    <w14:schemeClr w14:val="tx1"/>
                  </w14:solidFill>
                </w14:textFill>
              </w:rPr>
              <w:t>《固体废物分类与代码目录》</w:t>
            </w:r>
            <w:r>
              <w:rPr>
                <w:rFonts w:cs="Times New Roman"/>
                <w:color w:val="000000" w:themeColor="text1"/>
                <w:sz w:val="24"/>
                <w:szCs w:val="24"/>
                <w14:textFill>
                  <w14:solidFill>
                    <w14:schemeClr w14:val="tx1"/>
                  </w14:solidFill>
                </w14:textFill>
              </w:rPr>
              <w:t>中</w:t>
            </w:r>
            <w:r>
              <w:rPr>
                <w:rFonts w:hint="eastAsia" w:cs="Times New Roman"/>
                <w:color w:val="000000" w:themeColor="text1"/>
                <w:sz w:val="24"/>
                <w:szCs w:val="24"/>
                <w:lang w:eastAsia="zh-CN"/>
                <w14:textFill>
                  <w14:solidFill>
                    <w14:schemeClr w14:val="tx1"/>
                  </w14:solidFill>
                </w14:textFill>
              </w:rPr>
              <w:t>“SW59 其他工业固体废物</w:t>
            </w:r>
            <w:r>
              <w:rPr>
                <w:rFonts w:cs="Times New Roman"/>
                <w:color w:val="000000" w:themeColor="text1"/>
                <w:sz w:val="24"/>
                <w:szCs w:val="24"/>
                <w14:textFill>
                  <w14:solidFill>
                    <w14:schemeClr w14:val="tx1"/>
                  </w14:solidFill>
                </w14:textFill>
              </w:rPr>
              <w:t>，其废物代码属于：</w:t>
            </w:r>
            <w:r>
              <w:rPr>
                <w:rFonts w:hint="eastAsia" w:cs="Times New Roman"/>
                <w:color w:val="000000" w:themeColor="text1"/>
                <w:sz w:val="24"/>
                <w:szCs w:val="24"/>
                <w14:textFill>
                  <w14:solidFill>
                    <w14:schemeClr w14:val="tx1"/>
                  </w14:solidFill>
                </w14:textFill>
              </w:rPr>
              <w:t>900-099-S59</w:t>
            </w:r>
            <w:r>
              <w:rPr>
                <w:rFonts w:hint="eastAsia" w:cs="Times New Roman"/>
                <w:color w:val="000000" w:themeColor="text1"/>
                <w:sz w:val="24"/>
                <w:szCs w:val="24"/>
                <w:lang w:val="en-US" w:eastAsia="zh-CN"/>
                <w14:textFill>
                  <w14:solidFill>
                    <w14:schemeClr w14:val="tx1"/>
                  </w14:solidFill>
                </w14:textFill>
              </w:rPr>
              <w:t xml:space="preserve"> </w:t>
            </w:r>
            <w:r>
              <w:rPr>
                <w:rFonts w:hint="eastAsia" w:cs="Times New Roman"/>
                <w:color w:val="000000" w:themeColor="text1"/>
                <w:sz w:val="24"/>
                <w:szCs w:val="24"/>
                <w14:textFill>
                  <w14:solidFill>
                    <w14:schemeClr w14:val="tx1"/>
                  </w14:solidFill>
                </w14:textFill>
              </w:rPr>
              <w:t>其他工业生产过程中产生的固体废物</w:t>
            </w:r>
            <w:r>
              <w:rPr>
                <w:rFonts w:hint="eastAsia" w:cs="Times New Roman"/>
                <w:color w:val="000000" w:themeColor="text1"/>
                <w:sz w:val="24"/>
                <w:szCs w:val="24"/>
                <w:lang w:eastAsia="zh-CN"/>
                <w14:textFill>
                  <w14:solidFill>
                    <w14:schemeClr w14:val="tx1"/>
                  </w14:solidFill>
                </w14:textFill>
              </w:rPr>
              <w:t>”。</w:t>
            </w:r>
            <w:r>
              <w:rPr>
                <w:rFonts w:cs="Times New Roman"/>
                <w:color w:val="auto"/>
                <w:sz w:val="24"/>
                <w:szCs w:val="24"/>
              </w:rPr>
              <w:t>在</w:t>
            </w:r>
            <w:r>
              <w:rPr>
                <w:rFonts w:hint="eastAsia" w:cs="Times New Roman"/>
                <w:color w:val="auto"/>
                <w:sz w:val="24"/>
                <w:szCs w:val="24"/>
                <w:lang w:eastAsia="zh-CN"/>
              </w:rPr>
              <w:t>污水处理区设置</w:t>
            </w:r>
            <w:r>
              <w:rPr>
                <w:rFonts w:cs="Times New Roman"/>
                <w:color w:val="auto"/>
                <w:sz w:val="24"/>
                <w:szCs w:val="24"/>
              </w:rPr>
              <w:t>1个沉砂池（容积</w:t>
            </w:r>
            <w:r>
              <w:rPr>
                <w:rFonts w:hint="eastAsia" w:cs="Times New Roman"/>
                <w:color w:val="auto"/>
                <w:sz w:val="24"/>
                <w:szCs w:val="24"/>
                <w:lang w:val="en-US" w:eastAsia="zh-CN"/>
              </w:rPr>
              <w:t>1</w:t>
            </w:r>
            <w:r>
              <w:rPr>
                <w:rFonts w:cs="Times New Roman"/>
                <w:color w:val="auto"/>
                <w:sz w:val="24"/>
                <w:szCs w:val="24"/>
              </w:rPr>
              <w:t>0m</w:t>
            </w:r>
            <w:r>
              <w:rPr>
                <w:rFonts w:cs="Times New Roman"/>
                <w:color w:val="auto"/>
                <w:sz w:val="24"/>
                <w:szCs w:val="24"/>
                <w:vertAlign w:val="superscript"/>
              </w:rPr>
              <w:t>3</w:t>
            </w:r>
            <w:r>
              <w:rPr>
                <w:rFonts w:cs="Times New Roman"/>
                <w:color w:val="auto"/>
                <w:sz w:val="24"/>
                <w:szCs w:val="24"/>
              </w:rPr>
              <w:t>）</w:t>
            </w:r>
            <w:r>
              <w:rPr>
                <w:rFonts w:hint="eastAsia" w:cs="Times New Roman"/>
                <w:color w:val="auto"/>
                <w:sz w:val="24"/>
                <w:szCs w:val="24"/>
                <w:lang w:eastAsia="zh-CN"/>
              </w:rPr>
              <w:t>、</w:t>
            </w:r>
            <w:r>
              <w:rPr>
                <w:rFonts w:cs="Times New Roman"/>
                <w:color w:val="auto"/>
                <w:sz w:val="24"/>
                <w:szCs w:val="24"/>
              </w:rPr>
              <w:t>1台螺旋绞砂机，沉砂池内粗砂经螺旋绞砂机选出粗砂外售。</w:t>
            </w:r>
          </w:p>
          <w:p w14:paraId="7828EF44">
            <w:pPr>
              <w:spacing w:line="360" w:lineRule="auto"/>
              <w:ind w:firstLine="482" w:firstLineChars="200"/>
              <w:rPr>
                <w:rFonts w:hint="eastAsia" w:cs="Times New Roman"/>
                <w:b/>
                <w:bCs/>
                <w:color w:val="auto"/>
                <w:sz w:val="24"/>
                <w:szCs w:val="24"/>
                <w:lang w:eastAsia="zh-CN"/>
              </w:rPr>
            </w:pPr>
            <w:r>
              <w:rPr>
                <w:rFonts w:cs="Times New Roman"/>
                <w:b/>
                <w:bCs/>
                <w:color w:val="auto"/>
                <w:sz w:val="24"/>
                <w:szCs w:val="24"/>
              </w:rPr>
              <w:t>③</w:t>
            </w:r>
            <w:r>
              <w:rPr>
                <w:rFonts w:hint="eastAsia" w:cs="Times New Roman"/>
                <w:b/>
                <w:bCs/>
                <w:color w:val="auto"/>
                <w:sz w:val="24"/>
                <w:szCs w:val="24"/>
              </w:rPr>
              <w:t>沉淀池</w:t>
            </w:r>
            <w:r>
              <w:rPr>
                <w:rFonts w:hint="eastAsia" w:cs="Times New Roman"/>
                <w:b/>
                <w:bCs/>
                <w:color w:val="auto"/>
                <w:sz w:val="24"/>
                <w:szCs w:val="24"/>
                <w:lang w:eastAsia="zh-CN"/>
              </w:rPr>
              <w:t>泥沙</w:t>
            </w:r>
          </w:p>
          <w:p w14:paraId="714F9AF7">
            <w:pPr>
              <w:spacing w:line="360" w:lineRule="auto"/>
              <w:ind w:firstLine="480" w:firstLineChars="200"/>
              <w:rPr>
                <w:rFonts w:cs="Times New Roman"/>
                <w:color w:val="auto"/>
                <w:sz w:val="24"/>
                <w:szCs w:val="24"/>
              </w:rPr>
            </w:pPr>
            <w:r>
              <w:rPr>
                <w:rFonts w:cs="Times New Roman"/>
                <w:color w:val="auto"/>
                <w:sz w:val="24"/>
                <w:szCs w:val="24"/>
              </w:rPr>
              <w:t>本项目</w:t>
            </w:r>
            <w:r>
              <w:rPr>
                <w:rFonts w:hint="eastAsia" w:cs="Times New Roman"/>
                <w:color w:val="auto"/>
                <w:sz w:val="24"/>
                <w:szCs w:val="24"/>
                <w:lang w:eastAsia="zh-CN"/>
              </w:rPr>
              <w:t>石材</w:t>
            </w:r>
            <w:r>
              <w:rPr>
                <w:rFonts w:cs="Times New Roman"/>
                <w:color w:val="auto"/>
                <w:sz w:val="24"/>
                <w:szCs w:val="24"/>
              </w:rPr>
              <w:t>加工时采用湿法作业，加工过程的粉尘被水带入生产废水后进入沉淀池后变成固体废物（石粉），根据</w:t>
            </w:r>
            <w:r>
              <w:rPr>
                <w:rFonts w:hint="eastAsia" w:cs="Times New Roman"/>
                <w:color w:val="auto"/>
                <w:sz w:val="24"/>
                <w:szCs w:val="24"/>
              </w:rPr>
              <w:t>相同企业</w:t>
            </w:r>
            <w:r>
              <w:rPr>
                <w:rFonts w:cs="Times New Roman"/>
                <w:color w:val="auto"/>
                <w:sz w:val="24"/>
                <w:szCs w:val="24"/>
              </w:rPr>
              <w:t>类比情况可知，</w:t>
            </w:r>
            <w:r>
              <w:rPr>
                <w:rFonts w:hint="eastAsia" w:cs="Times New Roman"/>
                <w:color w:val="auto"/>
                <w:sz w:val="24"/>
                <w:szCs w:val="24"/>
              </w:rPr>
              <w:t>产生量约为原料的2%，</w:t>
            </w:r>
            <w:r>
              <w:rPr>
                <w:rFonts w:cs="Times New Roman"/>
                <w:color w:val="auto"/>
                <w:sz w:val="24"/>
                <w:szCs w:val="24"/>
              </w:rPr>
              <w:t>产生量约</w:t>
            </w:r>
            <w:r>
              <w:rPr>
                <w:rFonts w:hint="eastAsia" w:cs="Times New Roman"/>
                <w:color w:val="auto"/>
                <w:sz w:val="24"/>
                <w:szCs w:val="24"/>
                <w:lang w:val="en-US" w:eastAsia="zh-CN"/>
              </w:rPr>
              <w:t>500</w:t>
            </w:r>
            <w:r>
              <w:rPr>
                <w:rFonts w:cs="Times New Roman"/>
                <w:color w:val="auto"/>
                <w:sz w:val="24"/>
                <w:szCs w:val="24"/>
              </w:rPr>
              <w:t>t/a。</w:t>
            </w:r>
            <w:r>
              <w:rPr>
                <w:rFonts w:cs="Times New Roman"/>
                <w:color w:val="000000" w:themeColor="text1"/>
                <w:sz w:val="24"/>
                <w:szCs w:val="24"/>
                <w14:textFill>
                  <w14:solidFill>
                    <w14:schemeClr w14:val="tx1"/>
                  </w14:solidFill>
                </w14:textFill>
              </w:rPr>
              <w:t>其属于</w:t>
            </w:r>
            <w:r>
              <w:rPr>
                <w:rFonts w:hint="eastAsia" w:cs="Times New Roman"/>
                <w:color w:val="000000" w:themeColor="text1"/>
                <w:sz w:val="24"/>
                <w:szCs w:val="24"/>
                <w14:textFill>
                  <w14:solidFill>
                    <w14:schemeClr w14:val="tx1"/>
                  </w14:solidFill>
                </w14:textFill>
              </w:rPr>
              <w:t>《固体废物分类与代码目录》</w:t>
            </w:r>
            <w:r>
              <w:rPr>
                <w:rFonts w:cs="Times New Roman"/>
                <w:color w:val="000000" w:themeColor="text1"/>
                <w:sz w:val="24"/>
                <w:szCs w:val="24"/>
                <w14:textFill>
                  <w14:solidFill>
                    <w14:schemeClr w14:val="tx1"/>
                  </w14:solidFill>
                </w14:textFill>
              </w:rPr>
              <w:t>中</w:t>
            </w:r>
            <w:r>
              <w:rPr>
                <w:rFonts w:hint="eastAsia" w:cs="Times New Roman"/>
                <w:color w:val="000000" w:themeColor="text1"/>
                <w:sz w:val="24"/>
                <w:szCs w:val="24"/>
                <w:lang w:eastAsia="zh-CN"/>
                <w14:textFill>
                  <w14:solidFill>
                    <w14:schemeClr w14:val="tx1"/>
                  </w14:solidFill>
                </w14:textFill>
              </w:rPr>
              <w:t>“SW59 其他工业固体废物</w:t>
            </w:r>
            <w:r>
              <w:rPr>
                <w:rFonts w:cs="Times New Roman"/>
                <w:color w:val="000000" w:themeColor="text1"/>
                <w:sz w:val="24"/>
                <w:szCs w:val="24"/>
                <w14:textFill>
                  <w14:solidFill>
                    <w14:schemeClr w14:val="tx1"/>
                  </w14:solidFill>
                </w14:textFill>
              </w:rPr>
              <w:t>，其废物代码属于：</w:t>
            </w:r>
            <w:r>
              <w:rPr>
                <w:rFonts w:hint="eastAsia" w:cs="Times New Roman"/>
                <w:color w:val="000000" w:themeColor="text1"/>
                <w:sz w:val="24"/>
                <w:szCs w:val="24"/>
                <w14:textFill>
                  <w14:solidFill>
                    <w14:schemeClr w14:val="tx1"/>
                  </w14:solidFill>
                </w14:textFill>
              </w:rPr>
              <w:t>900-099-S59</w:t>
            </w:r>
            <w:r>
              <w:rPr>
                <w:rFonts w:hint="eastAsia" w:cs="Times New Roman"/>
                <w:color w:val="000000" w:themeColor="text1"/>
                <w:sz w:val="24"/>
                <w:szCs w:val="24"/>
                <w:lang w:val="en-US" w:eastAsia="zh-CN"/>
                <w14:textFill>
                  <w14:solidFill>
                    <w14:schemeClr w14:val="tx1"/>
                  </w14:solidFill>
                </w14:textFill>
              </w:rPr>
              <w:t xml:space="preserve"> </w:t>
            </w:r>
            <w:r>
              <w:rPr>
                <w:rFonts w:hint="eastAsia" w:cs="Times New Roman"/>
                <w:color w:val="000000" w:themeColor="text1"/>
                <w:sz w:val="24"/>
                <w:szCs w:val="24"/>
                <w14:textFill>
                  <w14:solidFill>
                    <w14:schemeClr w14:val="tx1"/>
                  </w14:solidFill>
                </w14:textFill>
              </w:rPr>
              <w:t>其他工业生产过程中产生的固体废物</w:t>
            </w:r>
            <w:r>
              <w:rPr>
                <w:rFonts w:hint="eastAsia" w:cs="Times New Roman"/>
                <w:color w:val="000000" w:themeColor="text1"/>
                <w:sz w:val="24"/>
                <w:szCs w:val="24"/>
                <w:lang w:eastAsia="zh-CN"/>
                <w14:textFill>
                  <w14:solidFill>
                    <w14:schemeClr w14:val="tx1"/>
                  </w14:solidFill>
                </w14:textFill>
              </w:rPr>
              <w:t>”。</w:t>
            </w:r>
            <w:r>
              <w:rPr>
                <w:rFonts w:hint="eastAsia" w:cs="Times New Roman"/>
                <w:color w:val="auto"/>
                <w:sz w:val="24"/>
                <w:szCs w:val="24"/>
                <w:lang w:eastAsia="zh-CN"/>
              </w:rPr>
              <w:t>项目</w:t>
            </w:r>
            <w:r>
              <w:rPr>
                <w:rFonts w:cs="Times New Roman"/>
                <w:color w:val="auto"/>
                <w:sz w:val="24"/>
                <w:szCs w:val="24"/>
              </w:rPr>
              <w:t>沉淀池旁设置一台板框压滤机，在压滤机下方设置1处三面墙体的泥饼暂存区（</w:t>
            </w:r>
            <w:r>
              <w:rPr>
                <w:rFonts w:cs="Times New Roman"/>
                <w:color w:val="auto"/>
                <w:sz w:val="24"/>
                <w:szCs w:val="24"/>
                <w:lang w:bidi="ar"/>
              </w:rPr>
              <w:t>面积</w:t>
            </w:r>
            <w:r>
              <w:rPr>
                <w:rFonts w:hint="eastAsia" w:cs="Times New Roman"/>
                <w:color w:val="auto"/>
                <w:sz w:val="24"/>
                <w:szCs w:val="24"/>
                <w:lang w:val="en-US" w:eastAsia="zh-CN" w:bidi="ar"/>
              </w:rPr>
              <w:t>1</w:t>
            </w:r>
            <w:r>
              <w:rPr>
                <w:rFonts w:cs="Times New Roman"/>
                <w:color w:val="auto"/>
                <w:sz w:val="24"/>
                <w:szCs w:val="24"/>
                <w:lang w:bidi="ar"/>
              </w:rPr>
              <w:t>0m</w:t>
            </w:r>
            <w:r>
              <w:rPr>
                <w:rFonts w:cs="Times New Roman"/>
                <w:color w:val="auto"/>
                <w:sz w:val="24"/>
                <w:szCs w:val="24"/>
                <w:vertAlign w:val="superscript"/>
                <w:lang w:bidi="ar"/>
              </w:rPr>
              <w:t>2</w:t>
            </w:r>
            <w:r>
              <w:rPr>
                <w:rFonts w:cs="Times New Roman"/>
                <w:color w:val="auto"/>
                <w:sz w:val="24"/>
                <w:szCs w:val="24"/>
              </w:rPr>
              <w:t>），经压滤机压滤后的泥饼直接掉入下方车中运走，该区域顶部设置雨棚，三面为墙体，防止泥饼外</w:t>
            </w:r>
            <w:r>
              <w:rPr>
                <w:rFonts w:hint="eastAsia" w:cs="Times New Roman"/>
                <w:color w:val="auto"/>
                <w:sz w:val="24"/>
                <w:szCs w:val="24"/>
                <w:lang w:eastAsia="zh-CN"/>
              </w:rPr>
              <w:t>溢</w:t>
            </w:r>
            <w:r>
              <w:rPr>
                <w:rFonts w:cs="Times New Roman"/>
                <w:color w:val="auto"/>
                <w:sz w:val="24"/>
                <w:szCs w:val="24"/>
              </w:rPr>
              <w:t>及雨水进入压滤好的泥饼中。经压滤机压滤后的泥饼直接掉入下方暂存区后外售制砖。</w:t>
            </w:r>
          </w:p>
          <w:p w14:paraId="25079DD5">
            <w:pPr>
              <w:spacing w:line="360" w:lineRule="auto"/>
              <w:ind w:firstLine="482" w:firstLineChars="200"/>
              <w:rPr>
                <w:rFonts w:cs="Times New Roman"/>
                <w:b/>
                <w:bCs/>
                <w:color w:val="auto"/>
                <w:sz w:val="24"/>
                <w:szCs w:val="24"/>
              </w:rPr>
            </w:pPr>
            <w:r>
              <w:rPr>
                <w:rFonts w:cs="Times New Roman"/>
                <w:b/>
                <w:bCs/>
                <w:color w:val="auto"/>
                <w:sz w:val="24"/>
                <w:szCs w:val="24"/>
              </w:rPr>
              <w:t>④</w:t>
            </w:r>
            <w:r>
              <w:rPr>
                <w:rFonts w:hint="eastAsia" w:cs="Times New Roman"/>
                <w:b/>
                <w:bCs/>
                <w:color w:val="auto"/>
                <w:sz w:val="24"/>
                <w:szCs w:val="24"/>
              </w:rPr>
              <w:t>废边角料</w:t>
            </w:r>
          </w:p>
          <w:p w14:paraId="6F70B52D">
            <w:pPr>
              <w:spacing w:line="360" w:lineRule="auto"/>
              <w:ind w:firstLine="480" w:firstLineChars="200"/>
              <w:rPr>
                <w:rFonts w:cs="Times New Roman"/>
                <w:color w:val="auto"/>
                <w:sz w:val="24"/>
                <w:szCs w:val="24"/>
              </w:rPr>
            </w:pPr>
            <w:r>
              <w:rPr>
                <w:rFonts w:cs="Times New Roman"/>
                <w:color w:val="auto"/>
                <w:sz w:val="24"/>
                <w:szCs w:val="24"/>
              </w:rPr>
              <w:t>根据类比及结合项目原生产情况可知，</w:t>
            </w:r>
            <w:r>
              <w:rPr>
                <w:rFonts w:hint="eastAsia" w:cs="Times New Roman"/>
                <w:color w:val="auto"/>
                <w:sz w:val="24"/>
                <w:szCs w:val="24"/>
              </w:rPr>
              <w:t>其边角料产生量约原料的</w:t>
            </w:r>
            <w:r>
              <w:rPr>
                <w:rFonts w:hint="eastAsia" w:cs="Times New Roman"/>
                <w:color w:val="auto"/>
                <w:sz w:val="24"/>
                <w:szCs w:val="24"/>
                <w:lang w:val="en-US" w:eastAsia="zh-CN"/>
              </w:rPr>
              <w:t>1</w:t>
            </w:r>
            <w:r>
              <w:rPr>
                <w:rFonts w:hint="eastAsia" w:cs="Times New Roman"/>
                <w:color w:val="auto"/>
                <w:sz w:val="24"/>
                <w:szCs w:val="24"/>
              </w:rPr>
              <w:t>5%，即</w:t>
            </w:r>
            <w:r>
              <w:rPr>
                <w:rFonts w:cs="Times New Roman"/>
                <w:color w:val="auto"/>
                <w:sz w:val="24"/>
                <w:szCs w:val="24"/>
              </w:rPr>
              <w:t>项目生产过程中产生的</w:t>
            </w:r>
            <w:r>
              <w:rPr>
                <w:rFonts w:hint="eastAsia" w:cs="Times New Roman"/>
                <w:color w:val="auto"/>
                <w:sz w:val="24"/>
                <w:szCs w:val="24"/>
              </w:rPr>
              <w:t>废边角料</w:t>
            </w:r>
            <w:r>
              <w:rPr>
                <w:rFonts w:cs="Times New Roman"/>
                <w:color w:val="auto"/>
                <w:sz w:val="24"/>
                <w:szCs w:val="24"/>
              </w:rPr>
              <w:t>约</w:t>
            </w:r>
            <w:r>
              <w:rPr>
                <w:rFonts w:hint="eastAsia" w:cs="Times New Roman"/>
                <w:color w:val="auto"/>
                <w:sz w:val="24"/>
                <w:szCs w:val="24"/>
                <w:lang w:val="en-US" w:eastAsia="zh-CN"/>
              </w:rPr>
              <w:t>3750</w:t>
            </w:r>
            <w:r>
              <w:rPr>
                <w:rFonts w:cs="Times New Roman"/>
                <w:color w:val="auto"/>
                <w:sz w:val="24"/>
                <w:szCs w:val="24"/>
              </w:rPr>
              <w:t>t/a</w:t>
            </w:r>
            <w:r>
              <w:rPr>
                <w:rFonts w:hint="eastAsia" w:cs="Times New Roman"/>
                <w:color w:val="auto"/>
                <w:sz w:val="24"/>
                <w:szCs w:val="24"/>
                <w:lang w:eastAsia="zh-CN"/>
              </w:rPr>
              <w:t>。</w:t>
            </w:r>
            <w:r>
              <w:rPr>
                <w:rFonts w:cs="Times New Roman"/>
                <w:color w:val="000000" w:themeColor="text1"/>
                <w:sz w:val="24"/>
                <w:szCs w:val="24"/>
                <w14:textFill>
                  <w14:solidFill>
                    <w14:schemeClr w14:val="tx1"/>
                  </w14:solidFill>
                </w14:textFill>
              </w:rPr>
              <w:t>其属于</w:t>
            </w:r>
            <w:r>
              <w:rPr>
                <w:rFonts w:hint="eastAsia" w:cs="Times New Roman"/>
                <w:color w:val="000000" w:themeColor="text1"/>
                <w:sz w:val="24"/>
                <w:szCs w:val="24"/>
                <w14:textFill>
                  <w14:solidFill>
                    <w14:schemeClr w14:val="tx1"/>
                  </w14:solidFill>
                </w14:textFill>
              </w:rPr>
              <w:t>《固体废物分类与代码目录》</w:t>
            </w:r>
            <w:r>
              <w:rPr>
                <w:rFonts w:cs="Times New Roman"/>
                <w:color w:val="000000" w:themeColor="text1"/>
                <w:sz w:val="24"/>
                <w:szCs w:val="24"/>
                <w14:textFill>
                  <w14:solidFill>
                    <w14:schemeClr w14:val="tx1"/>
                  </w14:solidFill>
                </w14:textFill>
              </w:rPr>
              <w:t>中</w:t>
            </w:r>
            <w:r>
              <w:rPr>
                <w:rFonts w:hint="eastAsia" w:cs="Times New Roman"/>
                <w:color w:val="000000" w:themeColor="text1"/>
                <w:sz w:val="24"/>
                <w:szCs w:val="24"/>
                <w:lang w:eastAsia="zh-CN"/>
                <w14:textFill>
                  <w14:solidFill>
                    <w14:schemeClr w14:val="tx1"/>
                  </w14:solidFill>
                </w14:textFill>
              </w:rPr>
              <w:t>“SW59 其他工业固体废物</w:t>
            </w:r>
            <w:r>
              <w:rPr>
                <w:rFonts w:cs="Times New Roman"/>
                <w:color w:val="000000" w:themeColor="text1"/>
                <w:sz w:val="24"/>
                <w:szCs w:val="24"/>
                <w14:textFill>
                  <w14:solidFill>
                    <w14:schemeClr w14:val="tx1"/>
                  </w14:solidFill>
                </w14:textFill>
              </w:rPr>
              <w:t>，其废物代码属于：</w:t>
            </w:r>
            <w:r>
              <w:rPr>
                <w:rFonts w:hint="eastAsia" w:cs="Times New Roman"/>
                <w:color w:val="000000" w:themeColor="text1"/>
                <w:sz w:val="24"/>
                <w:szCs w:val="24"/>
                <w14:textFill>
                  <w14:solidFill>
                    <w14:schemeClr w14:val="tx1"/>
                  </w14:solidFill>
                </w14:textFill>
              </w:rPr>
              <w:t>900-099-S59</w:t>
            </w:r>
            <w:r>
              <w:rPr>
                <w:rFonts w:hint="eastAsia" w:cs="Times New Roman"/>
                <w:color w:val="000000" w:themeColor="text1"/>
                <w:sz w:val="24"/>
                <w:szCs w:val="24"/>
                <w:lang w:val="en-US" w:eastAsia="zh-CN"/>
                <w14:textFill>
                  <w14:solidFill>
                    <w14:schemeClr w14:val="tx1"/>
                  </w14:solidFill>
                </w14:textFill>
              </w:rPr>
              <w:t xml:space="preserve"> </w:t>
            </w:r>
            <w:r>
              <w:rPr>
                <w:rFonts w:hint="eastAsia" w:cs="Times New Roman"/>
                <w:color w:val="000000" w:themeColor="text1"/>
                <w:sz w:val="24"/>
                <w:szCs w:val="24"/>
                <w14:textFill>
                  <w14:solidFill>
                    <w14:schemeClr w14:val="tx1"/>
                  </w14:solidFill>
                </w14:textFill>
              </w:rPr>
              <w:t>其他工业生产过程中产生的固体废物</w:t>
            </w:r>
            <w:r>
              <w:rPr>
                <w:rFonts w:hint="eastAsia" w:cs="Times New Roman"/>
                <w:color w:val="000000" w:themeColor="text1"/>
                <w:sz w:val="24"/>
                <w:szCs w:val="24"/>
                <w:lang w:eastAsia="zh-CN"/>
                <w14:textFill>
                  <w14:solidFill>
                    <w14:schemeClr w14:val="tx1"/>
                  </w14:solidFill>
                </w14:textFill>
              </w:rPr>
              <w:t>”。</w:t>
            </w:r>
            <w:r>
              <w:rPr>
                <w:rFonts w:cs="Times New Roman"/>
                <w:color w:val="auto"/>
                <w:sz w:val="24"/>
                <w:szCs w:val="24"/>
              </w:rPr>
              <w:t>在</w:t>
            </w:r>
            <w:r>
              <w:rPr>
                <w:rFonts w:hint="eastAsia" w:cs="Times New Roman"/>
                <w:color w:val="auto"/>
                <w:sz w:val="24"/>
                <w:szCs w:val="24"/>
                <w:lang w:eastAsia="zh-CN"/>
              </w:rPr>
              <w:t>成品堆场西北侧</w:t>
            </w:r>
            <w:r>
              <w:rPr>
                <w:rFonts w:cs="Times New Roman"/>
                <w:color w:val="auto"/>
                <w:sz w:val="24"/>
                <w:szCs w:val="24"/>
              </w:rPr>
              <w:t>设置1个</w:t>
            </w:r>
            <w:r>
              <w:rPr>
                <w:rFonts w:hint="eastAsia" w:cs="Times New Roman"/>
                <w:color w:val="auto"/>
                <w:sz w:val="24"/>
                <w:szCs w:val="24"/>
                <w:lang w:eastAsia="zh-CN"/>
              </w:rPr>
              <w:t>固废堆放</w:t>
            </w:r>
            <w:r>
              <w:rPr>
                <w:rFonts w:cs="Times New Roman"/>
                <w:color w:val="auto"/>
                <w:sz w:val="24"/>
                <w:szCs w:val="24"/>
              </w:rPr>
              <w:t>区（</w:t>
            </w:r>
            <w:r>
              <w:rPr>
                <w:rFonts w:cs="Times New Roman"/>
                <w:color w:val="auto"/>
                <w:sz w:val="24"/>
                <w:szCs w:val="24"/>
                <w:lang w:bidi="ar"/>
              </w:rPr>
              <w:t>面积</w:t>
            </w:r>
            <w:r>
              <w:rPr>
                <w:rFonts w:hint="eastAsia" w:cs="Times New Roman"/>
                <w:color w:val="auto"/>
                <w:sz w:val="24"/>
                <w:szCs w:val="24"/>
                <w:lang w:bidi="ar"/>
              </w:rPr>
              <w:t>5</w:t>
            </w:r>
            <w:r>
              <w:rPr>
                <w:rFonts w:cs="Times New Roman"/>
                <w:color w:val="auto"/>
                <w:sz w:val="24"/>
                <w:szCs w:val="24"/>
                <w:lang w:bidi="ar"/>
              </w:rPr>
              <w:t>0m</w:t>
            </w:r>
            <w:r>
              <w:rPr>
                <w:rFonts w:cs="Times New Roman"/>
                <w:color w:val="auto"/>
                <w:sz w:val="24"/>
                <w:szCs w:val="24"/>
                <w:vertAlign w:val="superscript"/>
                <w:lang w:bidi="ar"/>
              </w:rPr>
              <w:t>2</w:t>
            </w:r>
            <w:r>
              <w:rPr>
                <w:rFonts w:cs="Times New Roman"/>
                <w:color w:val="auto"/>
                <w:sz w:val="24"/>
                <w:szCs w:val="24"/>
              </w:rPr>
              <w:t>），用于暂存生产过程产生的石材</w:t>
            </w:r>
            <w:r>
              <w:rPr>
                <w:rFonts w:hint="eastAsia" w:cs="Times New Roman"/>
                <w:color w:val="auto"/>
                <w:sz w:val="24"/>
                <w:szCs w:val="24"/>
              </w:rPr>
              <w:t>废</w:t>
            </w:r>
            <w:r>
              <w:rPr>
                <w:rFonts w:cs="Times New Roman"/>
                <w:color w:val="auto"/>
                <w:sz w:val="24"/>
                <w:szCs w:val="24"/>
              </w:rPr>
              <w:t>边角料，定期外运砂厂制砂。</w:t>
            </w:r>
          </w:p>
          <w:p w14:paraId="1447DEB5">
            <w:pPr>
              <w:spacing w:line="360" w:lineRule="auto"/>
              <w:ind w:firstLine="361" w:firstLineChars="150"/>
              <w:rPr>
                <w:rFonts w:cs="Times New Roman"/>
                <w:b/>
                <w:color w:val="auto"/>
                <w:sz w:val="24"/>
                <w:szCs w:val="24"/>
              </w:rPr>
            </w:pPr>
            <w:r>
              <w:rPr>
                <w:rFonts w:cs="Times New Roman"/>
                <w:b/>
                <w:color w:val="auto"/>
                <w:sz w:val="24"/>
                <w:szCs w:val="24"/>
              </w:rPr>
              <w:t>（2）危险废物产生及处置措施</w:t>
            </w:r>
          </w:p>
          <w:p w14:paraId="369EBC9C">
            <w:pPr>
              <w:spacing w:line="360" w:lineRule="auto"/>
              <w:ind w:firstLine="482" w:firstLineChars="200"/>
              <w:rPr>
                <w:rFonts w:cs="Times New Roman"/>
                <w:b/>
                <w:bCs/>
                <w:color w:val="auto"/>
                <w:sz w:val="24"/>
                <w:szCs w:val="24"/>
              </w:rPr>
            </w:pPr>
            <w:r>
              <w:rPr>
                <w:rFonts w:cs="Times New Roman"/>
                <w:b/>
                <w:bCs/>
                <w:color w:val="auto"/>
                <w:sz w:val="24"/>
                <w:szCs w:val="24"/>
              </w:rPr>
              <w:t>废机油</w:t>
            </w:r>
          </w:p>
          <w:p w14:paraId="52915A53">
            <w:pPr>
              <w:spacing w:line="360" w:lineRule="auto"/>
              <w:ind w:firstLine="480" w:firstLineChars="200"/>
              <w:rPr>
                <w:rFonts w:cs="Times New Roman"/>
                <w:color w:val="auto"/>
                <w:sz w:val="24"/>
                <w:szCs w:val="24"/>
              </w:rPr>
            </w:pPr>
            <w:r>
              <w:rPr>
                <w:rFonts w:cs="Times New Roman"/>
                <w:color w:val="auto"/>
                <w:sz w:val="24"/>
                <w:szCs w:val="24"/>
              </w:rPr>
              <w:t>项目在设备运行生产、维修过程中会产生废机油，废机油产生量约0.02t/a。其属于《国家危险废物名录》2021年版本中</w:t>
            </w:r>
            <w:r>
              <w:rPr>
                <w:rFonts w:hint="eastAsia" w:cs="Times New Roman"/>
                <w:color w:val="auto"/>
                <w:sz w:val="24"/>
                <w:szCs w:val="24"/>
                <w:lang w:eastAsia="zh-CN"/>
              </w:rPr>
              <w:t>“</w:t>
            </w:r>
            <w:r>
              <w:rPr>
                <w:rFonts w:cs="Times New Roman"/>
                <w:color w:val="auto"/>
                <w:sz w:val="24"/>
                <w:szCs w:val="24"/>
              </w:rPr>
              <w:t>HW08号：废矿物油与含矿物油废物，其废物代码属于：900-214-08车辆、机械维修和拆解过程中产生的废发动机油、制动器油、自动变速器油、齿轮油等废润滑油</w:t>
            </w:r>
            <w:r>
              <w:rPr>
                <w:rFonts w:hint="eastAsia" w:cs="Times New Roman"/>
                <w:color w:val="auto"/>
                <w:sz w:val="24"/>
                <w:szCs w:val="24"/>
                <w:lang w:eastAsia="zh-CN"/>
              </w:rPr>
              <w:t>”</w:t>
            </w:r>
            <w:r>
              <w:rPr>
                <w:rFonts w:cs="Times New Roman"/>
                <w:color w:val="auto"/>
                <w:sz w:val="24"/>
                <w:szCs w:val="24"/>
              </w:rPr>
              <w:t>。项目废机油暂存于新建的危废暂存间内（面积5m</w:t>
            </w:r>
            <w:r>
              <w:rPr>
                <w:rFonts w:cs="Times New Roman"/>
                <w:color w:val="auto"/>
                <w:sz w:val="24"/>
                <w:szCs w:val="24"/>
                <w:vertAlign w:val="superscript"/>
              </w:rPr>
              <w:t>2</w:t>
            </w:r>
            <w:r>
              <w:rPr>
                <w:rFonts w:cs="Times New Roman"/>
                <w:color w:val="auto"/>
                <w:sz w:val="24"/>
                <w:szCs w:val="24"/>
              </w:rPr>
              <w:t>），定期交由资质单位处理。</w:t>
            </w:r>
          </w:p>
          <w:p w14:paraId="069FCC04">
            <w:pPr>
              <w:spacing w:line="360" w:lineRule="auto"/>
              <w:ind w:firstLine="480" w:firstLineChars="200"/>
              <w:rPr>
                <w:rFonts w:cs="Times New Roman"/>
                <w:color w:val="auto"/>
                <w:sz w:val="24"/>
                <w:szCs w:val="24"/>
              </w:rPr>
            </w:pPr>
            <w:r>
              <w:rPr>
                <w:rFonts w:cs="Times New Roman"/>
                <w:color w:val="auto"/>
                <w:sz w:val="24"/>
                <w:szCs w:val="24"/>
              </w:rPr>
              <w:t>项目固体废物污染源强及处置措施见下表：</w:t>
            </w:r>
          </w:p>
          <w:p w14:paraId="2CF1DCEE">
            <w:pPr>
              <w:spacing w:line="360" w:lineRule="auto"/>
              <w:jc w:val="center"/>
              <w:rPr>
                <w:rFonts w:cs="Times New Roman"/>
                <w:b/>
                <w:color w:val="auto"/>
                <w:sz w:val="24"/>
                <w:szCs w:val="24"/>
              </w:rPr>
            </w:pPr>
            <w:r>
              <w:rPr>
                <w:rFonts w:cs="Times New Roman"/>
                <w:b/>
                <w:color w:val="auto"/>
                <w:sz w:val="24"/>
                <w:szCs w:val="24"/>
              </w:rPr>
              <w:t>表4-1</w:t>
            </w:r>
            <w:r>
              <w:rPr>
                <w:rFonts w:hint="eastAsia" w:cs="Times New Roman"/>
                <w:b/>
                <w:color w:val="auto"/>
                <w:sz w:val="24"/>
                <w:szCs w:val="24"/>
                <w:lang w:val="en-US" w:eastAsia="zh-CN"/>
              </w:rPr>
              <w:t>4</w:t>
            </w:r>
            <w:r>
              <w:rPr>
                <w:rFonts w:cs="Times New Roman"/>
                <w:b/>
                <w:color w:val="auto"/>
                <w:sz w:val="24"/>
                <w:szCs w:val="24"/>
              </w:rPr>
              <w:t xml:space="preserve"> 固体废物污染源强及处置措施表</w:t>
            </w:r>
          </w:p>
          <w:tbl>
            <w:tblPr>
              <w:tblStyle w:val="25"/>
              <w:tblW w:w="4953"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57" w:type="dxa"/>
                <w:bottom w:w="0" w:type="dxa"/>
                <w:right w:w="57" w:type="dxa"/>
              </w:tblCellMar>
            </w:tblPr>
            <w:tblGrid>
              <w:gridCol w:w="1228"/>
              <w:gridCol w:w="1235"/>
              <w:gridCol w:w="941"/>
              <w:gridCol w:w="1270"/>
              <w:gridCol w:w="1256"/>
              <w:gridCol w:w="1195"/>
              <w:gridCol w:w="1618"/>
            </w:tblGrid>
            <w:tr w14:paraId="33B07A4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88" w:hRule="atLeast"/>
                <w:jc w:val="center"/>
              </w:trPr>
              <w:tc>
                <w:tcPr>
                  <w:tcW w:w="702" w:type="pct"/>
                  <w:vMerge w:val="restart"/>
                  <w:tcBorders>
                    <w:tl2br w:val="nil"/>
                    <w:tr2bl w:val="nil"/>
                  </w:tcBorders>
                  <w:shd w:val="clear" w:color="auto" w:fill="auto"/>
                  <w:vAlign w:val="center"/>
                </w:tcPr>
                <w:p w14:paraId="27D256C1">
                  <w:pPr>
                    <w:spacing w:line="240" w:lineRule="exact"/>
                    <w:jc w:val="center"/>
                    <w:rPr>
                      <w:rFonts w:cs="Times New Roman"/>
                      <w:b/>
                      <w:bCs/>
                      <w:color w:val="auto"/>
                      <w:szCs w:val="21"/>
                    </w:rPr>
                  </w:pPr>
                  <w:r>
                    <w:rPr>
                      <w:rFonts w:cs="Times New Roman"/>
                      <w:b/>
                      <w:bCs/>
                      <w:color w:val="auto"/>
                      <w:szCs w:val="21"/>
                    </w:rPr>
                    <w:t>产生源</w:t>
                  </w:r>
                </w:p>
              </w:tc>
              <w:tc>
                <w:tcPr>
                  <w:tcW w:w="706" w:type="pct"/>
                  <w:vMerge w:val="restart"/>
                  <w:tcBorders>
                    <w:tl2br w:val="nil"/>
                    <w:tr2bl w:val="nil"/>
                  </w:tcBorders>
                  <w:shd w:val="clear" w:color="auto" w:fill="auto"/>
                  <w:vAlign w:val="center"/>
                </w:tcPr>
                <w:p w14:paraId="743E206A">
                  <w:pPr>
                    <w:spacing w:line="240" w:lineRule="exact"/>
                    <w:jc w:val="center"/>
                    <w:rPr>
                      <w:rFonts w:cs="Times New Roman"/>
                      <w:b/>
                      <w:bCs/>
                      <w:color w:val="auto"/>
                      <w:szCs w:val="21"/>
                    </w:rPr>
                  </w:pPr>
                  <w:r>
                    <w:rPr>
                      <w:rFonts w:cs="Times New Roman"/>
                      <w:b/>
                      <w:bCs/>
                      <w:color w:val="auto"/>
                      <w:szCs w:val="21"/>
                    </w:rPr>
                    <w:t>固体废物名称</w:t>
                  </w:r>
                </w:p>
              </w:tc>
              <w:tc>
                <w:tcPr>
                  <w:tcW w:w="538" w:type="pct"/>
                  <w:vMerge w:val="restart"/>
                  <w:tcBorders>
                    <w:tl2br w:val="nil"/>
                    <w:tr2bl w:val="nil"/>
                  </w:tcBorders>
                  <w:shd w:val="clear" w:color="auto" w:fill="auto"/>
                  <w:vAlign w:val="center"/>
                </w:tcPr>
                <w:p w14:paraId="0F15E54E">
                  <w:pPr>
                    <w:spacing w:line="240" w:lineRule="exact"/>
                    <w:jc w:val="center"/>
                    <w:rPr>
                      <w:rFonts w:cs="Times New Roman"/>
                      <w:b/>
                      <w:bCs/>
                      <w:color w:val="auto"/>
                      <w:szCs w:val="21"/>
                    </w:rPr>
                  </w:pPr>
                  <w:r>
                    <w:rPr>
                      <w:rFonts w:cs="Times New Roman"/>
                      <w:b/>
                      <w:bCs/>
                      <w:color w:val="auto"/>
                      <w:szCs w:val="21"/>
                    </w:rPr>
                    <w:t>固废属性</w:t>
                  </w:r>
                </w:p>
              </w:tc>
              <w:tc>
                <w:tcPr>
                  <w:tcW w:w="726" w:type="pct"/>
                  <w:vMerge w:val="restart"/>
                  <w:tcBorders>
                    <w:tl2br w:val="nil"/>
                    <w:tr2bl w:val="nil"/>
                  </w:tcBorders>
                  <w:shd w:val="clear" w:color="auto" w:fill="auto"/>
                  <w:vAlign w:val="center"/>
                </w:tcPr>
                <w:p w14:paraId="0502243C">
                  <w:pPr>
                    <w:spacing w:line="240" w:lineRule="exact"/>
                    <w:jc w:val="center"/>
                    <w:rPr>
                      <w:rFonts w:cs="Times New Roman"/>
                      <w:b/>
                      <w:bCs/>
                      <w:color w:val="auto"/>
                      <w:szCs w:val="21"/>
                    </w:rPr>
                  </w:pPr>
                  <w:r>
                    <w:rPr>
                      <w:rFonts w:cs="Times New Roman"/>
                      <w:b/>
                      <w:bCs/>
                      <w:color w:val="auto"/>
                      <w:szCs w:val="21"/>
                    </w:rPr>
                    <w:t>产生量</w:t>
                  </w:r>
                </w:p>
                <w:p w14:paraId="7A281B6D">
                  <w:pPr>
                    <w:spacing w:line="240" w:lineRule="exact"/>
                    <w:jc w:val="center"/>
                    <w:rPr>
                      <w:rFonts w:cs="Times New Roman"/>
                      <w:b/>
                      <w:bCs/>
                      <w:color w:val="auto"/>
                      <w:szCs w:val="21"/>
                    </w:rPr>
                  </w:pPr>
                  <w:r>
                    <w:rPr>
                      <w:rFonts w:cs="Times New Roman"/>
                      <w:b/>
                      <w:bCs/>
                      <w:color w:val="auto"/>
                      <w:szCs w:val="21"/>
                    </w:rPr>
                    <w:t>（t/a）</w:t>
                  </w:r>
                </w:p>
              </w:tc>
              <w:tc>
                <w:tcPr>
                  <w:tcW w:w="1401" w:type="pct"/>
                  <w:gridSpan w:val="2"/>
                  <w:tcBorders>
                    <w:tl2br w:val="nil"/>
                    <w:tr2bl w:val="nil"/>
                  </w:tcBorders>
                  <w:shd w:val="clear" w:color="auto" w:fill="auto"/>
                  <w:vAlign w:val="center"/>
                </w:tcPr>
                <w:p w14:paraId="0A5FD8DF">
                  <w:pPr>
                    <w:spacing w:line="240" w:lineRule="exact"/>
                    <w:jc w:val="center"/>
                    <w:rPr>
                      <w:rFonts w:cs="Times New Roman"/>
                      <w:b/>
                      <w:bCs/>
                      <w:color w:val="auto"/>
                      <w:szCs w:val="21"/>
                    </w:rPr>
                  </w:pPr>
                  <w:r>
                    <w:rPr>
                      <w:rFonts w:cs="Times New Roman"/>
                      <w:b/>
                      <w:bCs/>
                      <w:color w:val="auto"/>
                      <w:szCs w:val="21"/>
                    </w:rPr>
                    <w:t>处置措施</w:t>
                  </w:r>
                </w:p>
              </w:tc>
              <w:tc>
                <w:tcPr>
                  <w:tcW w:w="925" w:type="pct"/>
                  <w:vMerge w:val="restart"/>
                  <w:tcBorders>
                    <w:tl2br w:val="nil"/>
                    <w:tr2bl w:val="nil"/>
                  </w:tcBorders>
                  <w:shd w:val="clear" w:color="auto" w:fill="auto"/>
                  <w:vAlign w:val="center"/>
                </w:tcPr>
                <w:p w14:paraId="04399E2E">
                  <w:pPr>
                    <w:spacing w:line="240" w:lineRule="exact"/>
                    <w:jc w:val="center"/>
                    <w:rPr>
                      <w:rFonts w:cs="Times New Roman"/>
                      <w:b/>
                      <w:bCs/>
                      <w:color w:val="auto"/>
                      <w:szCs w:val="21"/>
                    </w:rPr>
                  </w:pPr>
                  <w:r>
                    <w:rPr>
                      <w:rFonts w:cs="Times New Roman"/>
                      <w:b/>
                      <w:bCs/>
                      <w:color w:val="auto"/>
                      <w:szCs w:val="21"/>
                    </w:rPr>
                    <w:t>最终去向</w:t>
                  </w:r>
                </w:p>
              </w:tc>
            </w:tr>
            <w:tr w14:paraId="52D08A6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90" w:hRule="atLeast"/>
                <w:jc w:val="center"/>
              </w:trPr>
              <w:tc>
                <w:tcPr>
                  <w:tcW w:w="702" w:type="pct"/>
                  <w:vMerge w:val="continue"/>
                  <w:tcBorders>
                    <w:tl2br w:val="nil"/>
                    <w:tr2bl w:val="nil"/>
                  </w:tcBorders>
                  <w:shd w:val="clear" w:color="auto" w:fill="auto"/>
                  <w:vAlign w:val="center"/>
                </w:tcPr>
                <w:p w14:paraId="1FB4FCC4">
                  <w:pPr>
                    <w:spacing w:line="240" w:lineRule="exact"/>
                    <w:jc w:val="center"/>
                    <w:rPr>
                      <w:rFonts w:cs="Times New Roman"/>
                      <w:color w:val="auto"/>
                      <w:szCs w:val="21"/>
                    </w:rPr>
                  </w:pPr>
                </w:p>
              </w:tc>
              <w:tc>
                <w:tcPr>
                  <w:tcW w:w="706" w:type="pct"/>
                  <w:vMerge w:val="continue"/>
                  <w:tcBorders>
                    <w:tl2br w:val="nil"/>
                    <w:tr2bl w:val="nil"/>
                  </w:tcBorders>
                  <w:shd w:val="clear" w:color="auto" w:fill="auto"/>
                  <w:vAlign w:val="center"/>
                </w:tcPr>
                <w:p w14:paraId="1444B6DF">
                  <w:pPr>
                    <w:spacing w:line="240" w:lineRule="exact"/>
                    <w:jc w:val="center"/>
                    <w:rPr>
                      <w:rFonts w:cs="Times New Roman"/>
                      <w:color w:val="auto"/>
                      <w:szCs w:val="21"/>
                    </w:rPr>
                  </w:pPr>
                </w:p>
              </w:tc>
              <w:tc>
                <w:tcPr>
                  <w:tcW w:w="538" w:type="pct"/>
                  <w:vMerge w:val="continue"/>
                  <w:tcBorders>
                    <w:tl2br w:val="nil"/>
                    <w:tr2bl w:val="nil"/>
                  </w:tcBorders>
                  <w:shd w:val="clear" w:color="auto" w:fill="auto"/>
                  <w:vAlign w:val="center"/>
                </w:tcPr>
                <w:p w14:paraId="0EFF88FB">
                  <w:pPr>
                    <w:spacing w:line="240" w:lineRule="exact"/>
                    <w:jc w:val="center"/>
                    <w:rPr>
                      <w:rFonts w:cs="Times New Roman"/>
                      <w:color w:val="auto"/>
                      <w:szCs w:val="21"/>
                    </w:rPr>
                  </w:pPr>
                </w:p>
              </w:tc>
              <w:tc>
                <w:tcPr>
                  <w:tcW w:w="726" w:type="pct"/>
                  <w:vMerge w:val="continue"/>
                  <w:tcBorders>
                    <w:tl2br w:val="nil"/>
                    <w:tr2bl w:val="nil"/>
                  </w:tcBorders>
                  <w:shd w:val="clear" w:color="auto" w:fill="auto"/>
                  <w:vAlign w:val="center"/>
                </w:tcPr>
                <w:p w14:paraId="6BE781A6">
                  <w:pPr>
                    <w:spacing w:line="240" w:lineRule="exact"/>
                    <w:jc w:val="center"/>
                    <w:rPr>
                      <w:rFonts w:cs="Times New Roman"/>
                      <w:b/>
                      <w:bCs/>
                      <w:color w:val="auto"/>
                      <w:szCs w:val="21"/>
                    </w:rPr>
                  </w:pPr>
                </w:p>
              </w:tc>
              <w:tc>
                <w:tcPr>
                  <w:tcW w:w="718" w:type="pct"/>
                  <w:tcBorders>
                    <w:tl2br w:val="nil"/>
                    <w:tr2bl w:val="nil"/>
                  </w:tcBorders>
                  <w:shd w:val="clear" w:color="auto" w:fill="auto"/>
                  <w:vAlign w:val="center"/>
                </w:tcPr>
                <w:p w14:paraId="16C2E4AA">
                  <w:pPr>
                    <w:spacing w:line="240" w:lineRule="exact"/>
                    <w:jc w:val="center"/>
                    <w:rPr>
                      <w:rFonts w:cs="Times New Roman"/>
                      <w:b/>
                      <w:bCs/>
                      <w:color w:val="auto"/>
                      <w:szCs w:val="21"/>
                    </w:rPr>
                  </w:pPr>
                  <w:r>
                    <w:rPr>
                      <w:rFonts w:cs="Times New Roman"/>
                      <w:b/>
                      <w:bCs/>
                      <w:color w:val="auto"/>
                      <w:szCs w:val="21"/>
                    </w:rPr>
                    <w:t>工艺</w:t>
                  </w:r>
                </w:p>
              </w:tc>
              <w:tc>
                <w:tcPr>
                  <w:tcW w:w="683" w:type="pct"/>
                  <w:tcBorders>
                    <w:tl2br w:val="nil"/>
                    <w:tr2bl w:val="nil"/>
                  </w:tcBorders>
                  <w:shd w:val="clear" w:color="auto" w:fill="auto"/>
                  <w:vAlign w:val="center"/>
                </w:tcPr>
                <w:p w14:paraId="613A061D">
                  <w:pPr>
                    <w:spacing w:line="240" w:lineRule="exact"/>
                    <w:jc w:val="center"/>
                    <w:rPr>
                      <w:rFonts w:cs="Times New Roman"/>
                      <w:b/>
                      <w:bCs/>
                      <w:color w:val="auto"/>
                      <w:szCs w:val="21"/>
                    </w:rPr>
                  </w:pPr>
                  <w:r>
                    <w:rPr>
                      <w:rFonts w:cs="Times New Roman"/>
                      <w:b/>
                      <w:bCs/>
                      <w:color w:val="auto"/>
                      <w:szCs w:val="21"/>
                    </w:rPr>
                    <w:t>处置量（t/a）</w:t>
                  </w:r>
                </w:p>
              </w:tc>
              <w:tc>
                <w:tcPr>
                  <w:tcW w:w="925" w:type="pct"/>
                  <w:vMerge w:val="continue"/>
                  <w:tcBorders>
                    <w:tl2br w:val="nil"/>
                    <w:tr2bl w:val="nil"/>
                  </w:tcBorders>
                  <w:vAlign w:val="center"/>
                </w:tcPr>
                <w:p w14:paraId="219B734B">
                  <w:pPr>
                    <w:spacing w:line="240" w:lineRule="exact"/>
                    <w:jc w:val="center"/>
                    <w:rPr>
                      <w:rFonts w:cs="Times New Roman"/>
                      <w:b/>
                      <w:bCs/>
                      <w:color w:val="auto"/>
                      <w:szCs w:val="21"/>
                    </w:rPr>
                  </w:pPr>
                </w:p>
              </w:tc>
            </w:tr>
            <w:tr w14:paraId="277BACD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717" w:hRule="atLeast"/>
                <w:jc w:val="center"/>
              </w:trPr>
              <w:tc>
                <w:tcPr>
                  <w:tcW w:w="702" w:type="pct"/>
                  <w:tcBorders>
                    <w:tl2br w:val="nil"/>
                    <w:tr2bl w:val="nil"/>
                  </w:tcBorders>
                  <w:vAlign w:val="center"/>
                </w:tcPr>
                <w:p w14:paraId="1FE0A996">
                  <w:pPr>
                    <w:autoSpaceDN w:val="0"/>
                    <w:spacing w:line="240" w:lineRule="exact"/>
                    <w:jc w:val="center"/>
                    <w:textAlignment w:val="bottom"/>
                    <w:rPr>
                      <w:rFonts w:cs="Times New Roman"/>
                      <w:color w:val="auto"/>
                      <w:szCs w:val="21"/>
                    </w:rPr>
                  </w:pPr>
                  <w:r>
                    <w:rPr>
                      <w:rFonts w:cs="Times New Roman"/>
                      <w:color w:val="auto"/>
                      <w:szCs w:val="21"/>
                    </w:rPr>
                    <w:t>沉砂池</w:t>
                  </w:r>
                </w:p>
              </w:tc>
              <w:tc>
                <w:tcPr>
                  <w:tcW w:w="706" w:type="pct"/>
                  <w:tcBorders>
                    <w:tl2br w:val="nil"/>
                    <w:tr2bl w:val="nil"/>
                  </w:tcBorders>
                  <w:vAlign w:val="center"/>
                </w:tcPr>
                <w:p w14:paraId="37769A4F">
                  <w:pPr>
                    <w:autoSpaceDN w:val="0"/>
                    <w:spacing w:line="240" w:lineRule="exact"/>
                    <w:jc w:val="center"/>
                    <w:textAlignment w:val="bottom"/>
                    <w:rPr>
                      <w:rFonts w:cs="Times New Roman"/>
                      <w:color w:val="auto"/>
                      <w:szCs w:val="21"/>
                    </w:rPr>
                  </w:pPr>
                  <w:r>
                    <w:rPr>
                      <w:rFonts w:cs="Times New Roman"/>
                      <w:color w:val="auto"/>
                      <w:szCs w:val="21"/>
                    </w:rPr>
                    <w:t>粗砂</w:t>
                  </w:r>
                </w:p>
              </w:tc>
              <w:tc>
                <w:tcPr>
                  <w:tcW w:w="538" w:type="pct"/>
                  <w:vMerge w:val="restart"/>
                  <w:tcBorders>
                    <w:tl2br w:val="nil"/>
                    <w:tr2bl w:val="nil"/>
                  </w:tcBorders>
                  <w:vAlign w:val="center"/>
                </w:tcPr>
                <w:p w14:paraId="6E7F6E97">
                  <w:pPr>
                    <w:spacing w:line="240" w:lineRule="exact"/>
                    <w:jc w:val="center"/>
                    <w:rPr>
                      <w:rFonts w:cs="Times New Roman"/>
                      <w:color w:val="auto"/>
                      <w:szCs w:val="21"/>
                    </w:rPr>
                  </w:pPr>
                  <w:r>
                    <w:rPr>
                      <w:rFonts w:cs="Times New Roman"/>
                      <w:color w:val="auto"/>
                      <w:szCs w:val="21"/>
                    </w:rPr>
                    <w:t>一般废物</w:t>
                  </w:r>
                </w:p>
              </w:tc>
              <w:tc>
                <w:tcPr>
                  <w:tcW w:w="726" w:type="pct"/>
                  <w:tcBorders>
                    <w:tl2br w:val="nil"/>
                    <w:tr2bl w:val="nil"/>
                  </w:tcBorders>
                  <w:vAlign w:val="center"/>
                </w:tcPr>
                <w:p w14:paraId="7764B121">
                  <w:pPr>
                    <w:tabs>
                      <w:tab w:val="left" w:pos="1134"/>
                    </w:tabs>
                    <w:spacing w:line="240" w:lineRule="exact"/>
                    <w:jc w:val="center"/>
                    <w:rPr>
                      <w:rFonts w:hint="default" w:eastAsia="宋体" w:cs="Times New Roman"/>
                      <w:color w:val="auto"/>
                      <w:szCs w:val="21"/>
                      <w:lang w:val="en-US" w:eastAsia="zh-CN"/>
                    </w:rPr>
                  </w:pPr>
                  <w:r>
                    <w:rPr>
                      <w:rFonts w:hint="eastAsia" w:cs="Times New Roman"/>
                      <w:color w:val="auto"/>
                      <w:szCs w:val="21"/>
                      <w:lang w:val="en-US" w:eastAsia="zh-CN"/>
                    </w:rPr>
                    <w:t>750</w:t>
                  </w:r>
                </w:p>
              </w:tc>
              <w:tc>
                <w:tcPr>
                  <w:tcW w:w="718" w:type="pct"/>
                  <w:tcBorders>
                    <w:tl2br w:val="nil"/>
                    <w:tr2bl w:val="nil"/>
                  </w:tcBorders>
                  <w:vAlign w:val="center"/>
                </w:tcPr>
                <w:p w14:paraId="38AE9DBC">
                  <w:pPr>
                    <w:tabs>
                      <w:tab w:val="left" w:pos="1134"/>
                    </w:tabs>
                    <w:spacing w:line="240" w:lineRule="exact"/>
                    <w:jc w:val="center"/>
                    <w:rPr>
                      <w:rFonts w:cs="Times New Roman"/>
                      <w:color w:val="auto"/>
                      <w:szCs w:val="21"/>
                    </w:rPr>
                  </w:pPr>
                  <w:r>
                    <w:rPr>
                      <w:rFonts w:cs="Times New Roman"/>
                      <w:color w:val="auto"/>
                      <w:szCs w:val="21"/>
                    </w:rPr>
                    <w:t>自行处置</w:t>
                  </w:r>
                </w:p>
              </w:tc>
              <w:tc>
                <w:tcPr>
                  <w:tcW w:w="683" w:type="pct"/>
                  <w:tcBorders>
                    <w:tl2br w:val="nil"/>
                    <w:tr2bl w:val="nil"/>
                  </w:tcBorders>
                  <w:shd w:val="clear" w:color="auto" w:fill="auto"/>
                  <w:vAlign w:val="center"/>
                </w:tcPr>
                <w:p w14:paraId="75206F2D">
                  <w:pPr>
                    <w:tabs>
                      <w:tab w:val="left" w:pos="1134"/>
                    </w:tabs>
                    <w:spacing w:line="240" w:lineRule="exact"/>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szCs w:val="21"/>
                      <w:lang w:val="en-US" w:eastAsia="zh-CN"/>
                    </w:rPr>
                    <w:t>750</w:t>
                  </w:r>
                </w:p>
              </w:tc>
              <w:tc>
                <w:tcPr>
                  <w:tcW w:w="925" w:type="pct"/>
                  <w:tcBorders>
                    <w:tl2br w:val="nil"/>
                    <w:tr2bl w:val="nil"/>
                  </w:tcBorders>
                  <w:vAlign w:val="center"/>
                </w:tcPr>
                <w:p w14:paraId="775F9F9F">
                  <w:pPr>
                    <w:tabs>
                      <w:tab w:val="left" w:pos="1134"/>
                    </w:tabs>
                    <w:spacing w:line="240" w:lineRule="exact"/>
                    <w:jc w:val="center"/>
                    <w:rPr>
                      <w:rFonts w:hint="eastAsia" w:eastAsia="宋体" w:cs="Times New Roman"/>
                      <w:color w:val="auto"/>
                      <w:szCs w:val="21"/>
                      <w:lang w:eastAsia="zh-CN"/>
                    </w:rPr>
                  </w:pPr>
                  <w:r>
                    <w:rPr>
                      <w:rFonts w:hint="eastAsia" w:cs="Times New Roman"/>
                      <w:color w:val="auto"/>
                      <w:szCs w:val="21"/>
                      <w:lang w:eastAsia="zh-CN"/>
                    </w:rPr>
                    <w:t>外售</w:t>
                  </w:r>
                </w:p>
              </w:tc>
            </w:tr>
            <w:tr w14:paraId="47358BE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11" w:hRule="atLeast"/>
                <w:jc w:val="center"/>
              </w:trPr>
              <w:tc>
                <w:tcPr>
                  <w:tcW w:w="702" w:type="pct"/>
                  <w:tcBorders>
                    <w:tl2br w:val="nil"/>
                    <w:tr2bl w:val="nil"/>
                  </w:tcBorders>
                  <w:vAlign w:val="center"/>
                </w:tcPr>
                <w:p w14:paraId="44886B0E">
                  <w:pPr>
                    <w:autoSpaceDN w:val="0"/>
                    <w:spacing w:line="240" w:lineRule="exact"/>
                    <w:jc w:val="center"/>
                    <w:textAlignment w:val="bottom"/>
                    <w:rPr>
                      <w:rFonts w:cs="Times New Roman"/>
                      <w:color w:val="auto"/>
                      <w:szCs w:val="21"/>
                    </w:rPr>
                  </w:pPr>
                  <w:r>
                    <w:rPr>
                      <w:rFonts w:cs="Times New Roman"/>
                      <w:color w:val="auto"/>
                      <w:szCs w:val="21"/>
                    </w:rPr>
                    <w:t>沉淀池</w:t>
                  </w:r>
                </w:p>
              </w:tc>
              <w:tc>
                <w:tcPr>
                  <w:tcW w:w="706" w:type="pct"/>
                  <w:tcBorders>
                    <w:tl2br w:val="nil"/>
                    <w:tr2bl w:val="nil"/>
                  </w:tcBorders>
                  <w:vAlign w:val="center"/>
                </w:tcPr>
                <w:p w14:paraId="59B5C29C">
                  <w:pPr>
                    <w:autoSpaceDN w:val="0"/>
                    <w:spacing w:line="240" w:lineRule="exact"/>
                    <w:jc w:val="center"/>
                    <w:textAlignment w:val="bottom"/>
                    <w:rPr>
                      <w:rFonts w:cs="Times New Roman"/>
                      <w:color w:val="auto"/>
                      <w:szCs w:val="21"/>
                    </w:rPr>
                  </w:pPr>
                  <w:r>
                    <w:rPr>
                      <w:rFonts w:hint="eastAsia" w:cs="Times New Roman"/>
                      <w:color w:val="auto"/>
                      <w:szCs w:val="21"/>
                      <w:lang w:eastAsia="zh-CN"/>
                    </w:rPr>
                    <w:t>泥沙</w:t>
                  </w:r>
                </w:p>
              </w:tc>
              <w:tc>
                <w:tcPr>
                  <w:tcW w:w="538" w:type="pct"/>
                  <w:vMerge w:val="continue"/>
                  <w:tcBorders>
                    <w:tl2br w:val="nil"/>
                    <w:tr2bl w:val="nil"/>
                  </w:tcBorders>
                  <w:vAlign w:val="center"/>
                </w:tcPr>
                <w:p w14:paraId="4E219BF8">
                  <w:pPr>
                    <w:spacing w:line="240" w:lineRule="exact"/>
                    <w:jc w:val="center"/>
                    <w:rPr>
                      <w:rFonts w:cs="Times New Roman"/>
                      <w:color w:val="auto"/>
                      <w:szCs w:val="21"/>
                    </w:rPr>
                  </w:pPr>
                </w:p>
              </w:tc>
              <w:tc>
                <w:tcPr>
                  <w:tcW w:w="726" w:type="pct"/>
                  <w:tcBorders>
                    <w:tl2br w:val="nil"/>
                    <w:tr2bl w:val="nil"/>
                  </w:tcBorders>
                  <w:vAlign w:val="center"/>
                </w:tcPr>
                <w:p w14:paraId="5A797638">
                  <w:pPr>
                    <w:tabs>
                      <w:tab w:val="left" w:pos="1134"/>
                    </w:tabs>
                    <w:spacing w:line="240" w:lineRule="exact"/>
                    <w:jc w:val="center"/>
                    <w:rPr>
                      <w:rFonts w:hint="default" w:eastAsia="宋体" w:cs="Times New Roman"/>
                      <w:color w:val="auto"/>
                      <w:szCs w:val="21"/>
                      <w:lang w:val="en-US" w:eastAsia="zh-CN"/>
                    </w:rPr>
                  </w:pPr>
                  <w:r>
                    <w:rPr>
                      <w:rFonts w:hint="eastAsia" w:cs="Times New Roman"/>
                      <w:color w:val="auto"/>
                      <w:szCs w:val="21"/>
                      <w:lang w:val="en-US" w:eastAsia="zh-CN"/>
                    </w:rPr>
                    <w:t>500</w:t>
                  </w:r>
                </w:p>
              </w:tc>
              <w:tc>
                <w:tcPr>
                  <w:tcW w:w="718" w:type="pct"/>
                  <w:tcBorders>
                    <w:tl2br w:val="nil"/>
                    <w:tr2bl w:val="nil"/>
                  </w:tcBorders>
                  <w:vAlign w:val="center"/>
                </w:tcPr>
                <w:p w14:paraId="333A9804">
                  <w:pPr>
                    <w:tabs>
                      <w:tab w:val="left" w:pos="1134"/>
                    </w:tabs>
                    <w:spacing w:line="240" w:lineRule="exact"/>
                    <w:jc w:val="center"/>
                    <w:rPr>
                      <w:rFonts w:cs="Times New Roman"/>
                      <w:color w:val="auto"/>
                      <w:szCs w:val="21"/>
                    </w:rPr>
                  </w:pPr>
                  <w:r>
                    <w:rPr>
                      <w:rFonts w:cs="Times New Roman"/>
                      <w:color w:val="auto"/>
                      <w:szCs w:val="21"/>
                    </w:rPr>
                    <w:t>自行处置</w:t>
                  </w:r>
                </w:p>
              </w:tc>
              <w:tc>
                <w:tcPr>
                  <w:tcW w:w="683" w:type="pct"/>
                  <w:tcBorders>
                    <w:tl2br w:val="nil"/>
                    <w:tr2bl w:val="nil"/>
                  </w:tcBorders>
                  <w:shd w:val="clear" w:color="auto" w:fill="auto"/>
                  <w:vAlign w:val="center"/>
                </w:tcPr>
                <w:p w14:paraId="1697544F">
                  <w:pPr>
                    <w:tabs>
                      <w:tab w:val="left" w:pos="1134"/>
                    </w:tabs>
                    <w:spacing w:line="240" w:lineRule="exact"/>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szCs w:val="21"/>
                      <w:lang w:val="en-US" w:eastAsia="zh-CN"/>
                    </w:rPr>
                    <w:t>500</w:t>
                  </w:r>
                </w:p>
              </w:tc>
              <w:tc>
                <w:tcPr>
                  <w:tcW w:w="925" w:type="pct"/>
                  <w:tcBorders>
                    <w:tl2br w:val="nil"/>
                    <w:tr2bl w:val="nil"/>
                  </w:tcBorders>
                  <w:vAlign w:val="center"/>
                </w:tcPr>
                <w:p w14:paraId="49E118E7">
                  <w:pPr>
                    <w:tabs>
                      <w:tab w:val="left" w:pos="1134"/>
                    </w:tabs>
                    <w:spacing w:line="240" w:lineRule="exact"/>
                    <w:jc w:val="center"/>
                    <w:rPr>
                      <w:rFonts w:cs="Times New Roman"/>
                      <w:color w:val="auto"/>
                      <w:szCs w:val="21"/>
                    </w:rPr>
                  </w:pPr>
                  <w:r>
                    <w:rPr>
                      <w:rFonts w:hint="eastAsia" w:cs="Times New Roman"/>
                      <w:color w:val="auto"/>
                      <w:szCs w:val="21"/>
                      <w:lang w:eastAsia="zh-CN"/>
                    </w:rPr>
                    <w:t>外售</w:t>
                  </w:r>
                </w:p>
              </w:tc>
            </w:tr>
            <w:tr w14:paraId="6228EA5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11" w:hRule="atLeast"/>
                <w:jc w:val="center"/>
              </w:trPr>
              <w:tc>
                <w:tcPr>
                  <w:tcW w:w="702" w:type="pct"/>
                  <w:tcBorders>
                    <w:tl2br w:val="nil"/>
                    <w:tr2bl w:val="nil"/>
                  </w:tcBorders>
                  <w:vAlign w:val="center"/>
                </w:tcPr>
                <w:p w14:paraId="3B58A901">
                  <w:pPr>
                    <w:autoSpaceDN w:val="0"/>
                    <w:spacing w:line="240" w:lineRule="exact"/>
                    <w:jc w:val="center"/>
                    <w:textAlignment w:val="bottom"/>
                    <w:rPr>
                      <w:rFonts w:cs="Times New Roman"/>
                      <w:color w:val="auto"/>
                      <w:szCs w:val="21"/>
                    </w:rPr>
                  </w:pPr>
                  <w:r>
                    <w:rPr>
                      <w:rFonts w:hint="eastAsia" w:cs="Times New Roman"/>
                      <w:color w:val="auto"/>
                      <w:szCs w:val="21"/>
                      <w:lang w:eastAsia="zh-CN"/>
                    </w:rPr>
                    <w:t>石材</w:t>
                  </w:r>
                  <w:r>
                    <w:rPr>
                      <w:rFonts w:cs="Times New Roman"/>
                      <w:color w:val="auto"/>
                      <w:szCs w:val="21"/>
                    </w:rPr>
                    <w:t>加工</w:t>
                  </w:r>
                </w:p>
              </w:tc>
              <w:tc>
                <w:tcPr>
                  <w:tcW w:w="706" w:type="pct"/>
                  <w:tcBorders>
                    <w:tl2br w:val="nil"/>
                    <w:tr2bl w:val="nil"/>
                  </w:tcBorders>
                  <w:vAlign w:val="center"/>
                </w:tcPr>
                <w:p w14:paraId="7615C598">
                  <w:pPr>
                    <w:autoSpaceDN w:val="0"/>
                    <w:spacing w:line="240" w:lineRule="exact"/>
                    <w:jc w:val="center"/>
                    <w:textAlignment w:val="bottom"/>
                    <w:rPr>
                      <w:rFonts w:cs="Times New Roman"/>
                      <w:color w:val="auto"/>
                      <w:szCs w:val="21"/>
                    </w:rPr>
                  </w:pPr>
                  <w:r>
                    <w:rPr>
                      <w:rFonts w:hint="eastAsia" w:cs="Times New Roman"/>
                      <w:color w:val="auto"/>
                      <w:szCs w:val="21"/>
                    </w:rPr>
                    <w:t>废边角料</w:t>
                  </w:r>
                </w:p>
              </w:tc>
              <w:tc>
                <w:tcPr>
                  <w:tcW w:w="538" w:type="pct"/>
                  <w:vMerge w:val="continue"/>
                  <w:tcBorders>
                    <w:tl2br w:val="nil"/>
                    <w:tr2bl w:val="nil"/>
                  </w:tcBorders>
                  <w:vAlign w:val="center"/>
                </w:tcPr>
                <w:p w14:paraId="52C87D8C">
                  <w:pPr>
                    <w:spacing w:line="240" w:lineRule="exact"/>
                    <w:jc w:val="center"/>
                    <w:rPr>
                      <w:rFonts w:cs="Times New Roman"/>
                      <w:color w:val="auto"/>
                      <w:szCs w:val="21"/>
                    </w:rPr>
                  </w:pPr>
                </w:p>
              </w:tc>
              <w:tc>
                <w:tcPr>
                  <w:tcW w:w="726" w:type="pct"/>
                  <w:tcBorders>
                    <w:tl2br w:val="nil"/>
                    <w:tr2bl w:val="nil"/>
                  </w:tcBorders>
                  <w:vAlign w:val="center"/>
                </w:tcPr>
                <w:p w14:paraId="7E93D4E2">
                  <w:pPr>
                    <w:tabs>
                      <w:tab w:val="left" w:pos="1134"/>
                    </w:tabs>
                    <w:spacing w:line="240" w:lineRule="exact"/>
                    <w:jc w:val="center"/>
                    <w:rPr>
                      <w:rFonts w:hint="default" w:eastAsia="宋体" w:cs="Times New Roman"/>
                      <w:color w:val="auto"/>
                      <w:szCs w:val="21"/>
                      <w:lang w:val="en-US" w:eastAsia="zh-CN"/>
                    </w:rPr>
                  </w:pPr>
                  <w:r>
                    <w:rPr>
                      <w:rFonts w:hint="eastAsia" w:cs="Times New Roman"/>
                      <w:color w:val="auto"/>
                      <w:szCs w:val="21"/>
                      <w:lang w:val="en-US" w:eastAsia="zh-CN"/>
                    </w:rPr>
                    <w:t>3750</w:t>
                  </w:r>
                </w:p>
              </w:tc>
              <w:tc>
                <w:tcPr>
                  <w:tcW w:w="718" w:type="pct"/>
                  <w:tcBorders>
                    <w:tl2br w:val="nil"/>
                    <w:tr2bl w:val="nil"/>
                  </w:tcBorders>
                  <w:vAlign w:val="center"/>
                </w:tcPr>
                <w:p w14:paraId="6FF98819">
                  <w:pPr>
                    <w:tabs>
                      <w:tab w:val="left" w:pos="1134"/>
                    </w:tabs>
                    <w:spacing w:line="240" w:lineRule="exact"/>
                    <w:jc w:val="center"/>
                    <w:rPr>
                      <w:rFonts w:cs="Times New Roman"/>
                      <w:color w:val="auto"/>
                      <w:szCs w:val="21"/>
                    </w:rPr>
                  </w:pPr>
                  <w:r>
                    <w:rPr>
                      <w:rFonts w:cs="Times New Roman"/>
                      <w:color w:val="auto"/>
                      <w:szCs w:val="21"/>
                    </w:rPr>
                    <w:t>自行处置</w:t>
                  </w:r>
                </w:p>
              </w:tc>
              <w:tc>
                <w:tcPr>
                  <w:tcW w:w="683" w:type="pct"/>
                  <w:tcBorders>
                    <w:tl2br w:val="nil"/>
                    <w:tr2bl w:val="nil"/>
                  </w:tcBorders>
                  <w:shd w:val="clear" w:color="auto" w:fill="auto"/>
                  <w:vAlign w:val="center"/>
                </w:tcPr>
                <w:p w14:paraId="71F8E7C3">
                  <w:pPr>
                    <w:tabs>
                      <w:tab w:val="left" w:pos="1134"/>
                    </w:tabs>
                    <w:spacing w:line="240" w:lineRule="exact"/>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szCs w:val="21"/>
                      <w:lang w:val="en-US" w:eastAsia="zh-CN"/>
                    </w:rPr>
                    <w:t>3750</w:t>
                  </w:r>
                </w:p>
              </w:tc>
              <w:tc>
                <w:tcPr>
                  <w:tcW w:w="925" w:type="pct"/>
                  <w:tcBorders>
                    <w:tl2br w:val="nil"/>
                    <w:tr2bl w:val="nil"/>
                  </w:tcBorders>
                  <w:vAlign w:val="center"/>
                </w:tcPr>
                <w:p w14:paraId="7309A5A0">
                  <w:pPr>
                    <w:tabs>
                      <w:tab w:val="left" w:pos="1134"/>
                    </w:tabs>
                    <w:spacing w:line="240" w:lineRule="exact"/>
                    <w:jc w:val="center"/>
                    <w:rPr>
                      <w:rFonts w:cs="Times New Roman"/>
                      <w:color w:val="auto"/>
                      <w:szCs w:val="21"/>
                    </w:rPr>
                  </w:pPr>
                  <w:r>
                    <w:rPr>
                      <w:rFonts w:hint="eastAsia" w:cs="Times New Roman"/>
                      <w:color w:val="auto"/>
                      <w:szCs w:val="21"/>
                      <w:lang w:eastAsia="zh-CN"/>
                    </w:rPr>
                    <w:t>外售</w:t>
                  </w:r>
                </w:p>
              </w:tc>
            </w:tr>
            <w:tr w14:paraId="740DE6B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90" w:hRule="atLeast"/>
                <w:jc w:val="center"/>
              </w:trPr>
              <w:tc>
                <w:tcPr>
                  <w:tcW w:w="702" w:type="pct"/>
                  <w:tcBorders>
                    <w:tl2br w:val="nil"/>
                    <w:tr2bl w:val="nil"/>
                  </w:tcBorders>
                  <w:vAlign w:val="center"/>
                </w:tcPr>
                <w:p w14:paraId="51FE779F">
                  <w:pPr>
                    <w:autoSpaceDN w:val="0"/>
                    <w:spacing w:line="240" w:lineRule="exact"/>
                    <w:jc w:val="center"/>
                    <w:textAlignment w:val="bottom"/>
                    <w:rPr>
                      <w:rFonts w:cs="Times New Roman"/>
                      <w:color w:val="auto"/>
                      <w:szCs w:val="21"/>
                    </w:rPr>
                  </w:pPr>
                  <w:r>
                    <w:rPr>
                      <w:rFonts w:cs="Times New Roman"/>
                      <w:color w:val="auto"/>
                      <w:szCs w:val="21"/>
                    </w:rPr>
                    <w:t>办公用房</w:t>
                  </w:r>
                </w:p>
              </w:tc>
              <w:tc>
                <w:tcPr>
                  <w:tcW w:w="706" w:type="pct"/>
                  <w:tcBorders>
                    <w:tl2br w:val="nil"/>
                    <w:tr2bl w:val="nil"/>
                  </w:tcBorders>
                  <w:vAlign w:val="center"/>
                </w:tcPr>
                <w:p w14:paraId="4A464DEB">
                  <w:pPr>
                    <w:autoSpaceDN w:val="0"/>
                    <w:spacing w:line="240" w:lineRule="exact"/>
                    <w:jc w:val="center"/>
                    <w:textAlignment w:val="bottom"/>
                    <w:rPr>
                      <w:rFonts w:cs="Times New Roman"/>
                      <w:color w:val="auto"/>
                      <w:szCs w:val="21"/>
                    </w:rPr>
                  </w:pPr>
                  <w:r>
                    <w:rPr>
                      <w:rFonts w:cs="Times New Roman"/>
                      <w:color w:val="auto"/>
                      <w:szCs w:val="21"/>
                    </w:rPr>
                    <w:t>生活垃圾</w:t>
                  </w:r>
                </w:p>
              </w:tc>
              <w:tc>
                <w:tcPr>
                  <w:tcW w:w="538" w:type="pct"/>
                  <w:tcBorders>
                    <w:tl2br w:val="nil"/>
                    <w:tr2bl w:val="nil"/>
                  </w:tcBorders>
                  <w:vAlign w:val="center"/>
                </w:tcPr>
                <w:p w14:paraId="3C98EF31">
                  <w:pPr>
                    <w:spacing w:line="240" w:lineRule="exact"/>
                    <w:jc w:val="center"/>
                    <w:rPr>
                      <w:rFonts w:cs="Times New Roman"/>
                      <w:color w:val="auto"/>
                      <w:szCs w:val="21"/>
                    </w:rPr>
                  </w:pPr>
                  <w:r>
                    <w:rPr>
                      <w:rFonts w:cs="Times New Roman"/>
                      <w:color w:val="auto"/>
                      <w:szCs w:val="21"/>
                    </w:rPr>
                    <w:t>/</w:t>
                  </w:r>
                </w:p>
              </w:tc>
              <w:tc>
                <w:tcPr>
                  <w:tcW w:w="726" w:type="pct"/>
                  <w:tcBorders>
                    <w:tl2br w:val="nil"/>
                    <w:tr2bl w:val="nil"/>
                  </w:tcBorders>
                  <w:shd w:val="clear" w:color="auto" w:fill="auto"/>
                  <w:vAlign w:val="center"/>
                </w:tcPr>
                <w:p w14:paraId="1E67499F">
                  <w:pPr>
                    <w:tabs>
                      <w:tab w:val="left" w:pos="1134"/>
                    </w:tabs>
                    <w:spacing w:line="240" w:lineRule="exact"/>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szCs w:val="21"/>
                      <w:lang w:val="en-US" w:eastAsia="zh-CN"/>
                    </w:rPr>
                    <w:t>2.25</w:t>
                  </w:r>
                </w:p>
              </w:tc>
              <w:tc>
                <w:tcPr>
                  <w:tcW w:w="718" w:type="pct"/>
                  <w:tcBorders>
                    <w:tl2br w:val="nil"/>
                    <w:tr2bl w:val="nil"/>
                  </w:tcBorders>
                  <w:vAlign w:val="center"/>
                </w:tcPr>
                <w:p w14:paraId="4C373759">
                  <w:pPr>
                    <w:tabs>
                      <w:tab w:val="left" w:pos="1134"/>
                    </w:tabs>
                    <w:spacing w:line="240" w:lineRule="exact"/>
                    <w:jc w:val="center"/>
                    <w:rPr>
                      <w:rFonts w:cs="Times New Roman"/>
                      <w:color w:val="auto"/>
                      <w:szCs w:val="21"/>
                    </w:rPr>
                  </w:pPr>
                  <w:r>
                    <w:rPr>
                      <w:rFonts w:cs="Times New Roman"/>
                      <w:color w:val="auto"/>
                      <w:szCs w:val="21"/>
                    </w:rPr>
                    <w:t>委托处置</w:t>
                  </w:r>
                </w:p>
              </w:tc>
              <w:tc>
                <w:tcPr>
                  <w:tcW w:w="683" w:type="pct"/>
                  <w:tcBorders>
                    <w:tl2br w:val="nil"/>
                    <w:tr2bl w:val="nil"/>
                  </w:tcBorders>
                  <w:vAlign w:val="center"/>
                </w:tcPr>
                <w:p w14:paraId="04BB5676">
                  <w:pPr>
                    <w:tabs>
                      <w:tab w:val="left" w:pos="1134"/>
                    </w:tabs>
                    <w:spacing w:line="240" w:lineRule="exact"/>
                    <w:jc w:val="center"/>
                    <w:rPr>
                      <w:rFonts w:hint="default" w:eastAsia="宋体" w:cs="Times New Roman"/>
                      <w:color w:val="auto"/>
                      <w:szCs w:val="21"/>
                      <w:lang w:val="en-US" w:eastAsia="zh-CN"/>
                    </w:rPr>
                  </w:pPr>
                  <w:r>
                    <w:rPr>
                      <w:rFonts w:hint="eastAsia" w:cs="Times New Roman"/>
                      <w:color w:val="auto"/>
                      <w:szCs w:val="21"/>
                      <w:lang w:val="en-US" w:eastAsia="zh-CN"/>
                    </w:rPr>
                    <w:t>2.25</w:t>
                  </w:r>
                </w:p>
              </w:tc>
              <w:tc>
                <w:tcPr>
                  <w:tcW w:w="925" w:type="pct"/>
                  <w:tcBorders>
                    <w:tl2br w:val="nil"/>
                    <w:tr2bl w:val="nil"/>
                  </w:tcBorders>
                  <w:vAlign w:val="center"/>
                </w:tcPr>
                <w:p w14:paraId="3927CE68">
                  <w:pPr>
                    <w:tabs>
                      <w:tab w:val="left" w:pos="1134"/>
                    </w:tabs>
                    <w:spacing w:line="240" w:lineRule="exact"/>
                    <w:jc w:val="center"/>
                    <w:rPr>
                      <w:rFonts w:cs="Times New Roman"/>
                      <w:color w:val="auto"/>
                      <w:szCs w:val="21"/>
                    </w:rPr>
                  </w:pPr>
                  <w:r>
                    <w:rPr>
                      <w:rFonts w:cs="Times New Roman"/>
                      <w:color w:val="auto"/>
                      <w:szCs w:val="21"/>
                    </w:rPr>
                    <w:t>收集交由环卫部门清运</w:t>
                  </w:r>
                </w:p>
              </w:tc>
            </w:tr>
            <w:tr w14:paraId="3FFE33D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829" w:hRule="atLeast"/>
                <w:jc w:val="center"/>
              </w:trPr>
              <w:tc>
                <w:tcPr>
                  <w:tcW w:w="702" w:type="pct"/>
                  <w:tcBorders>
                    <w:tl2br w:val="nil"/>
                    <w:tr2bl w:val="nil"/>
                  </w:tcBorders>
                  <w:vAlign w:val="center"/>
                </w:tcPr>
                <w:p w14:paraId="5E56B774">
                  <w:pPr>
                    <w:spacing w:line="240" w:lineRule="exact"/>
                    <w:jc w:val="center"/>
                    <w:rPr>
                      <w:rFonts w:cs="Times New Roman"/>
                      <w:color w:val="auto"/>
                      <w:szCs w:val="21"/>
                    </w:rPr>
                  </w:pPr>
                  <w:r>
                    <w:rPr>
                      <w:rFonts w:cs="Times New Roman"/>
                      <w:color w:val="auto"/>
                      <w:szCs w:val="21"/>
                    </w:rPr>
                    <w:t>设备保养</w:t>
                  </w:r>
                </w:p>
              </w:tc>
              <w:tc>
                <w:tcPr>
                  <w:tcW w:w="706" w:type="pct"/>
                  <w:tcBorders>
                    <w:tl2br w:val="nil"/>
                    <w:tr2bl w:val="nil"/>
                  </w:tcBorders>
                  <w:vAlign w:val="center"/>
                </w:tcPr>
                <w:p w14:paraId="057CEAA4">
                  <w:pPr>
                    <w:spacing w:line="240" w:lineRule="exact"/>
                    <w:jc w:val="center"/>
                    <w:rPr>
                      <w:rFonts w:cs="Times New Roman"/>
                      <w:color w:val="auto"/>
                      <w:szCs w:val="21"/>
                    </w:rPr>
                  </w:pPr>
                  <w:r>
                    <w:rPr>
                      <w:rFonts w:cs="Times New Roman"/>
                      <w:color w:val="auto"/>
                      <w:szCs w:val="21"/>
                    </w:rPr>
                    <w:t>废机油</w:t>
                  </w:r>
                </w:p>
              </w:tc>
              <w:tc>
                <w:tcPr>
                  <w:tcW w:w="538" w:type="pct"/>
                  <w:tcBorders>
                    <w:tl2br w:val="nil"/>
                    <w:tr2bl w:val="nil"/>
                  </w:tcBorders>
                  <w:vAlign w:val="center"/>
                </w:tcPr>
                <w:p w14:paraId="0EAD384F">
                  <w:pPr>
                    <w:spacing w:line="240" w:lineRule="exact"/>
                    <w:jc w:val="center"/>
                    <w:rPr>
                      <w:rFonts w:cs="Times New Roman"/>
                      <w:color w:val="auto"/>
                      <w:szCs w:val="21"/>
                    </w:rPr>
                  </w:pPr>
                  <w:r>
                    <w:rPr>
                      <w:rFonts w:cs="Times New Roman"/>
                      <w:color w:val="auto"/>
                      <w:szCs w:val="21"/>
                    </w:rPr>
                    <w:t>危险废物</w:t>
                  </w:r>
                </w:p>
              </w:tc>
              <w:tc>
                <w:tcPr>
                  <w:tcW w:w="726" w:type="pct"/>
                  <w:tcBorders>
                    <w:tl2br w:val="nil"/>
                    <w:tr2bl w:val="nil"/>
                  </w:tcBorders>
                  <w:shd w:val="clear" w:color="auto" w:fill="auto"/>
                  <w:vAlign w:val="center"/>
                </w:tcPr>
                <w:p w14:paraId="7A9A3AC8">
                  <w:pPr>
                    <w:tabs>
                      <w:tab w:val="left" w:pos="1134"/>
                    </w:tabs>
                    <w:spacing w:line="240" w:lineRule="exact"/>
                    <w:jc w:val="center"/>
                    <w:rPr>
                      <w:rFonts w:ascii="Times New Roman" w:hAnsi="Times New Roman" w:eastAsia="宋体" w:cs="Times New Roman"/>
                      <w:color w:val="auto"/>
                      <w:kern w:val="2"/>
                      <w:sz w:val="21"/>
                      <w:szCs w:val="21"/>
                      <w:lang w:val="en-US" w:eastAsia="zh-CN" w:bidi="ar-SA"/>
                    </w:rPr>
                  </w:pPr>
                  <w:r>
                    <w:rPr>
                      <w:rFonts w:cs="Times New Roman"/>
                      <w:color w:val="auto"/>
                      <w:szCs w:val="21"/>
                    </w:rPr>
                    <w:t>0.02</w:t>
                  </w:r>
                </w:p>
              </w:tc>
              <w:tc>
                <w:tcPr>
                  <w:tcW w:w="718" w:type="pct"/>
                  <w:tcBorders>
                    <w:tl2br w:val="nil"/>
                    <w:tr2bl w:val="nil"/>
                  </w:tcBorders>
                  <w:vAlign w:val="center"/>
                </w:tcPr>
                <w:p w14:paraId="10BD4EC1">
                  <w:pPr>
                    <w:tabs>
                      <w:tab w:val="left" w:pos="1134"/>
                    </w:tabs>
                    <w:spacing w:line="240" w:lineRule="exact"/>
                    <w:jc w:val="center"/>
                    <w:rPr>
                      <w:rFonts w:hint="eastAsia" w:eastAsia="宋体" w:cs="Times New Roman"/>
                      <w:color w:val="auto"/>
                      <w:szCs w:val="21"/>
                      <w:lang w:eastAsia="zh-CN"/>
                    </w:rPr>
                  </w:pPr>
                  <w:r>
                    <w:rPr>
                      <w:rFonts w:hint="eastAsia" w:cs="Times New Roman"/>
                      <w:color w:val="auto"/>
                      <w:szCs w:val="21"/>
                      <w:lang w:eastAsia="zh-CN"/>
                    </w:rPr>
                    <w:t>委托处置</w:t>
                  </w:r>
                </w:p>
              </w:tc>
              <w:tc>
                <w:tcPr>
                  <w:tcW w:w="683" w:type="pct"/>
                  <w:tcBorders>
                    <w:tl2br w:val="nil"/>
                    <w:tr2bl w:val="nil"/>
                  </w:tcBorders>
                  <w:vAlign w:val="center"/>
                </w:tcPr>
                <w:p w14:paraId="49948F0C">
                  <w:pPr>
                    <w:tabs>
                      <w:tab w:val="left" w:pos="1134"/>
                    </w:tabs>
                    <w:spacing w:line="240" w:lineRule="exact"/>
                    <w:jc w:val="center"/>
                    <w:rPr>
                      <w:rFonts w:cs="Times New Roman"/>
                      <w:color w:val="auto"/>
                      <w:szCs w:val="21"/>
                    </w:rPr>
                  </w:pPr>
                  <w:r>
                    <w:rPr>
                      <w:rFonts w:cs="Times New Roman"/>
                      <w:color w:val="auto"/>
                      <w:szCs w:val="21"/>
                    </w:rPr>
                    <w:t>0.02</w:t>
                  </w:r>
                </w:p>
              </w:tc>
              <w:tc>
                <w:tcPr>
                  <w:tcW w:w="925" w:type="pct"/>
                  <w:tcBorders>
                    <w:tl2br w:val="nil"/>
                    <w:tr2bl w:val="nil"/>
                  </w:tcBorders>
                  <w:vAlign w:val="center"/>
                </w:tcPr>
                <w:p w14:paraId="0505132F">
                  <w:pPr>
                    <w:tabs>
                      <w:tab w:val="left" w:pos="1134"/>
                    </w:tabs>
                    <w:spacing w:line="240" w:lineRule="exact"/>
                    <w:jc w:val="center"/>
                    <w:rPr>
                      <w:rFonts w:hint="eastAsia" w:eastAsia="宋体" w:cs="Times New Roman"/>
                      <w:color w:val="auto"/>
                      <w:szCs w:val="21"/>
                      <w:lang w:eastAsia="zh-CN"/>
                    </w:rPr>
                  </w:pPr>
                  <w:r>
                    <w:rPr>
                      <w:rFonts w:hint="eastAsia" w:cs="Times New Roman"/>
                      <w:color w:val="auto"/>
                      <w:szCs w:val="21"/>
                      <w:lang w:eastAsia="zh-CN"/>
                    </w:rPr>
                    <w:t>交资质单位处理</w:t>
                  </w:r>
                </w:p>
              </w:tc>
            </w:tr>
          </w:tbl>
          <w:p w14:paraId="7E27F4FD">
            <w:pPr>
              <w:spacing w:line="360" w:lineRule="auto"/>
              <w:ind w:firstLine="482" w:firstLineChars="200"/>
              <w:rPr>
                <w:rFonts w:cs="Times New Roman"/>
                <w:b/>
                <w:color w:val="auto"/>
                <w:sz w:val="24"/>
                <w:szCs w:val="24"/>
              </w:rPr>
            </w:pPr>
            <w:r>
              <w:rPr>
                <w:rFonts w:cs="Times New Roman"/>
                <w:b/>
                <w:color w:val="auto"/>
                <w:sz w:val="24"/>
                <w:szCs w:val="24"/>
              </w:rPr>
              <w:t>根据《危险废物贮存污染控制标准》（GB18597-2023）中有关要求，建设单位应按规范设置1间危废暂存间（建筑面积约5m</w:t>
            </w:r>
            <w:r>
              <w:rPr>
                <w:rFonts w:cs="Times New Roman"/>
                <w:b/>
                <w:color w:val="auto"/>
                <w:sz w:val="24"/>
                <w:szCs w:val="24"/>
                <w:vertAlign w:val="superscript"/>
              </w:rPr>
              <w:t>2</w:t>
            </w:r>
            <w:r>
              <w:rPr>
                <w:rFonts w:cs="Times New Roman"/>
                <w:b/>
                <w:color w:val="auto"/>
                <w:sz w:val="24"/>
                <w:szCs w:val="24"/>
              </w:rPr>
              <w:t>），危险废物需经分类收集后暂存于危废暂存间，定期交由资质单位处理。</w:t>
            </w:r>
          </w:p>
          <w:p w14:paraId="4CF1A2CD">
            <w:pPr>
              <w:spacing w:line="360" w:lineRule="auto"/>
              <w:ind w:firstLine="480" w:firstLineChars="200"/>
              <w:rPr>
                <w:rFonts w:cs="Times New Roman"/>
                <w:color w:val="auto"/>
                <w:sz w:val="24"/>
                <w:szCs w:val="24"/>
              </w:rPr>
            </w:pPr>
            <w:r>
              <w:rPr>
                <w:rFonts w:cs="Times New Roman"/>
                <w:color w:val="auto"/>
                <w:sz w:val="24"/>
                <w:szCs w:val="24"/>
              </w:rPr>
              <w:t>综上所述，本项目危废暂存间基本情况见表4-15，危险废物处置措施见表4-16。</w:t>
            </w:r>
          </w:p>
          <w:p w14:paraId="03898340">
            <w:pPr>
              <w:spacing w:line="360" w:lineRule="auto"/>
              <w:jc w:val="center"/>
              <w:rPr>
                <w:rFonts w:cs="Times New Roman"/>
                <w:b/>
                <w:bCs/>
                <w:color w:val="auto"/>
                <w:sz w:val="24"/>
                <w:szCs w:val="24"/>
              </w:rPr>
            </w:pPr>
            <w:r>
              <w:rPr>
                <w:rFonts w:cs="Times New Roman"/>
                <w:b/>
                <w:bCs/>
                <w:color w:val="auto"/>
                <w:sz w:val="24"/>
                <w:szCs w:val="24"/>
              </w:rPr>
              <w:t>表4-1</w:t>
            </w:r>
            <w:r>
              <w:rPr>
                <w:rFonts w:hint="eastAsia" w:cs="Times New Roman"/>
                <w:b/>
                <w:bCs/>
                <w:color w:val="auto"/>
                <w:sz w:val="24"/>
                <w:szCs w:val="24"/>
                <w:lang w:val="en-US" w:eastAsia="zh-CN"/>
              </w:rPr>
              <w:t>5</w:t>
            </w:r>
            <w:r>
              <w:rPr>
                <w:rFonts w:cs="Times New Roman"/>
                <w:b/>
                <w:bCs/>
                <w:color w:val="auto"/>
                <w:sz w:val="24"/>
                <w:szCs w:val="24"/>
              </w:rPr>
              <w:t xml:space="preserve"> 危险废物贮存场所基本情况表</w:t>
            </w:r>
          </w:p>
          <w:tbl>
            <w:tblPr>
              <w:tblStyle w:val="25"/>
              <w:tblW w:w="497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6" w:type="dxa"/>
                <w:bottom w:w="0" w:type="dxa"/>
                <w:right w:w="6" w:type="dxa"/>
              </w:tblCellMar>
            </w:tblPr>
            <w:tblGrid>
              <w:gridCol w:w="752"/>
              <w:gridCol w:w="1300"/>
              <w:gridCol w:w="1082"/>
              <w:gridCol w:w="1217"/>
              <w:gridCol w:w="707"/>
              <w:gridCol w:w="728"/>
              <w:gridCol w:w="1200"/>
              <w:gridCol w:w="862"/>
              <w:gridCol w:w="937"/>
            </w:tblGrid>
            <w:tr w14:paraId="7B1746B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728" w:hRule="atLeast"/>
                <w:jc w:val="center"/>
              </w:trPr>
              <w:tc>
                <w:tcPr>
                  <w:tcW w:w="428" w:type="pct"/>
                  <w:tcBorders>
                    <w:tl2br w:val="nil"/>
                    <w:tr2bl w:val="nil"/>
                  </w:tcBorders>
                  <w:vAlign w:val="center"/>
                </w:tcPr>
                <w:p w14:paraId="0F2BF5F9">
                  <w:pPr>
                    <w:jc w:val="center"/>
                    <w:rPr>
                      <w:rFonts w:cs="Times New Roman"/>
                      <w:b/>
                      <w:bCs/>
                      <w:color w:val="auto"/>
                      <w:szCs w:val="21"/>
                    </w:rPr>
                  </w:pPr>
                  <w:r>
                    <w:rPr>
                      <w:rFonts w:cs="Times New Roman"/>
                      <w:b/>
                      <w:bCs/>
                      <w:color w:val="auto"/>
                      <w:szCs w:val="21"/>
                    </w:rPr>
                    <w:t>贮存场所名称</w:t>
                  </w:r>
                </w:p>
              </w:tc>
              <w:tc>
                <w:tcPr>
                  <w:tcW w:w="739" w:type="pct"/>
                  <w:tcBorders>
                    <w:tl2br w:val="nil"/>
                    <w:tr2bl w:val="nil"/>
                  </w:tcBorders>
                  <w:vAlign w:val="center"/>
                </w:tcPr>
                <w:p w14:paraId="7454CCE8">
                  <w:pPr>
                    <w:jc w:val="center"/>
                    <w:rPr>
                      <w:rFonts w:cs="Times New Roman"/>
                      <w:b/>
                      <w:bCs/>
                      <w:color w:val="auto"/>
                      <w:szCs w:val="21"/>
                    </w:rPr>
                  </w:pPr>
                  <w:r>
                    <w:rPr>
                      <w:rFonts w:cs="Times New Roman"/>
                      <w:b/>
                      <w:bCs/>
                      <w:color w:val="auto"/>
                      <w:szCs w:val="21"/>
                    </w:rPr>
                    <w:t>危险废物名称</w:t>
                  </w:r>
                </w:p>
              </w:tc>
              <w:tc>
                <w:tcPr>
                  <w:tcW w:w="615" w:type="pct"/>
                  <w:tcBorders>
                    <w:tl2br w:val="nil"/>
                    <w:tr2bl w:val="nil"/>
                  </w:tcBorders>
                  <w:vAlign w:val="center"/>
                </w:tcPr>
                <w:p w14:paraId="3CCA6734">
                  <w:pPr>
                    <w:jc w:val="center"/>
                    <w:rPr>
                      <w:rFonts w:cs="Times New Roman"/>
                      <w:b/>
                      <w:bCs/>
                      <w:color w:val="auto"/>
                      <w:szCs w:val="21"/>
                    </w:rPr>
                  </w:pPr>
                  <w:r>
                    <w:rPr>
                      <w:rFonts w:cs="Times New Roman"/>
                      <w:b/>
                      <w:bCs/>
                      <w:color w:val="auto"/>
                      <w:szCs w:val="21"/>
                    </w:rPr>
                    <w:t>危险废物类别</w:t>
                  </w:r>
                </w:p>
              </w:tc>
              <w:tc>
                <w:tcPr>
                  <w:tcW w:w="692" w:type="pct"/>
                  <w:tcBorders>
                    <w:tl2br w:val="nil"/>
                    <w:tr2bl w:val="nil"/>
                  </w:tcBorders>
                  <w:vAlign w:val="center"/>
                </w:tcPr>
                <w:p w14:paraId="71F1F80C">
                  <w:pPr>
                    <w:jc w:val="center"/>
                    <w:rPr>
                      <w:rFonts w:cs="Times New Roman"/>
                      <w:b/>
                      <w:bCs/>
                      <w:color w:val="auto"/>
                      <w:szCs w:val="21"/>
                    </w:rPr>
                  </w:pPr>
                  <w:r>
                    <w:rPr>
                      <w:rFonts w:cs="Times New Roman"/>
                      <w:b/>
                      <w:bCs/>
                      <w:color w:val="auto"/>
                      <w:szCs w:val="21"/>
                    </w:rPr>
                    <w:t>危险废物</w:t>
                  </w:r>
                </w:p>
                <w:p w14:paraId="7AE58CE4">
                  <w:pPr>
                    <w:jc w:val="center"/>
                    <w:rPr>
                      <w:rFonts w:cs="Times New Roman"/>
                      <w:b/>
                      <w:bCs/>
                      <w:color w:val="auto"/>
                      <w:szCs w:val="21"/>
                    </w:rPr>
                  </w:pPr>
                  <w:r>
                    <w:rPr>
                      <w:rFonts w:cs="Times New Roman"/>
                      <w:b/>
                      <w:bCs/>
                      <w:color w:val="auto"/>
                      <w:szCs w:val="21"/>
                    </w:rPr>
                    <w:t>代码</w:t>
                  </w:r>
                </w:p>
              </w:tc>
              <w:tc>
                <w:tcPr>
                  <w:tcW w:w="402" w:type="pct"/>
                  <w:tcBorders>
                    <w:tl2br w:val="nil"/>
                    <w:tr2bl w:val="nil"/>
                  </w:tcBorders>
                  <w:vAlign w:val="center"/>
                </w:tcPr>
                <w:p w14:paraId="35BBCF10">
                  <w:pPr>
                    <w:jc w:val="center"/>
                    <w:rPr>
                      <w:rFonts w:cs="Times New Roman"/>
                      <w:b/>
                      <w:bCs/>
                      <w:color w:val="auto"/>
                      <w:szCs w:val="21"/>
                    </w:rPr>
                  </w:pPr>
                  <w:r>
                    <w:rPr>
                      <w:rFonts w:cs="Times New Roman"/>
                      <w:b/>
                      <w:bCs/>
                      <w:color w:val="auto"/>
                      <w:szCs w:val="21"/>
                    </w:rPr>
                    <w:t>位置</w:t>
                  </w:r>
                </w:p>
              </w:tc>
              <w:tc>
                <w:tcPr>
                  <w:tcW w:w="414" w:type="pct"/>
                  <w:tcBorders>
                    <w:tl2br w:val="nil"/>
                    <w:tr2bl w:val="nil"/>
                  </w:tcBorders>
                  <w:vAlign w:val="center"/>
                </w:tcPr>
                <w:p w14:paraId="0435B5DA">
                  <w:pPr>
                    <w:jc w:val="center"/>
                    <w:rPr>
                      <w:rFonts w:cs="Times New Roman"/>
                      <w:b/>
                      <w:bCs/>
                      <w:color w:val="auto"/>
                      <w:szCs w:val="21"/>
                    </w:rPr>
                  </w:pPr>
                  <w:r>
                    <w:rPr>
                      <w:rFonts w:cs="Times New Roman"/>
                      <w:b/>
                      <w:bCs/>
                      <w:color w:val="auto"/>
                      <w:szCs w:val="21"/>
                    </w:rPr>
                    <w:t>占地</w:t>
                  </w:r>
                </w:p>
                <w:p w14:paraId="7D2AE5BA">
                  <w:pPr>
                    <w:jc w:val="center"/>
                    <w:rPr>
                      <w:rFonts w:cs="Times New Roman"/>
                      <w:b/>
                      <w:bCs/>
                      <w:color w:val="auto"/>
                      <w:szCs w:val="21"/>
                    </w:rPr>
                  </w:pPr>
                  <w:r>
                    <w:rPr>
                      <w:rFonts w:cs="Times New Roman"/>
                      <w:b/>
                      <w:bCs/>
                      <w:color w:val="auto"/>
                      <w:szCs w:val="21"/>
                    </w:rPr>
                    <w:t>面积</w:t>
                  </w:r>
                </w:p>
              </w:tc>
              <w:tc>
                <w:tcPr>
                  <w:tcW w:w="682" w:type="pct"/>
                  <w:tcBorders>
                    <w:tl2br w:val="nil"/>
                    <w:tr2bl w:val="nil"/>
                  </w:tcBorders>
                  <w:vAlign w:val="center"/>
                </w:tcPr>
                <w:p w14:paraId="326BAC17">
                  <w:pPr>
                    <w:jc w:val="center"/>
                    <w:rPr>
                      <w:rFonts w:cs="Times New Roman"/>
                      <w:b/>
                      <w:bCs/>
                      <w:color w:val="auto"/>
                      <w:szCs w:val="21"/>
                    </w:rPr>
                  </w:pPr>
                  <w:r>
                    <w:rPr>
                      <w:rFonts w:cs="Times New Roman"/>
                      <w:b/>
                      <w:bCs/>
                      <w:color w:val="auto"/>
                      <w:szCs w:val="21"/>
                    </w:rPr>
                    <w:t>贮存方式</w:t>
                  </w:r>
                </w:p>
              </w:tc>
              <w:tc>
                <w:tcPr>
                  <w:tcW w:w="490" w:type="pct"/>
                  <w:tcBorders>
                    <w:tl2br w:val="nil"/>
                    <w:tr2bl w:val="nil"/>
                  </w:tcBorders>
                  <w:vAlign w:val="center"/>
                </w:tcPr>
                <w:p w14:paraId="5022FF72">
                  <w:pPr>
                    <w:jc w:val="center"/>
                    <w:rPr>
                      <w:rFonts w:cs="Times New Roman"/>
                      <w:b/>
                      <w:bCs/>
                      <w:color w:val="auto"/>
                      <w:szCs w:val="21"/>
                    </w:rPr>
                  </w:pPr>
                  <w:r>
                    <w:rPr>
                      <w:rFonts w:cs="Times New Roman"/>
                      <w:b/>
                      <w:bCs/>
                      <w:color w:val="auto"/>
                      <w:szCs w:val="21"/>
                    </w:rPr>
                    <w:t>贮存</w:t>
                  </w:r>
                </w:p>
                <w:p w14:paraId="0AC3B91C">
                  <w:pPr>
                    <w:jc w:val="center"/>
                    <w:rPr>
                      <w:rFonts w:cs="Times New Roman"/>
                      <w:b/>
                      <w:bCs/>
                      <w:color w:val="auto"/>
                      <w:szCs w:val="21"/>
                    </w:rPr>
                  </w:pPr>
                  <w:r>
                    <w:rPr>
                      <w:rFonts w:cs="Times New Roman"/>
                      <w:b/>
                      <w:bCs/>
                      <w:color w:val="auto"/>
                      <w:szCs w:val="21"/>
                    </w:rPr>
                    <w:t>能力</w:t>
                  </w:r>
                </w:p>
              </w:tc>
              <w:tc>
                <w:tcPr>
                  <w:tcW w:w="533" w:type="pct"/>
                  <w:tcBorders>
                    <w:tl2br w:val="nil"/>
                    <w:tr2bl w:val="nil"/>
                  </w:tcBorders>
                  <w:vAlign w:val="center"/>
                </w:tcPr>
                <w:p w14:paraId="582CF6B2">
                  <w:pPr>
                    <w:jc w:val="center"/>
                    <w:rPr>
                      <w:rFonts w:cs="Times New Roman"/>
                      <w:b/>
                      <w:bCs/>
                      <w:color w:val="auto"/>
                      <w:szCs w:val="21"/>
                    </w:rPr>
                  </w:pPr>
                  <w:r>
                    <w:rPr>
                      <w:rFonts w:cs="Times New Roman"/>
                      <w:b/>
                      <w:bCs/>
                      <w:color w:val="auto"/>
                      <w:szCs w:val="21"/>
                    </w:rPr>
                    <w:t>贮存</w:t>
                  </w:r>
                </w:p>
                <w:p w14:paraId="3BCE26DF">
                  <w:pPr>
                    <w:jc w:val="center"/>
                    <w:rPr>
                      <w:rFonts w:cs="Times New Roman"/>
                      <w:b/>
                      <w:bCs/>
                      <w:color w:val="auto"/>
                      <w:szCs w:val="21"/>
                    </w:rPr>
                  </w:pPr>
                  <w:r>
                    <w:rPr>
                      <w:rFonts w:cs="Times New Roman"/>
                      <w:b/>
                      <w:bCs/>
                      <w:color w:val="auto"/>
                      <w:szCs w:val="21"/>
                    </w:rPr>
                    <w:t>周期</w:t>
                  </w:r>
                </w:p>
              </w:tc>
            </w:tr>
            <w:tr w14:paraId="2ABE9AD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6" w:type="dxa"/>
                  <w:bottom w:w="0" w:type="dxa"/>
                  <w:right w:w="6" w:type="dxa"/>
                </w:tblCellMar>
              </w:tblPrEx>
              <w:trPr>
                <w:trHeight w:val="739" w:hRule="atLeast"/>
                <w:jc w:val="center"/>
              </w:trPr>
              <w:tc>
                <w:tcPr>
                  <w:tcW w:w="428" w:type="pct"/>
                  <w:tcBorders>
                    <w:tl2br w:val="nil"/>
                    <w:tr2bl w:val="nil"/>
                  </w:tcBorders>
                  <w:vAlign w:val="center"/>
                </w:tcPr>
                <w:p w14:paraId="65B87F05">
                  <w:pPr>
                    <w:jc w:val="center"/>
                    <w:rPr>
                      <w:rFonts w:cs="Times New Roman"/>
                      <w:color w:val="auto"/>
                      <w:szCs w:val="21"/>
                    </w:rPr>
                  </w:pPr>
                  <w:r>
                    <w:rPr>
                      <w:rFonts w:cs="Times New Roman"/>
                      <w:color w:val="auto"/>
                      <w:szCs w:val="21"/>
                    </w:rPr>
                    <w:t>危废暂存间</w:t>
                  </w:r>
                </w:p>
              </w:tc>
              <w:tc>
                <w:tcPr>
                  <w:tcW w:w="739" w:type="pct"/>
                  <w:tcBorders>
                    <w:tl2br w:val="nil"/>
                    <w:tr2bl w:val="nil"/>
                  </w:tcBorders>
                  <w:vAlign w:val="center"/>
                </w:tcPr>
                <w:p w14:paraId="48D6649F">
                  <w:pPr>
                    <w:jc w:val="center"/>
                    <w:rPr>
                      <w:rFonts w:cs="Times New Roman"/>
                      <w:color w:val="auto"/>
                      <w:szCs w:val="21"/>
                    </w:rPr>
                  </w:pPr>
                  <w:r>
                    <w:rPr>
                      <w:rFonts w:cs="Times New Roman"/>
                      <w:color w:val="auto"/>
                      <w:szCs w:val="21"/>
                    </w:rPr>
                    <w:t>废机油</w:t>
                  </w:r>
                </w:p>
              </w:tc>
              <w:tc>
                <w:tcPr>
                  <w:tcW w:w="615" w:type="pct"/>
                  <w:tcBorders>
                    <w:tl2br w:val="nil"/>
                    <w:tr2bl w:val="nil"/>
                  </w:tcBorders>
                  <w:vAlign w:val="center"/>
                </w:tcPr>
                <w:p w14:paraId="50AA06BA">
                  <w:pPr>
                    <w:jc w:val="center"/>
                    <w:rPr>
                      <w:rFonts w:cs="Times New Roman"/>
                      <w:color w:val="auto"/>
                      <w:szCs w:val="21"/>
                    </w:rPr>
                  </w:pPr>
                  <w:r>
                    <w:rPr>
                      <w:rFonts w:cs="Times New Roman"/>
                      <w:color w:val="auto"/>
                      <w:szCs w:val="21"/>
                    </w:rPr>
                    <w:t>HW08</w:t>
                  </w:r>
                </w:p>
              </w:tc>
              <w:tc>
                <w:tcPr>
                  <w:tcW w:w="692" w:type="pct"/>
                  <w:tcBorders>
                    <w:tl2br w:val="nil"/>
                    <w:tr2bl w:val="nil"/>
                  </w:tcBorders>
                  <w:vAlign w:val="center"/>
                </w:tcPr>
                <w:p w14:paraId="37217470">
                  <w:pPr>
                    <w:jc w:val="center"/>
                    <w:rPr>
                      <w:rFonts w:cs="Times New Roman"/>
                      <w:color w:val="auto"/>
                      <w:szCs w:val="21"/>
                    </w:rPr>
                  </w:pPr>
                  <w:r>
                    <w:rPr>
                      <w:rFonts w:cs="Times New Roman"/>
                      <w:color w:val="auto"/>
                      <w:szCs w:val="21"/>
                    </w:rPr>
                    <w:t>900-214-08</w:t>
                  </w:r>
                </w:p>
              </w:tc>
              <w:tc>
                <w:tcPr>
                  <w:tcW w:w="402" w:type="pct"/>
                  <w:tcBorders>
                    <w:tl2br w:val="nil"/>
                    <w:tr2bl w:val="nil"/>
                  </w:tcBorders>
                  <w:vAlign w:val="center"/>
                </w:tcPr>
                <w:p w14:paraId="2D78CC35">
                  <w:pPr>
                    <w:jc w:val="center"/>
                    <w:rPr>
                      <w:rFonts w:hint="eastAsia" w:eastAsia="宋体" w:cs="Times New Roman"/>
                      <w:color w:val="auto"/>
                      <w:szCs w:val="21"/>
                      <w:lang w:eastAsia="zh-CN"/>
                    </w:rPr>
                  </w:pPr>
                  <w:r>
                    <w:rPr>
                      <w:rFonts w:hint="eastAsia" w:cs="Times New Roman"/>
                      <w:color w:val="auto"/>
                      <w:szCs w:val="21"/>
                    </w:rPr>
                    <w:t>办公</w:t>
                  </w:r>
                  <w:r>
                    <w:rPr>
                      <w:rFonts w:hint="eastAsia" w:cs="Times New Roman"/>
                      <w:color w:val="auto"/>
                      <w:szCs w:val="21"/>
                      <w:lang w:eastAsia="zh-CN"/>
                    </w:rPr>
                    <w:t>室旁</w:t>
                  </w:r>
                </w:p>
              </w:tc>
              <w:tc>
                <w:tcPr>
                  <w:tcW w:w="414" w:type="pct"/>
                  <w:tcBorders>
                    <w:tl2br w:val="nil"/>
                    <w:tr2bl w:val="nil"/>
                  </w:tcBorders>
                  <w:vAlign w:val="center"/>
                </w:tcPr>
                <w:p w14:paraId="35C38BE7">
                  <w:pPr>
                    <w:jc w:val="center"/>
                    <w:rPr>
                      <w:rFonts w:cs="Times New Roman"/>
                      <w:color w:val="auto"/>
                      <w:szCs w:val="21"/>
                    </w:rPr>
                  </w:pPr>
                  <w:r>
                    <w:rPr>
                      <w:rFonts w:cs="Times New Roman"/>
                      <w:color w:val="auto"/>
                      <w:szCs w:val="21"/>
                    </w:rPr>
                    <w:t>5m</w:t>
                  </w:r>
                  <w:r>
                    <w:rPr>
                      <w:rFonts w:cs="Times New Roman"/>
                      <w:color w:val="auto"/>
                      <w:szCs w:val="21"/>
                      <w:vertAlign w:val="superscript"/>
                    </w:rPr>
                    <w:t>2</w:t>
                  </w:r>
                </w:p>
              </w:tc>
              <w:tc>
                <w:tcPr>
                  <w:tcW w:w="682" w:type="pct"/>
                  <w:tcBorders>
                    <w:tl2br w:val="nil"/>
                    <w:tr2bl w:val="nil"/>
                  </w:tcBorders>
                  <w:vAlign w:val="center"/>
                </w:tcPr>
                <w:p w14:paraId="790F44BE">
                  <w:pPr>
                    <w:jc w:val="center"/>
                    <w:rPr>
                      <w:rFonts w:cs="Times New Roman"/>
                      <w:color w:val="auto"/>
                      <w:szCs w:val="21"/>
                    </w:rPr>
                  </w:pPr>
                  <w:r>
                    <w:rPr>
                      <w:rFonts w:cs="Times New Roman"/>
                      <w:color w:val="auto"/>
                      <w:szCs w:val="21"/>
                    </w:rPr>
                    <w:t>专用桶装</w:t>
                  </w:r>
                </w:p>
              </w:tc>
              <w:tc>
                <w:tcPr>
                  <w:tcW w:w="490" w:type="pct"/>
                  <w:tcBorders>
                    <w:tl2br w:val="nil"/>
                    <w:tr2bl w:val="nil"/>
                  </w:tcBorders>
                  <w:vAlign w:val="center"/>
                </w:tcPr>
                <w:p w14:paraId="25B45EA7">
                  <w:pPr>
                    <w:jc w:val="center"/>
                    <w:rPr>
                      <w:rFonts w:cs="Times New Roman"/>
                      <w:color w:val="auto"/>
                      <w:szCs w:val="21"/>
                    </w:rPr>
                  </w:pPr>
                  <w:r>
                    <w:rPr>
                      <w:rFonts w:cs="Times New Roman"/>
                      <w:color w:val="auto"/>
                      <w:szCs w:val="21"/>
                    </w:rPr>
                    <w:t>0.5t</w:t>
                  </w:r>
                </w:p>
              </w:tc>
              <w:tc>
                <w:tcPr>
                  <w:tcW w:w="533" w:type="pct"/>
                  <w:tcBorders>
                    <w:tl2br w:val="nil"/>
                    <w:tr2bl w:val="nil"/>
                  </w:tcBorders>
                  <w:vAlign w:val="center"/>
                </w:tcPr>
                <w:p w14:paraId="37FD4B35">
                  <w:pPr>
                    <w:jc w:val="center"/>
                    <w:rPr>
                      <w:rFonts w:cs="Times New Roman"/>
                      <w:color w:val="auto"/>
                      <w:szCs w:val="21"/>
                    </w:rPr>
                  </w:pPr>
                  <w:r>
                    <w:rPr>
                      <w:rFonts w:cs="Times New Roman"/>
                      <w:color w:val="auto"/>
                      <w:szCs w:val="21"/>
                    </w:rPr>
                    <w:t>6个月</w:t>
                  </w:r>
                </w:p>
              </w:tc>
            </w:tr>
          </w:tbl>
          <w:p w14:paraId="0B90CD2E">
            <w:pPr>
              <w:spacing w:line="360" w:lineRule="auto"/>
              <w:jc w:val="center"/>
              <w:rPr>
                <w:rFonts w:cs="Times New Roman"/>
                <w:b/>
                <w:bCs/>
                <w:color w:val="auto"/>
                <w:sz w:val="24"/>
                <w:szCs w:val="24"/>
              </w:rPr>
            </w:pPr>
            <w:r>
              <w:rPr>
                <w:rFonts w:cs="Times New Roman"/>
                <w:b/>
                <w:bCs/>
                <w:color w:val="auto"/>
                <w:sz w:val="24"/>
                <w:szCs w:val="24"/>
              </w:rPr>
              <w:t>表4-1</w:t>
            </w:r>
            <w:r>
              <w:rPr>
                <w:rFonts w:hint="eastAsia" w:cs="Times New Roman"/>
                <w:b/>
                <w:bCs/>
                <w:color w:val="auto"/>
                <w:sz w:val="24"/>
                <w:szCs w:val="24"/>
                <w:lang w:val="en-US" w:eastAsia="zh-CN"/>
              </w:rPr>
              <w:t>6</w:t>
            </w:r>
            <w:r>
              <w:rPr>
                <w:rFonts w:cs="Times New Roman"/>
                <w:b/>
                <w:bCs/>
                <w:color w:val="auto"/>
                <w:sz w:val="24"/>
                <w:szCs w:val="24"/>
              </w:rPr>
              <w:t xml:space="preserve">  危险废物治理措施一览表</w:t>
            </w:r>
          </w:p>
          <w:tbl>
            <w:tblPr>
              <w:tblStyle w:val="24"/>
              <w:tblW w:w="4986"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57" w:type="dxa"/>
                <w:bottom w:w="0" w:type="dxa"/>
                <w:right w:w="57" w:type="dxa"/>
              </w:tblCellMar>
            </w:tblPr>
            <w:tblGrid>
              <w:gridCol w:w="387"/>
              <w:gridCol w:w="680"/>
              <w:gridCol w:w="728"/>
              <w:gridCol w:w="1110"/>
              <w:gridCol w:w="796"/>
              <w:gridCol w:w="1006"/>
              <w:gridCol w:w="608"/>
              <w:gridCol w:w="692"/>
              <w:gridCol w:w="713"/>
              <w:gridCol w:w="541"/>
              <w:gridCol w:w="636"/>
              <w:gridCol w:w="904"/>
            </w:tblGrid>
            <w:tr w14:paraId="4A7F714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740" w:hRule="atLeast"/>
                <w:tblHeader/>
                <w:jc w:val="center"/>
              </w:trPr>
              <w:tc>
                <w:tcPr>
                  <w:tcW w:w="220" w:type="pct"/>
                  <w:tcBorders>
                    <w:tl2br w:val="nil"/>
                    <w:tr2bl w:val="nil"/>
                  </w:tcBorders>
                  <w:vAlign w:val="center"/>
                </w:tcPr>
                <w:p w14:paraId="6549B83F">
                  <w:pPr>
                    <w:jc w:val="center"/>
                    <w:rPr>
                      <w:rFonts w:cs="Times New Roman"/>
                      <w:b/>
                      <w:bCs/>
                      <w:color w:val="auto"/>
                      <w:sz w:val="18"/>
                      <w:szCs w:val="18"/>
                    </w:rPr>
                  </w:pPr>
                  <w:r>
                    <w:rPr>
                      <w:rFonts w:cs="Times New Roman"/>
                      <w:b/>
                      <w:bCs/>
                      <w:color w:val="auto"/>
                      <w:sz w:val="18"/>
                      <w:szCs w:val="18"/>
                    </w:rPr>
                    <w:t>序号</w:t>
                  </w:r>
                </w:p>
              </w:tc>
              <w:tc>
                <w:tcPr>
                  <w:tcW w:w="386" w:type="pct"/>
                  <w:tcBorders>
                    <w:tl2br w:val="nil"/>
                    <w:tr2bl w:val="nil"/>
                  </w:tcBorders>
                  <w:vAlign w:val="center"/>
                </w:tcPr>
                <w:p w14:paraId="30907457">
                  <w:pPr>
                    <w:jc w:val="center"/>
                    <w:rPr>
                      <w:rFonts w:cs="Times New Roman"/>
                      <w:b/>
                      <w:bCs/>
                      <w:color w:val="auto"/>
                      <w:sz w:val="18"/>
                      <w:szCs w:val="18"/>
                    </w:rPr>
                  </w:pPr>
                  <w:r>
                    <w:rPr>
                      <w:rFonts w:cs="Times New Roman"/>
                      <w:b/>
                      <w:bCs/>
                      <w:color w:val="auto"/>
                      <w:sz w:val="18"/>
                      <w:szCs w:val="18"/>
                    </w:rPr>
                    <w:t>危险废物名称</w:t>
                  </w:r>
                </w:p>
              </w:tc>
              <w:tc>
                <w:tcPr>
                  <w:tcW w:w="413" w:type="pct"/>
                  <w:tcBorders>
                    <w:tl2br w:val="nil"/>
                    <w:tr2bl w:val="nil"/>
                  </w:tcBorders>
                  <w:vAlign w:val="center"/>
                </w:tcPr>
                <w:p w14:paraId="40CCCE1D">
                  <w:pPr>
                    <w:jc w:val="center"/>
                    <w:rPr>
                      <w:rFonts w:cs="Times New Roman"/>
                      <w:b/>
                      <w:bCs/>
                      <w:color w:val="auto"/>
                      <w:sz w:val="18"/>
                      <w:szCs w:val="18"/>
                    </w:rPr>
                  </w:pPr>
                  <w:r>
                    <w:rPr>
                      <w:rFonts w:cs="Times New Roman"/>
                      <w:b/>
                      <w:bCs/>
                      <w:color w:val="auto"/>
                      <w:sz w:val="18"/>
                      <w:szCs w:val="18"/>
                    </w:rPr>
                    <w:t>危险废物类别</w:t>
                  </w:r>
                </w:p>
              </w:tc>
              <w:tc>
                <w:tcPr>
                  <w:tcW w:w="630" w:type="pct"/>
                  <w:tcBorders>
                    <w:tl2br w:val="nil"/>
                    <w:tr2bl w:val="nil"/>
                  </w:tcBorders>
                  <w:vAlign w:val="center"/>
                </w:tcPr>
                <w:p w14:paraId="75816BBE">
                  <w:pPr>
                    <w:jc w:val="center"/>
                    <w:rPr>
                      <w:rFonts w:cs="Times New Roman"/>
                      <w:b/>
                      <w:bCs/>
                      <w:color w:val="auto"/>
                      <w:sz w:val="18"/>
                      <w:szCs w:val="18"/>
                    </w:rPr>
                  </w:pPr>
                  <w:r>
                    <w:rPr>
                      <w:rFonts w:cs="Times New Roman"/>
                      <w:b/>
                      <w:bCs/>
                      <w:color w:val="auto"/>
                      <w:sz w:val="18"/>
                      <w:szCs w:val="18"/>
                    </w:rPr>
                    <w:t>危险废物代码</w:t>
                  </w:r>
                </w:p>
              </w:tc>
              <w:tc>
                <w:tcPr>
                  <w:tcW w:w="452" w:type="pct"/>
                  <w:tcBorders>
                    <w:tl2br w:val="nil"/>
                    <w:tr2bl w:val="nil"/>
                  </w:tcBorders>
                  <w:vAlign w:val="center"/>
                </w:tcPr>
                <w:p w14:paraId="498A3FFF">
                  <w:pPr>
                    <w:jc w:val="center"/>
                    <w:rPr>
                      <w:rFonts w:cs="Times New Roman"/>
                      <w:b/>
                      <w:bCs/>
                      <w:color w:val="auto"/>
                      <w:sz w:val="18"/>
                      <w:szCs w:val="18"/>
                    </w:rPr>
                  </w:pPr>
                  <w:r>
                    <w:rPr>
                      <w:rFonts w:cs="Times New Roman"/>
                      <w:b/>
                      <w:bCs/>
                      <w:color w:val="auto"/>
                      <w:sz w:val="18"/>
                      <w:szCs w:val="18"/>
                    </w:rPr>
                    <w:t>产生量</w:t>
                  </w:r>
                </w:p>
                <w:p w14:paraId="596682CF">
                  <w:pPr>
                    <w:jc w:val="center"/>
                    <w:rPr>
                      <w:rFonts w:cs="Times New Roman"/>
                      <w:b/>
                      <w:bCs/>
                      <w:color w:val="auto"/>
                      <w:sz w:val="18"/>
                      <w:szCs w:val="18"/>
                    </w:rPr>
                  </w:pPr>
                  <w:r>
                    <w:rPr>
                      <w:rFonts w:hint="eastAsia" w:cs="Times New Roman"/>
                      <w:b/>
                      <w:bCs/>
                      <w:color w:val="auto"/>
                      <w:sz w:val="18"/>
                      <w:szCs w:val="18"/>
                      <w:lang w:eastAsia="zh-CN"/>
                    </w:rPr>
                    <w:t>(</w:t>
                  </w:r>
                  <w:r>
                    <w:rPr>
                      <w:rFonts w:cs="Times New Roman"/>
                      <w:b/>
                      <w:bCs/>
                      <w:color w:val="auto"/>
                      <w:sz w:val="18"/>
                      <w:szCs w:val="18"/>
                    </w:rPr>
                    <w:t>t/a</w:t>
                  </w:r>
                  <w:r>
                    <w:rPr>
                      <w:rFonts w:hint="eastAsia" w:cs="Times New Roman"/>
                      <w:b/>
                      <w:bCs/>
                      <w:color w:val="auto"/>
                      <w:szCs w:val="21"/>
                      <w:lang w:val="en-US" w:eastAsia="zh-CN"/>
                    </w:rPr>
                    <w:t>)</w:t>
                  </w:r>
                </w:p>
              </w:tc>
              <w:tc>
                <w:tcPr>
                  <w:tcW w:w="571" w:type="pct"/>
                  <w:tcBorders>
                    <w:tl2br w:val="nil"/>
                    <w:tr2bl w:val="nil"/>
                  </w:tcBorders>
                  <w:vAlign w:val="center"/>
                </w:tcPr>
                <w:p w14:paraId="0667B357">
                  <w:pPr>
                    <w:jc w:val="center"/>
                    <w:rPr>
                      <w:rFonts w:cs="Times New Roman"/>
                      <w:b/>
                      <w:bCs/>
                      <w:color w:val="auto"/>
                      <w:sz w:val="18"/>
                      <w:szCs w:val="18"/>
                    </w:rPr>
                  </w:pPr>
                  <w:r>
                    <w:rPr>
                      <w:rFonts w:cs="Times New Roman"/>
                      <w:b/>
                      <w:bCs/>
                      <w:color w:val="auto"/>
                      <w:sz w:val="18"/>
                      <w:szCs w:val="18"/>
                    </w:rPr>
                    <w:t>产生工序及装置</w:t>
                  </w:r>
                </w:p>
              </w:tc>
              <w:tc>
                <w:tcPr>
                  <w:tcW w:w="345" w:type="pct"/>
                  <w:tcBorders>
                    <w:tl2br w:val="nil"/>
                    <w:tr2bl w:val="nil"/>
                  </w:tcBorders>
                  <w:vAlign w:val="center"/>
                </w:tcPr>
                <w:p w14:paraId="1EF71235">
                  <w:pPr>
                    <w:jc w:val="center"/>
                    <w:rPr>
                      <w:rFonts w:cs="Times New Roman"/>
                      <w:b/>
                      <w:bCs/>
                      <w:color w:val="auto"/>
                      <w:sz w:val="18"/>
                      <w:szCs w:val="18"/>
                    </w:rPr>
                  </w:pPr>
                  <w:r>
                    <w:rPr>
                      <w:rFonts w:cs="Times New Roman"/>
                      <w:b/>
                      <w:bCs/>
                      <w:color w:val="auto"/>
                      <w:sz w:val="18"/>
                      <w:szCs w:val="18"/>
                    </w:rPr>
                    <w:t>形态</w:t>
                  </w:r>
                </w:p>
              </w:tc>
              <w:tc>
                <w:tcPr>
                  <w:tcW w:w="393" w:type="pct"/>
                  <w:tcBorders>
                    <w:tl2br w:val="nil"/>
                    <w:tr2bl w:val="nil"/>
                  </w:tcBorders>
                  <w:vAlign w:val="center"/>
                </w:tcPr>
                <w:p w14:paraId="3A75483E">
                  <w:pPr>
                    <w:jc w:val="center"/>
                    <w:rPr>
                      <w:rFonts w:cs="Times New Roman"/>
                      <w:b/>
                      <w:bCs/>
                      <w:color w:val="auto"/>
                      <w:sz w:val="18"/>
                      <w:szCs w:val="18"/>
                    </w:rPr>
                  </w:pPr>
                  <w:r>
                    <w:rPr>
                      <w:rFonts w:cs="Times New Roman"/>
                      <w:b/>
                      <w:bCs/>
                      <w:color w:val="auto"/>
                      <w:sz w:val="18"/>
                      <w:szCs w:val="18"/>
                    </w:rPr>
                    <w:t>主要成分</w:t>
                  </w:r>
                </w:p>
              </w:tc>
              <w:tc>
                <w:tcPr>
                  <w:tcW w:w="405" w:type="pct"/>
                  <w:tcBorders>
                    <w:tl2br w:val="nil"/>
                    <w:tr2bl w:val="nil"/>
                  </w:tcBorders>
                  <w:vAlign w:val="center"/>
                </w:tcPr>
                <w:p w14:paraId="3580A025">
                  <w:pPr>
                    <w:jc w:val="center"/>
                    <w:rPr>
                      <w:rFonts w:cs="Times New Roman"/>
                      <w:b/>
                      <w:bCs/>
                      <w:color w:val="auto"/>
                      <w:sz w:val="18"/>
                      <w:szCs w:val="18"/>
                    </w:rPr>
                  </w:pPr>
                  <w:r>
                    <w:rPr>
                      <w:rFonts w:cs="Times New Roman"/>
                      <w:b/>
                      <w:bCs/>
                      <w:color w:val="auto"/>
                      <w:sz w:val="18"/>
                      <w:szCs w:val="18"/>
                    </w:rPr>
                    <w:t>有害成分</w:t>
                  </w:r>
                </w:p>
              </w:tc>
              <w:tc>
                <w:tcPr>
                  <w:tcW w:w="307" w:type="pct"/>
                  <w:tcBorders>
                    <w:tl2br w:val="nil"/>
                    <w:tr2bl w:val="nil"/>
                  </w:tcBorders>
                  <w:vAlign w:val="center"/>
                </w:tcPr>
                <w:p w14:paraId="35BAE629">
                  <w:pPr>
                    <w:jc w:val="center"/>
                    <w:rPr>
                      <w:rFonts w:cs="Times New Roman"/>
                      <w:b/>
                      <w:bCs/>
                      <w:color w:val="auto"/>
                      <w:sz w:val="18"/>
                      <w:szCs w:val="18"/>
                    </w:rPr>
                  </w:pPr>
                  <w:r>
                    <w:rPr>
                      <w:rFonts w:cs="Times New Roman"/>
                      <w:b/>
                      <w:bCs/>
                      <w:color w:val="auto"/>
                      <w:sz w:val="18"/>
                      <w:szCs w:val="18"/>
                    </w:rPr>
                    <w:t>产废周期</w:t>
                  </w:r>
                </w:p>
              </w:tc>
              <w:tc>
                <w:tcPr>
                  <w:tcW w:w="361" w:type="pct"/>
                  <w:tcBorders>
                    <w:tl2br w:val="nil"/>
                    <w:tr2bl w:val="nil"/>
                  </w:tcBorders>
                  <w:vAlign w:val="center"/>
                </w:tcPr>
                <w:p w14:paraId="52DB18A7">
                  <w:pPr>
                    <w:jc w:val="center"/>
                    <w:rPr>
                      <w:rFonts w:cs="Times New Roman"/>
                      <w:b/>
                      <w:bCs/>
                      <w:color w:val="auto"/>
                      <w:sz w:val="18"/>
                      <w:szCs w:val="18"/>
                    </w:rPr>
                  </w:pPr>
                  <w:r>
                    <w:rPr>
                      <w:rFonts w:cs="Times New Roman"/>
                      <w:b/>
                      <w:bCs/>
                      <w:color w:val="auto"/>
                      <w:sz w:val="18"/>
                      <w:szCs w:val="18"/>
                    </w:rPr>
                    <w:t>危险特性</w:t>
                  </w:r>
                </w:p>
              </w:tc>
              <w:tc>
                <w:tcPr>
                  <w:tcW w:w="513" w:type="pct"/>
                  <w:tcBorders>
                    <w:tl2br w:val="nil"/>
                    <w:tr2bl w:val="nil"/>
                  </w:tcBorders>
                  <w:vAlign w:val="center"/>
                </w:tcPr>
                <w:p w14:paraId="0608DB4C">
                  <w:pPr>
                    <w:jc w:val="center"/>
                    <w:rPr>
                      <w:rFonts w:cs="Times New Roman"/>
                      <w:b/>
                      <w:bCs/>
                      <w:color w:val="auto"/>
                      <w:sz w:val="18"/>
                      <w:szCs w:val="18"/>
                    </w:rPr>
                  </w:pPr>
                  <w:r>
                    <w:rPr>
                      <w:rFonts w:cs="Times New Roman"/>
                      <w:b/>
                      <w:bCs/>
                      <w:color w:val="auto"/>
                      <w:sz w:val="18"/>
                      <w:szCs w:val="18"/>
                    </w:rPr>
                    <w:t>污染物防治措施</w:t>
                  </w:r>
                </w:p>
              </w:tc>
            </w:tr>
            <w:tr w14:paraId="7AEA8C6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752" w:hRule="atLeast"/>
                <w:jc w:val="center"/>
              </w:trPr>
              <w:tc>
                <w:tcPr>
                  <w:tcW w:w="220" w:type="pct"/>
                  <w:tcBorders>
                    <w:tl2br w:val="nil"/>
                    <w:tr2bl w:val="nil"/>
                  </w:tcBorders>
                  <w:vAlign w:val="center"/>
                </w:tcPr>
                <w:p w14:paraId="2B8C66AA">
                  <w:pPr>
                    <w:jc w:val="center"/>
                    <w:rPr>
                      <w:rFonts w:cs="Times New Roman"/>
                      <w:color w:val="auto"/>
                      <w:sz w:val="18"/>
                      <w:szCs w:val="18"/>
                    </w:rPr>
                  </w:pPr>
                  <w:r>
                    <w:rPr>
                      <w:rFonts w:cs="Times New Roman"/>
                      <w:color w:val="auto"/>
                      <w:sz w:val="18"/>
                      <w:szCs w:val="18"/>
                    </w:rPr>
                    <w:t>1</w:t>
                  </w:r>
                </w:p>
              </w:tc>
              <w:tc>
                <w:tcPr>
                  <w:tcW w:w="386" w:type="pct"/>
                  <w:tcBorders>
                    <w:tl2br w:val="nil"/>
                    <w:tr2bl w:val="nil"/>
                  </w:tcBorders>
                  <w:vAlign w:val="center"/>
                </w:tcPr>
                <w:p w14:paraId="32184BEF">
                  <w:pPr>
                    <w:jc w:val="center"/>
                    <w:rPr>
                      <w:rFonts w:cs="Times New Roman"/>
                      <w:color w:val="auto"/>
                      <w:sz w:val="18"/>
                      <w:szCs w:val="18"/>
                    </w:rPr>
                  </w:pPr>
                  <w:r>
                    <w:rPr>
                      <w:rFonts w:cs="Times New Roman"/>
                      <w:color w:val="auto"/>
                      <w:sz w:val="18"/>
                      <w:szCs w:val="18"/>
                    </w:rPr>
                    <w:t>废机油</w:t>
                  </w:r>
                </w:p>
              </w:tc>
              <w:tc>
                <w:tcPr>
                  <w:tcW w:w="413" w:type="pct"/>
                  <w:tcBorders>
                    <w:tl2br w:val="nil"/>
                    <w:tr2bl w:val="nil"/>
                  </w:tcBorders>
                  <w:vAlign w:val="center"/>
                </w:tcPr>
                <w:p w14:paraId="64D11C78">
                  <w:pPr>
                    <w:jc w:val="center"/>
                    <w:rPr>
                      <w:rFonts w:cs="Times New Roman"/>
                      <w:color w:val="auto"/>
                      <w:sz w:val="18"/>
                      <w:szCs w:val="18"/>
                    </w:rPr>
                  </w:pPr>
                  <w:r>
                    <w:rPr>
                      <w:rFonts w:cs="Times New Roman"/>
                      <w:color w:val="auto"/>
                      <w:sz w:val="18"/>
                      <w:szCs w:val="18"/>
                    </w:rPr>
                    <w:t>HW08</w:t>
                  </w:r>
                </w:p>
              </w:tc>
              <w:tc>
                <w:tcPr>
                  <w:tcW w:w="630" w:type="pct"/>
                  <w:tcBorders>
                    <w:tl2br w:val="nil"/>
                    <w:tr2bl w:val="nil"/>
                  </w:tcBorders>
                  <w:vAlign w:val="center"/>
                </w:tcPr>
                <w:p w14:paraId="44935AE4">
                  <w:pPr>
                    <w:jc w:val="center"/>
                    <w:rPr>
                      <w:rFonts w:cs="Times New Roman"/>
                      <w:color w:val="auto"/>
                      <w:sz w:val="18"/>
                      <w:szCs w:val="18"/>
                    </w:rPr>
                  </w:pPr>
                  <w:r>
                    <w:rPr>
                      <w:rFonts w:cs="Times New Roman"/>
                      <w:color w:val="auto"/>
                      <w:sz w:val="18"/>
                      <w:szCs w:val="18"/>
                    </w:rPr>
                    <w:t>900-214-08</w:t>
                  </w:r>
                </w:p>
              </w:tc>
              <w:tc>
                <w:tcPr>
                  <w:tcW w:w="452" w:type="pct"/>
                  <w:tcBorders>
                    <w:tl2br w:val="nil"/>
                    <w:tr2bl w:val="nil"/>
                  </w:tcBorders>
                  <w:vAlign w:val="center"/>
                </w:tcPr>
                <w:p w14:paraId="23F49E74">
                  <w:pPr>
                    <w:jc w:val="center"/>
                    <w:rPr>
                      <w:rFonts w:cs="Times New Roman"/>
                      <w:color w:val="auto"/>
                      <w:sz w:val="18"/>
                      <w:szCs w:val="18"/>
                    </w:rPr>
                  </w:pPr>
                  <w:r>
                    <w:rPr>
                      <w:rFonts w:cs="Times New Roman"/>
                      <w:color w:val="auto"/>
                      <w:sz w:val="18"/>
                      <w:szCs w:val="18"/>
                    </w:rPr>
                    <w:t>0.02</w:t>
                  </w:r>
                </w:p>
              </w:tc>
              <w:tc>
                <w:tcPr>
                  <w:tcW w:w="571" w:type="pct"/>
                  <w:tcBorders>
                    <w:tl2br w:val="nil"/>
                    <w:tr2bl w:val="nil"/>
                  </w:tcBorders>
                  <w:vAlign w:val="center"/>
                </w:tcPr>
                <w:p w14:paraId="2EE52383">
                  <w:pPr>
                    <w:jc w:val="center"/>
                    <w:rPr>
                      <w:rFonts w:cs="Times New Roman"/>
                      <w:color w:val="auto"/>
                      <w:sz w:val="18"/>
                      <w:szCs w:val="18"/>
                    </w:rPr>
                  </w:pPr>
                  <w:r>
                    <w:rPr>
                      <w:rFonts w:cs="Times New Roman"/>
                      <w:color w:val="auto"/>
                      <w:sz w:val="18"/>
                      <w:szCs w:val="18"/>
                    </w:rPr>
                    <w:t>设备保养</w:t>
                  </w:r>
                </w:p>
              </w:tc>
              <w:tc>
                <w:tcPr>
                  <w:tcW w:w="345" w:type="pct"/>
                  <w:tcBorders>
                    <w:tl2br w:val="nil"/>
                    <w:tr2bl w:val="nil"/>
                  </w:tcBorders>
                  <w:vAlign w:val="center"/>
                </w:tcPr>
                <w:p w14:paraId="42FF5D8C">
                  <w:pPr>
                    <w:jc w:val="center"/>
                    <w:rPr>
                      <w:rFonts w:cs="Times New Roman"/>
                      <w:color w:val="auto"/>
                      <w:sz w:val="18"/>
                      <w:szCs w:val="18"/>
                    </w:rPr>
                  </w:pPr>
                  <w:r>
                    <w:rPr>
                      <w:rFonts w:cs="Times New Roman"/>
                      <w:color w:val="auto"/>
                      <w:sz w:val="18"/>
                      <w:szCs w:val="18"/>
                    </w:rPr>
                    <w:t>液态</w:t>
                  </w:r>
                </w:p>
              </w:tc>
              <w:tc>
                <w:tcPr>
                  <w:tcW w:w="393" w:type="pct"/>
                  <w:tcBorders>
                    <w:tl2br w:val="nil"/>
                    <w:tr2bl w:val="nil"/>
                  </w:tcBorders>
                  <w:vAlign w:val="center"/>
                </w:tcPr>
                <w:p w14:paraId="4C477E01">
                  <w:pPr>
                    <w:jc w:val="center"/>
                    <w:rPr>
                      <w:rFonts w:cs="Times New Roman"/>
                      <w:color w:val="auto"/>
                      <w:sz w:val="18"/>
                      <w:szCs w:val="18"/>
                    </w:rPr>
                  </w:pPr>
                  <w:r>
                    <w:rPr>
                      <w:rFonts w:cs="Times New Roman"/>
                      <w:color w:val="auto"/>
                      <w:sz w:val="18"/>
                      <w:szCs w:val="18"/>
                    </w:rPr>
                    <w:t>矿物油</w:t>
                  </w:r>
                </w:p>
              </w:tc>
              <w:tc>
                <w:tcPr>
                  <w:tcW w:w="405" w:type="pct"/>
                  <w:tcBorders>
                    <w:tl2br w:val="nil"/>
                    <w:tr2bl w:val="nil"/>
                  </w:tcBorders>
                  <w:vAlign w:val="center"/>
                </w:tcPr>
                <w:p w14:paraId="386DE6B4">
                  <w:pPr>
                    <w:jc w:val="center"/>
                    <w:rPr>
                      <w:rFonts w:cs="Times New Roman"/>
                      <w:color w:val="auto"/>
                      <w:sz w:val="18"/>
                      <w:szCs w:val="18"/>
                    </w:rPr>
                  </w:pPr>
                  <w:r>
                    <w:rPr>
                      <w:rFonts w:cs="Times New Roman"/>
                      <w:color w:val="auto"/>
                      <w:sz w:val="18"/>
                      <w:szCs w:val="18"/>
                    </w:rPr>
                    <w:t>矿物油</w:t>
                  </w:r>
                </w:p>
              </w:tc>
              <w:tc>
                <w:tcPr>
                  <w:tcW w:w="307" w:type="pct"/>
                  <w:tcBorders>
                    <w:tl2br w:val="nil"/>
                    <w:tr2bl w:val="nil"/>
                  </w:tcBorders>
                  <w:vAlign w:val="center"/>
                </w:tcPr>
                <w:p w14:paraId="241156D7">
                  <w:pPr>
                    <w:jc w:val="center"/>
                    <w:rPr>
                      <w:rFonts w:cs="Times New Roman"/>
                      <w:color w:val="auto"/>
                      <w:sz w:val="18"/>
                      <w:szCs w:val="18"/>
                    </w:rPr>
                  </w:pPr>
                  <w:r>
                    <w:rPr>
                      <w:rFonts w:cs="Times New Roman"/>
                      <w:color w:val="auto"/>
                      <w:sz w:val="18"/>
                      <w:szCs w:val="18"/>
                    </w:rPr>
                    <w:t>每月</w:t>
                  </w:r>
                </w:p>
              </w:tc>
              <w:tc>
                <w:tcPr>
                  <w:tcW w:w="361" w:type="pct"/>
                  <w:tcBorders>
                    <w:tl2br w:val="nil"/>
                    <w:tr2bl w:val="nil"/>
                  </w:tcBorders>
                  <w:vAlign w:val="center"/>
                </w:tcPr>
                <w:p w14:paraId="0C7D34F3">
                  <w:pPr>
                    <w:jc w:val="center"/>
                    <w:rPr>
                      <w:rFonts w:cs="Times New Roman"/>
                      <w:color w:val="auto"/>
                      <w:sz w:val="18"/>
                      <w:szCs w:val="18"/>
                    </w:rPr>
                  </w:pPr>
                  <w:r>
                    <w:rPr>
                      <w:rFonts w:cs="Times New Roman"/>
                      <w:color w:val="auto"/>
                      <w:sz w:val="18"/>
                      <w:szCs w:val="18"/>
                    </w:rPr>
                    <w:t>T,I</w:t>
                  </w:r>
                </w:p>
              </w:tc>
              <w:tc>
                <w:tcPr>
                  <w:tcW w:w="513" w:type="pct"/>
                  <w:tcBorders>
                    <w:tl2br w:val="nil"/>
                    <w:tr2bl w:val="nil"/>
                  </w:tcBorders>
                  <w:vAlign w:val="center"/>
                </w:tcPr>
                <w:p w14:paraId="2CB55497">
                  <w:pPr>
                    <w:jc w:val="center"/>
                    <w:rPr>
                      <w:rFonts w:hint="eastAsia" w:eastAsia="宋体" w:cs="Times New Roman"/>
                      <w:color w:val="auto"/>
                      <w:sz w:val="18"/>
                      <w:szCs w:val="18"/>
                      <w:lang w:eastAsia="zh-CN"/>
                    </w:rPr>
                  </w:pPr>
                  <w:r>
                    <w:rPr>
                      <w:rFonts w:hint="eastAsia" w:cs="Times New Roman"/>
                      <w:color w:val="auto"/>
                      <w:sz w:val="18"/>
                      <w:szCs w:val="18"/>
                      <w:lang w:eastAsia="zh-CN"/>
                    </w:rPr>
                    <w:t>交资质单位处理</w:t>
                  </w:r>
                </w:p>
              </w:tc>
            </w:tr>
          </w:tbl>
          <w:p w14:paraId="1A6095E3">
            <w:pPr>
              <w:spacing w:line="360" w:lineRule="auto"/>
              <w:ind w:firstLine="482" w:firstLineChars="200"/>
              <w:rPr>
                <w:rFonts w:cs="Times New Roman"/>
                <w:b/>
                <w:color w:val="auto"/>
                <w:sz w:val="24"/>
                <w:szCs w:val="24"/>
              </w:rPr>
            </w:pPr>
            <w:r>
              <w:rPr>
                <w:rFonts w:cs="Times New Roman"/>
                <w:b/>
                <w:color w:val="auto"/>
                <w:sz w:val="24"/>
                <w:szCs w:val="24"/>
              </w:rPr>
              <w:t>危险废物收集和暂存要求</w:t>
            </w:r>
          </w:p>
          <w:p w14:paraId="40599181">
            <w:pPr>
              <w:spacing w:line="360" w:lineRule="auto"/>
              <w:ind w:firstLine="482" w:firstLineChars="200"/>
              <w:rPr>
                <w:rFonts w:cs="Times New Roman"/>
                <w:b/>
                <w:color w:val="auto"/>
                <w:sz w:val="24"/>
                <w:szCs w:val="24"/>
              </w:rPr>
            </w:pPr>
            <w:r>
              <w:rPr>
                <w:rFonts w:cs="Times New Roman"/>
                <w:b/>
                <w:color w:val="auto"/>
                <w:sz w:val="24"/>
                <w:szCs w:val="24"/>
              </w:rPr>
              <w:t>（1）贮存要求</w:t>
            </w:r>
          </w:p>
          <w:p w14:paraId="112F3BA3">
            <w:pPr>
              <w:spacing w:line="360" w:lineRule="auto"/>
              <w:ind w:firstLine="480" w:firstLineChars="200"/>
              <w:rPr>
                <w:rFonts w:cs="Times New Roman"/>
                <w:bCs/>
                <w:color w:val="auto"/>
                <w:sz w:val="24"/>
                <w:szCs w:val="24"/>
              </w:rPr>
            </w:pPr>
            <w:r>
              <w:rPr>
                <w:rFonts w:cs="Times New Roman"/>
                <w:bCs/>
                <w:color w:val="auto"/>
                <w:sz w:val="24"/>
                <w:szCs w:val="24"/>
              </w:rPr>
              <w:t>危险废物应分类收集储存在危废暂存间，危废暂存间应采取</w:t>
            </w:r>
            <w:r>
              <w:rPr>
                <w:rFonts w:cs="Times New Roman"/>
                <w:color w:val="auto"/>
                <w:sz w:val="24"/>
                <w:szCs w:val="24"/>
                <w:lang w:bidi="ar"/>
              </w:rPr>
              <w:t>防风、防晒、防雨、防漏、防渗、防腐</w:t>
            </w:r>
            <w:r>
              <w:rPr>
                <w:rFonts w:cs="Times New Roman"/>
                <w:bCs/>
                <w:color w:val="auto"/>
                <w:sz w:val="24"/>
                <w:szCs w:val="24"/>
              </w:rPr>
              <w:t>的</w:t>
            </w:r>
            <w:r>
              <w:rPr>
                <w:rFonts w:hint="eastAsia" w:cs="Times New Roman"/>
                <w:bCs/>
                <w:color w:val="auto"/>
                <w:sz w:val="24"/>
                <w:szCs w:val="24"/>
                <w:lang w:eastAsia="zh-CN"/>
              </w:rPr>
              <w:t>“</w:t>
            </w:r>
            <w:r>
              <w:rPr>
                <w:rFonts w:cs="Times New Roman"/>
                <w:bCs/>
                <w:color w:val="auto"/>
                <w:sz w:val="24"/>
                <w:szCs w:val="24"/>
              </w:rPr>
              <w:t>六防</w:t>
            </w:r>
            <w:r>
              <w:rPr>
                <w:rFonts w:hint="eastAsia" w:cs="Times New Roman"/>
                <w:bCs/>
                <w:color w:val="auto"/>
                <w:sz w:val="24"/>
                <w:szCs w:val="24"/>
                <w:lang w:eastAsia="zh-CN"/>
              </w:rPr>
              <w:t>”</w:t>
            </w:r>
            <w:r>
              <w:rPr>
                <w:rFonts w:cs="Times New Roman"/>
                <w:bCs/>
                <w:color w:val="auto"/>
                <w:sz w:val="24"/>
                <w:szCs w:val="24"/>
              </w:rPr>
              <w:t>措施，按照《危险废物识别标志设置技术规范》（HJ 1276-2022）和《环境保护图形标志—固体废物贮存（处置）场》（GB15562.2-1995）及其修改单设置警示标识，由专人负责管理。危险废物贮存必须严格按照《危险废物贮存污染控制标准》（GB18597-2023）的要求执行：</w:t>
            </w:r>
          </w:p>
          <w:p w14:paraId="729AC676">
            <w:pPr>
              <w:spacing w:line="360" w:lineRule="auto"/>
              <w:ind w:firstLine="482" w:firstLineChars="200"/>
              <w:rPr>
                <w:rFonts w:cs="Times New Roman"/>
                <w:b/>
                <w:color w:val="auto"/>
                <w:sz w:val="24"/>
                <w:szCs w:val="24"/>
              </w:rPr>
            </w:pPr>
            <w:r>
              <w:rPr>
                <w:rFonts w:cs="Times New Roman"/>
                <w:b/>
                <w:color w:val="auto"/>
                <w:sz w:val="24"/>
                <w:szCs w:val="24"/>
              </w:rPr>
              <w:t>1）贮存设施污染控制要求</w:t>
            </w:r>
          </w:p>
          <w:p w14:paraId="6D2B3268">
            <w:pPr>
              <w:spacing w:line="336" w:lineRule="auto"/>
              <w:ind w:firstLine="480" w:firstLineChars="200"/>
              <w:rPr>
                <w:rFonts w:cs="Times New Roman"/>
                <w:bCs/>
                <w:color w:val="auto"/>
                <w:sz w:val="24"/>
                <w:szCs w:val="24"/>
              </w:rPr>
            </w:pPr>
            <w:r>
              <w:rPr>
                <w:rFonts w:cs="Times New Roman"/>
                <w:bCs/>
                <w:color w:val="auto"/>
                <w:sz w:val="24"/>
                <w:szCs w:val="24"/>
              </w:rPr>
              <w:t>①贮存设施应根据危险废物的形态、物理化学性质、包装形式和污染物迁移途径，采取必要的</w:t>
            </w:r>
            <w:r>
              <w:rPr>
                <w:rFonts w:cs="Times New Roman"/>
                <w:color w:val="auto"/>
                <w:sz w:val="24"/>
                <w:szCs w:val="24"/>
                <w:lang w:bidi="ar"/>
              </w:rPr>
              <w:t>防风、防晒、防雨、防漏、防渗、防腐</w:t>
            </w:r>
            <w:r>
              <w:rPr>
                <w:rFonts w:cs="Times New Roman"/>
                <w:bCs/>
                <w:color w:val="auto"/>
                <w:sz w:val="24"/>
                <w:szCs w:val="24"/>
              </w:rPr>
              <w:t>以及其他环境污染防治措施，不应露天堆放危险废物。</w:t>
            </w:r>
          </w:p>
          <w:p w14:paraId="0151B7C9">
            <w:pPr>
              <w:spacing w:line="336" w:lineRule="auto"/>
              <w:ind w:firstLine="480" w:firstLineChars="200"/>
              <w:rPr>
                <w:rFonts w:cs="Times New Roman"/>
                <w:bCs/>
                <w:color w:val="auto"/>
                <w:sz w:val="24"/>
                <w:szCs w:val="24"/>
              </w:rPr>
            </w:pPr>
            <w:r>
              <w:rPr>
                <w:rFonts w:cs="Times New Roman"/>
                <w:bCs/>
                <w:color w:val="auto"/>
                <w:sz w:val="24"/>
                <w:szCs w:val="24"/>
              </w:rPr>
              <w:t>②贮存设施应根据危险废物的类别、数量、形态、物理化学性质和污染防治等要求设置必要的贮存分区，避免不相容的危险废物接触、混合。贮存设施或贮存分区内地面、墙面裙脚、堵截泄漏的围堰、接触危险废物的隔板和墙体等应采用坚固的材料建造，表面无裂缝。</w:t>
            </w:r>
          </w:p>
          <w:p w14:paraId="1AB9B943">
            <w:pPr>
              <w:spacing w:line="336" w:lineRule="auto"/>
              <w:ind w:firstLine="480" w:firstLineChars="200"/>
              <w:rPr>
                <w:rFonts w:cs="Times New Roman"/>
                <w:bCs/>
                <w:color w:val="auto"/>
                <w:sz w:val="24"/>
                <w:szCs w:val="24"/>
              </w:rPr>
            </w:pPr>
            <w:r>
              <w:rPr>
                <w:rFonts w:cs="Times New Roman"/>
                <w:bCs/>
                <w:color w:val="auto"/>
                <w:sz w:val="24"/>
                <w:szCs w:val="24"/>
              </w:rPr>
              <w:t>③贮存设施地面与裙脚应采取表面防渗措施；表面防渗材料应与所接触的物料或污染物相容，可采用抗渗混凝土、高密度聚乙烯膜、钠基膨润土防水毯或其他防渗性能等效的材料。</w:t>
            </w:r>
          </w:p>
          <w:p w14:paraId="3E04582E">
            <w:pPr>
              <w:spacing w:line="336" w:lineRule="auto"/>
              <w:ind w:firstLine="480" w:firstLineChars="200"/>
              <w:rPr>
                <w:rFonts w:cs="Times New Roman"/>
                <w:bCs/>
                <w:color w:val="auto"/>
                <w:sz w:val="24"/>
                <w:szCs w:val="24"/>
              </w:rPr>
            </w:pPr>
            <w:r>
              <w:rPr>
                <w:rFonts w:cs="Times New Roman"/>
                <w:bCs/>
                <w:color w:val="auto"/>
                <w:sz w:val="24"/>
                <w:szCs w:val="24"/>
              </w:rPr>
              <w:t>④同一贮存设施宜采用相同的防渗、防腐工艺（包括防渗、防腐结构或材料），防渗、防腐材料应覆盖所有可能与废物及其渗滤液、渗漏液等接触的构筑物表面；采用不同防渗、防腐工艺应分别建设贮存分区。</w:t>
            </w:r>
          </w:p>
          <w:p w14:paraId="7E575D61">
            <w:pPr>
              <w:spacing w:line="336" w:lineRule="auto"/>
              <w:ind w:firstLine="480" w:firstLineChars="200"/>
              <w:rPr>
                <w:rFonts w:cs="Times New Roman"/>
                <w:bCs/>
                <w:color w:val="auto"/>
                <w:sz w:val="24"/>
                <w:szCs w:val="24"/>
              </w:rPr>
            </w:pPr>
            <w:r>
              <w:rPr>
                <w:rFonts w:cs="Times New Roman"/>
                <w:bCs/>
                <w:color w:val="auto"/>
                <w:sz w:val="24"/>
                <w:szCs w:val="24"/>
              </w:rPr>
              <w:t>⑤贮存设施应采取技术和管理措施防止无关人员进入。</w:t>
            </w:r>
          </w:p>
          <w:p w14:paraId="4D56FB40">
            <w:pPr>
              <w:spacing w:line="336" w:lineRule="auto"/>
              <w:ind w:firstLine="482" w:firstLineChars="200"/>
              <w:rPr>
                <w:rFonts w:cs="Times New Roman"/>
                <w:b/>
                <w:color w:val="auto"/>
                <w:sz w:val="24"/>
                <w:szCs w:val="24"/>
              </w:rPr>
            </w:pPr>
            <w:r>
              <w:rPr>
                <w:rFonts w:cs="Times New Roman"/>
                <w:b/>
                <w:color w:val="auto"/>
                <w:sz w:val="24"/>
                <w:szCs w:val="24"/>
              </w:rPr>
              <w:t>2）容器和包装物污染控制要求</w:t>
            </w:r>
          </w:p>
          <w:p w14:paraId="7B588A37">
            <w:pPr>
              <w:spacing w:line="336" w:lineRule="auto"/>
              <w:ind w:firstLine="480" w:firstLineChars="200"/>
              <w:rPr>
                <w:rFonts w:cs="Times New Roman"/>
                <w:bCs/>
                <w:color w:val="auto"/>
                <w:sz w:val="24"/>
                <w:szCs w:val="24"/>
              </w:rPr>
            </w:pPr>
            <w:r>
              <w:rPr>
                <w:rFonts w:cs="Times New Roman"/>
                <w:bCs/>
                <w:color w:val="auto"/>
                <w:sz w:val="24"/>
                <w:szCs w:val="24"/>
              </w:rPr>
              <w:t>①容器和包装物材质、内衬应与盛装的危险废物相容。针对不同类别、形态、物理化学性质的危险废物，其容器和包装物应满足相应的防渗、防漏、防腐和强度等要求。</w:t>
            </w:r>
          </w:p>
          <w:p w14:paraId="05A06961">
            <w:pPr>
              <w:spacing w:line="336" w:lineRule="auto"/>
              <w:ind w:firstLine="480" w:firstLineChars="200"/>
              <w:rPr>
                <w:rFonts w:cs="Times New Roman"/>
                <w:bCs/>
                <w:color w:val="auto"/>
                <w:sz w:val="24"/>
                <w:szCs w:val="24"/>
              </w:rPr>
            </w:pPr>
            <w:r>
              <w:rPr>
                <w:rFonts w:cs="Times New Roman"/>
                <w:bCs/>
                <w:color w:val="auto"/>
                <w:sz w:val="24"/>
                <w:szCs w:val="24"/>
              </w:rPr>
              <w:t xml:space="preserve">②硬质容器和包装物及其支护结构堆叠码放时不应有明显变形，无破损泄漏。  </w:t>
            </w:r>
          </w:p>
          <w:p w14:paraId="4010DE52">
            <w:pPr>
              <w:spacing w:line="336" w:lineRule="auto"/>
              <w:ind w:firstLine="480" w:firstLineChars="200"/>
              <w:rPr>
                <w:rFonts w:cs="Times New Roman"/>
                <w:bCs/>
                <w:color w:val="auto"/>
                <w:sz w:val="24"/>
                <w:szCs w:val="24"/>
              </w:rPr>
            </w:pPr>
            <w:r>
              <w:rPr>
                <w:rFonts w:cs="Times New Roman"/>
                <w:bCs/>
                <w:color w:val="auto"/>
                <w:sz w:val="24"/>
                <w:szCs w:val="24"/>
              </w:rPr>
              <w:t>③柔性容器和包装物堆叠码放时应封口严密，无破损泄漏。使用容器盛装液态、半固态危险废物时，容器内部应留有适当的空间，以适应因温度变化等可能引发的收缩和膨胀，防止其导致容器渗漏或永久变形。容器和包装物外表面应保持清洁。</w:t>
            </w:r>
          </w:p>
          <w:p w14:paraId="12AB6A5B">
            <w:pPr>
              <w:spacing w:line="336" w:lineRule="auto"/>
              <w:ind w:firstLine="482" w:firstLineChars="200"/>
              <w:rPr>
                <w:rFonts w:cs="Times New Roman"/>
                <w:b/>
                <w:color w:val="auto"/>
                <w:sz w:val="24"/>
                <w:szCs w:val="24"/>
              </w:rPr>
            </w:pPr>
            <w:r>
              <w:rPr>
                <w:rFonts w:cs="Times New Roman"/>
                <w:b/>
                <w:color w:val="auto"/>
                <w:sz w:val="24"/>
                <w:szCs w:val="24"/>
              </w:rPr>
              <w:t>3）贮存设施运行环境管理要求</w:t>
            </w:r>
          </w:p>
          <w:p w14:paraId="7B1DFF80">
            <w:pPr>
              <w:spacing w:line="336" w:lineRule="auto"/>
              <w:ind w:firstLine="480" w:firstLineChars="200"/>
              <w:rPr>
                <w:rFonts w:cs="Times New Roman"/>
                <w:bCs/>
                <w:color w:val="auto"/>
                <w:sz w:val="24"/>
                <w:szCs w:val="24"/>
              </w:rPr>
            </w:pPr>
            <w:r>
              <w:rPr>
                <w:rFonts w:cs="Times New Roman"/>
                <w:bCs/>
                <w:color w:val="auto"/>
                <w:sz w:val="24"/>
                <w:szCs w:val="24"/>
              </w:rPr>
              <w:t>①危险废物存入贮存设施前应对危险废物类别和特性与危险废物标签等危险废物识别标志的一致性进行核验，不一致的或类别、特性不明的不应存入。</w:t>
            </w:r>
          </w:p>
          <w:p w14:paraId="019498B9">
            <w:pPr>
              <w:spacing w:line="336" w:lineRule="auto"/>
              <w:ind w:firstLine="480" w:firstLineChars="200"/>
              <w:rPr>
                <w:rFonts w:cs="Times New Roman"/>
                <w:bCs/>
                <w:color w:val="auto"/>
                <w:sz w:val="24"/>
                <w:szCs w:val="24"/>
              </w:rPr>
            </w:pPr>
            <w:r>
              <w:rPr>
                <w:rFonts w:cs="Times New Roman"/>
                <w:bCs/>
                <w:color w:val="auto"/>
                <w:sz w:val="24"/>
                <w:szCs w:val="24"/>
              </w:rPr>
              <w:t>②应定期检查危险废物的贮存状况，及时清理贮存设施地面，更换破损泄漏的危险废物贮存容器和包装物，保证堆存危险废物的防雨、防风、防扬尘等设施功能完好。</w:t>
            </w:r>
          </w:p>
          <w:p w14:paraId="1E51731E">
            <w:pPr>
              <w:spacing w:line="336" w:lineRule="auto"/>
              <w:ind w:firstLine="480" w:firstLineChars="200"/>
              <w:rPr>
                <w:rFonts w:cs="Times New Roman"/>
                <w:bCs/>
                <w:color w:val="auto"/>
                <w:sz w:val="24"/>
                <w:szCs w:val="24"/>
              </w:rPr>
            </w:pPr>
            <w:r>
              <w:rPr>
                <w:rFonts w:cs="Times New Roman"/>
                <w:bCs/>
                <w:color w:val="auto"/>
                <w:sz w:val="24"/>
                <w:szCs w:val="24"/>
              </w:rPr>
              <w:t>③贮存设施运行期间，应按国家有关标准和规定建立危险废物管理台账并保存。</w:t>
            </w:r>
          </w:p>
          <w:p w14:paraId="6ECB56AA">
            <w:pPr>
              <w:spacing w:line="336" w:lineRule="auto"/>
              <w:ind w:firstLine="480" w:firstLineChars="200"/>
              <w:rPr>
                <w:rFonts w:cs="Times New Roman"/>
                <w:bCs/>
                <w:color w:val="auto"/>
                <w:sz w:val="24"/>
                <w:szCs w:val="24"/>
              </w:rPr>
            </w:pPr>
            <w:r>
              <w:rPr>
                <w:rFonts w:cs="Times New Roman"/>
                <w:bCs/>
                <w:color w:val="auto"/>
                <w:sz w:val="24"/>
                <w:szCs w:val="24"/>
              </w:rPr>
              <w:t>④贮存设施所有者或运营者应建立贮存设施环境管理制度、管理人员岗位职责制度、设施运行操作制度、人员岗位培训制度等。</w:t>
            </w:r>
          </w:p>
          <w:p w14:paraId="53F684A3">
            <w:pPr>
              <w:spacing w:line="336" w:lineRule="auto"/>
              <w:ind w:firstLine="480" w:firstLineChars="200"/>
              <w:rPr>
                <w:rFonts w:cs="Times New Roman"/>
                <w:bCs/>
                <w:color w:val="auto"/>
                <w:sz w:val="24"/>
                <w:szCs w:val="24"/>
              </w:rPr>
            </w:pPr>
            <w:r>
              <w:rPr>
                <w:rFonts w:hint="eastAsia" w:ascii="宋体" w:hAnsi="宋体" w:eastAsia="宋体" w:cs="宋体"/>
                <w:bCs/>
                <w:color w:val="auto"/>
                <w:sz w:val="24"/>
                <w:szCs w:val="24"/>
              </w:rPr>
              <w:t>⑤</w:t>
            </w:r>
            <w:r>
              <w:rPr>
                <w:rFonts w:cs="Times New Roman"/>
                <w:bCs/>
                <w:color w:val="auto"/>
                <w:sz w:val="24"/>
                <w:szCs w:val="24"/>
              </w:rPr>
              <w:t>贮存设施所有者或运营者应依据国家土壤和地下水污染防治的有关规定，结合贮存设施特点建立土壤和地下水污染隐患排查制度，并定期开展隐患排查；发现隐患应及时采取措施消除隐患，并建立档案。</w:t>
            </w:r>
          </w:p>
          <w:p w14:paraId="5169ADE1">
            <w:pPr>
              <w:spacing w:line="336" w:lineRule="auto"/>
              <w:ind w:firstLine="480" w:firstLineChars="200"/>
              <w:rPr>
                <w:rFonts w:cs="Times New Roman"/>
                <w:bCs/>
                <w:color w:val="auto"/>
                <w:sz w:val="24"/>
                <w:szCs w:val="24"/>
              </w:rPr>
            </w:pPr>
            <w:r>
              <w:rPr>
                <w:rFonts w:hint="eastAsia" w:cs="Times New Roman"/>
                <w:bCs/>
                <w:color w:val="auto"/>
                <w:sz w:val="24"/>
                <w:szCs w:val="24"/>
              </w:rPr>
              <w:t>⑥</w:t>
            </w:r>
            <w:r>
              <w:rPr>
                <w:rFonts w:cs="Times New Roman"/>
                <w:bCs/>
                <w:color w:val="auto"/>
                <w:sz w:val="24"/>
                <w:szCs w:val="24"/>
              </w:rPr>
              <w:t>贮存设施所有者或运营者应建立贮存设施全部档案，包括设计、施工、验收、运行、监测和环境应急等，应按国家有关档案管理的法律法规进行整理和归档。</w:t>
            </w:r>
          </w:p>
          <w:p w14:paraId="3ACDE96C">
            <w:pPr>
              <w:spacing w:line="336" w:lineRule="auto"/>
              <w:ind w:firstLine="482" w:firstLineChars="200"/>
              <w:rPr>
                <w:rFonts w:cs="Times New Roman"/>
                <w:b/>
                <w:color w:val="auto"/>
                <w:sz w:val="24"/>
                <w:szCs w:val="24"/>
              </w:rPr>
            </w:pPr>
            <w:r>
              <w:rPr>
                <w:rFonts w:cs="Times New Roman"/>
                <w:b/>
                <w:color w:val="auto"/>
                <w:sz w:val="24"/>
                <w:szCs w:val="24"/>
              </w:rPr>
              <w:t>4）环境应急要求</w:t>
            </w:r>
          </w:p>
          <w:p w14:paraId="5DBFB9BC">
            <w:pPr>
              <w:spacing w:line="336" w:lineRule="auto"/>
              <w:ind w:firstLine="480" w:firstLineChars="200"/>
              <w:rPr>
                <w:rFonts w:cs="Times New Roman"/>
                <w:bCs/>
                <w:color w:val="auto"/>
                <w:sz w:val="24"/>
                <w:szCs w:val="24"/>
              </w:rPr>
            </w:pPr>
            <w:r>
              <w:rPr>
                <w:rFonts w:cs="Times New Roman"/>
                <w:bCs/>
                <w:color w:val="auto"/>
                <w:sz w:val="24"/>
                <w:szCs w:val="24"/>
              </w:rPr>
              <w:t>①贮存设施所有者或运营者应按照国家有关规定编制突发环境事件应急预案，定期开展必要的培训和环境应急演练，并做好培训、演练记录。</w:t>
            </w:r>
          </w:p>
          <w:p w14:paraId="1D1712D4">
            <w:pPr>
              <w:spacing w:line="336" w:lineRule="auto"/>
              <w:ind w:firstLine="480" w:firstLineChars="200"/>
              <w:rPr>
                <w:rFonts w:cs="Times New Roman"/>
                <w:bCs/>
                <w:color w:val="auto"/>
                <w:sz w:val="24"/>
                <w:szCs w:val="24"/>
              </w:rPr>
            </w:pPr>
            <w:r>
              <w:rPr>
                <w:rFonts w:cs="Times New Roman"/>
                <w:bCs/>
                <w:color w:val="auto"/>
                <w:sz w:val="24"/>
                <w:szCs w:val="24"/>
              </w:rPr>
              <w:t>②贮存设施所有者或运营者应配备满足其突发环境事件应急要求的应急人员、装备和物资，并应设置应急照明系统。</w:t>
            </w:r>
          </w:p>
          <w:p w14:paraId="10BE0D2B">
            <w:pPr>
              <w:spacing w:line="336" w:lineRule="auto"/>
              <w:ind w:firstLine="480" w:firstLineChars="200"/>
              <w:rPr>
                <w:rFonts w:cs="Times New Roman"/>
                <w:bCs/>
                <w:color w:val="auto"/>
                <w:sz w:val="24"/>
                <w:szCs w:val="24"/>
              </w:rPr>
            </w:pPr>
            <w:r>
              <w:rPr>
                <w:rFonts w:cs="Times New Roman"/>
                <w:bCs/>
                <w:color w:val="auto"/>
                <w:sz w:val="24"/>
                <w:szCs w:val="24"/>
              </w:rPr>
              <w:t>③相关部门发布自然灾害或恶劣天气预警后，贮存设施所有者或运营者应启动相应防控措施，若有必要可将危险废物转移至其他具有防护条件的地点贮存。</w:t>
            </w:r>
          </w:p>
          <w:p w14:paraId="5CB5E4C9">
            <w:pPr>
              <w:spacing w:line="336" w:lineRule="auto"/>
              <w:ind w:firstLine="482" w:firstLineChars="200"/>
              <w:rPr>
                <w:rFonts w:cs="Times New Roman"/>
                <w:b/>
                <w:color w:val="auto"/>
                <w:sz w:val="24"/>
                <w:szCs w:val="24"/>
              </w:rPr>
            </w:pPr>
            <w:r>
              <w:rPr>
                <w:rFonts w:cs="Times New Roman"/>
                <w:b/>
                <w:color w:val="auto"/>
                <w:sz w:val="24"/>
                <w:szCs w:val="24"/>
              </w:rPr>
              <w:t>（2）转运要求</w:t>
            </w:r>
          </w:p>
          <w:p w14:paraId="717099FD">
            <w:pPr>
              <w:spacing w:line="336" w:lineRule="auto"/>
              <w:ind w:firstLine="480" w:firstLineChars="200"/>
              <w:rPr>
                <w:rFonts w:cs="Times New Roman"/>
                <w:bCs/>
                <w:color w:val="auto"/>
                <w:sz w:val="24"/>
                <w:szCs w:val="24"/>
              </w:rPr>
            </w:pPr>
            <w:r>
              <w:rPr>
                <w:rFonts w:cs="Times New Roman"/>
                <w:bCs/>
                <w:color w:val="auto"/>
                <w:sz w:val="24"/>
                <w:szCs w:val="24"/>
              </w:rPr>
              <w:t>危险废物转运必须严格落实《危险废物转移联单管理办法》的规定，按要求填写危险废物转移联单，并严格落实以下要求：</w:t>
            </w:r>
          </w:p>
          <w:p w14:paraId="0C3A6310">
            <w:pPr>
              <w:spacing w:line="336" w:lineRule="auto"/>
              <w:ind w:firstLine="480" w:firstLineChars="200"/>
              <w:rPr>
                <w:rFonts w:cs="Times New Roman"/>
                <w:bCs/>
                <w:color w:val="auto"/>
                <w:sz w:val="24"/>
                <w:szCs w:val="24"/>
              </w:rPr>
            </w:pPr>
            <w:r>
              <w:rPr>
                <w:rFonts w:cs="Times New Roman"/>
                <w:bCs/>
                <w:color w:val="auto"/>
                <w:sz w:val="24"/>
                <w:szCs w:val="24"/>
              </w:rPr>
              <w:t>①危险废物运输应由持有危险废物经营许可证的单位按照其许可证的经营范围组织实施，并取得交通运输部门颁发的危险货物运输资质。</w:t>
            </w:r>
          </w:p>
          <w:p w14:paraId="2C6C689A">
            <w:pPr>
              <w:spacing w:line="336" w:lineRule="auto"/>
              <w:ind w:firstLine="480" w:firstLineChars="200"/>
              <w:rPr>
                <w:rFonts w:cs="Times New Roman"/>
                <w:bCs/>
                <w:color w:val="auto"/>
                <w:sz w:val="24"/>
                <w:szCs w:val="24"/>
              </w:rPr>
            </w:pPr>
            <w:r>
              <w:rPr>
                <w:rFonts w:cs="Times New Roman"/>
                <w:bCs/>
                <w:color w:val="auto"/>
                <w:sz w:val="24"/>
                <w:szCs w:val="24"/>
              </w:rPr>
              <w:t>②危险废物运输单位必须采取防扬散、防流失、防渗漏或其他防止污染环境的措施，并遵守国家有关危险货物运输管理的规定。</w:t>
            </w:r>
          </w:p>
          <w:p w14:paraId="2D4234E2">
            <w:pPr>
              <w:spacing w:line="336" w:lineRule="auto"/>
              <w:ind w:firstLine="480" w:firstLineChars="200"/>
              <w:rPr>
                <w:rFonts w:cs="Times New Roman"/>
                <w:bCs/>
                <w:color w:val="auto"/>
                <w:sz w:val="24"/>
                <w:szCs w:val="24"/>
              </w:rPr>
            </w:pPr>
            <w:r>
              <w:rPr>
                <w:rFonts w:cs="Times New Roman"/>
                <w:bCs/>
                <w:color w:val="auto"/>
                <w:sz w:val="24"/>
                <w:szCs w:val="24"/>
              </w:rPr>
              <w:t>③运输危险废物的车辆必须是危险货物运输车辆，并按《道路运输危险货物车辆标志》（GB13392-2005）设置车辆标志，不得将危险废物与旅客在同一运输工具载运。</w:t>
            </w:r>
          </w:p>
          <w:p w14:paraId="342EB9C1">
            <w:pPr>
              <w:spacing w:line="336" w:lineRule="auto"/>
              <w:ind w:firstLine="480" w:firstLineChars="200"/>
              <w:rPr>
                <w:rFonts w:cs="Times New Roman"/>
                <w:bCs/>
                <w:color w:val="auto"/>
                <w:sz w:val="24"/>
                <w:szCs w:val="24"/>
              </w:rPr>
            </w:pPr>
            <w:r>
              <w:rPr>
                <w:rFonts w:cs="Times New Roman"/>
                <w:bCs/>
                <w:color w:val="auto"/>
                <w:sz w:val="24"/>
                <w:szCs w:val="24"/>
              </w:rPr>
              <w:t>④危险废物公路运输应按照《道路危险货物运输管理规定》（交通运输部令2013年第 2 号）、《危险货物道路运输规则》（JT/T617-2018）以及《汽车运输、装卸危险货物作业规程》（JT 618-2004）的有关要求执行。</w:t>
            </w:r>
          </w:p>
          <w:p w14:paraId="536E63BD">
            <w:pPr>
              <w:spacing w:line="336" w:lineRule="auto"/>
              <w:ind w:firstLine="480" w:firstLineChars="200"/>
              <w:rPr>
                <w:rFonts w:cs="Times New Roman"/>
                <w:bCs/>
                <w:color w:val="auto"/>
                <w:sz w:val="24"/>
                <w:szCs w:val="24"/>
              </w:rPr>
            </w:pPr>
            <w:r>
              <w:rPr>
                <w:rFonts w:cs="Times New Roman"/>
                <w:bCs/>
                <w:color w:val="auto"/>
                <w:sz w:val="24"/>
                <w:szCs w:val="24"/>
              </w:rPr>
              <w:t>⑤危险废物装卸人员应熟悉废物的危险特性，并配备适当的个人防护装备；卸载区应配备必要的消防设备和设施，并设置明显的指示标志；装卸区应设置隔离设施，液态废物卸载区应设置收集槽和缓冲罐。</w:t>
            </w:r>
          </w:p>
          <w:p w14:paraId="2E1BF5F5">
            <w:pPr>
              <w:spacing w:line="336" w:lineRule="auto"/>
              <w:ind w:firstLine="480" w:firstLineChars="200"/>
              <w:rPr>
                <w:rFonts w:cs="Times New Roman"/>
                <w:bCs/>
                <w:color w:val="auto"/>
                <w:sz w:val="24"/>
                <w:szCs w:val="24"/>
              </w:rPr>
            </w:pPr>
            <w:r>
              <w:rPr>
                <w:rFonts w:cs="Times New Roman"/>
                <w:bCs/>
                <w:color w:val="auto"/>
                <w:sz w:val="24"/>
                <w:szCs w:val="24"/>
              </w:rPr>
              <w:t>综上所述，本项目营运期严格落实本环评中提出的各类废物处置措施，可防止因处置不当出现的环境二次污染。</w:t>
            </w:r>
          </w:p>
          <w:p w14:paraId="2837E7CD">
            <w:pPr>
              <w:spacing w:line="336" w:lineRule="auto"/>
              <w:ind w:firstLine="482" w:firstLineChars="200"/>
              <w:rPr>
                <w:rFonts w:cs="Times New Roman"/>
                <w:b/>
                <w:color w:val="auto"/>
                <w:sz w:val="24"/>
                <w:szCs w:val="24"/>
              </w:rPr>
            </w:pPr>
            <w:r>
              <w:rPr>
                <w:rFonts w:cs="Times New Roman"/>
                <w:b/>
                <w:color w:val="auto"/>
                <w:sz w:val="24"/>
                <w:szCs w:val="24"/>
              </w:rPr>
              <w:t>5、地下水、土壤污染防治措施</w:t>
            </w:r>
          </w:p>
          <w:p w14:paraId="169A840D">
            <w:pPr>
              <w:spacing w:line="336" w:lineRule="auto"/>
              <w:ind w:firstLine="361" w:firstLineChars="150"/>
              <w:rPr>
                <w:rFonts w:cs="Times New Roman"/>
                <w:b/>
                <w:color w:val="auto"/>
                <w:sz w:val="24"/>
                <w:szCs w:val="24"/>
              </w:rPr>
            </w:pPr>
            <w:r>
              <w:rPr>
                <w:rFonts w:cs="Times New Roman"/>
                <w:b/>
                <w:color w:val="auto"/>
                <w:sz w:val="24"/>
                <w:szCs w:val="24"/>
              </w:rPr>
              <w:t>（1）污染途径</w:t>
            </w:r>
          </w:p>
          <w:p w14:paraId="4448D597">
            <w:pPr>
              <w:spacing w:line="324" w:lineRule="auto"/>
              <w:ind w:firstLine="480" w:firstLineChars="200"/>
              <w:rPr>
                <w:rFonts w:cs="Times New Roman"/>
                <w:color w:val="auto"/>
                <w:sz w:val="24"/>
                <w:szCs w:val="24"/>
              </w:rPr>
            </w:pPr>
            <w:r>
              <w:rPr>
                <w:rFonts w:cs="Times New Roman"/>
                <w:color w:val="auto"/>
                <w:sz w:val="24"/>
                <w:szCs w:val="24"/>
              </w:rPr>
              <w:t>运营期污染物进入地下水环境的途径主要是危废暂存间及废水泄漏通过垂直渗透进入包气带，进入包气带的污染物在物理、化学和生物作用下经吸附、转化、迁移和分解后输入地下水，运营期因渗漏可能产生的污染地下水环节为污水管网、污水处理设施发生</w:t>
            </w:r>
            <w:r>
              <w:rPr>
                <w:rFonts w:hint="eastAsia" w:cs="Times New Roman"/>
                <w:color w:val="auto"/>
                <w:sz w:val="24"/>
                <w:szCs w:val="24"/>
                <w:lang w:eastAsia="zh-CN"/>
              </w:rPr>
              <w:t>“</w:t>
            </w:r>
            <w:r>
              <w:rPr>
                <w:rFonts w:cs="Times New Roman"/>
                <w:color w:val="auto"/>
                <w:sz w:val="24"/>
                <w:szCs w:val="24"/>
              </w:rPr>
              <w:t>跑、冒、滴、漏</w:t>
            </w:r>
            <w:r>
              <w:rPr>
                <w:rFonts w:hint="eastAsia" w:cs="Times New Roman"/>
                <w:color w:val="auto"/>
                <w:sz w:val="24"/>
                <w:szCs w:val="24"/>
                <w:lang w:eastAsia="zh-CN"/>
              </w:rPr>
              <w:t>”</w:t>
            </w:r>
            <w:r>
              <w:rPr>
                <w:rFonts w:cs="Times New Roman"/>
                <w:color w:val="auto"/>
                <w:sz w:val="24"/>
                <w:szCs w:val="24"/>
              </w:rPr>
              <w:t>使污染物进入地下水环境。</w:t>
            </w:r>
          </w:p>
          <w:p w14:paraId="3D15E755">
            <w:pPr>
              <w:spacing w:line="324" w:lineRule="auto"/>
              <w:ind w:firstLine="361" w:firstLineChars="150"/>
              <w:rPr>
                <w:rFonts w:cs="Times New Roman"/>
                <w:b/>
                <w:color w:val="auto"/>
                <w:sz w:val="24"/>
                <w:szCs w:val="24"/>
              </w:rPr>
            </w:pPr>
            <w:r>
              <w:rPr>
                <w:rFonts w:cs="Times New Roman"/>
                <w:b/>
                <w:color w:val="auto"/>
                <w:sz w:val="24"/>
                <w:szCs w:val="24"/>
              </w:rPr>
              <w:t>（2）防渗分区</w:t>
            </w:r>
          </w:p>
          <w:p w14:paraId="7AE2EB4E">
            <w:pPr>
              <w:spacing w:line="324" w:lineRule="auto"/>
              <w:ind w:firstLine="480" w:firstLineChars="200"/>
              <w:rPr>
                <w:rFonts w:cs="Times New Roman"/>
                <w:color w:val="auto"/>
                <w:sz w:val="24"/>
                <w:szCs w:val="24"/>
              </w:rPr>
            </w:pPr>
            <w:r>
              <w:rPr>
                <w:rFonts w:cs="Times New Roman"/>
                <w:color w:val="auto"/>
                <w:sz w:val="24"/>
                <w:szCs w:val="24"/>
              </w:rPr>
              <w:t>根据《环境影响评价技术导则 地下水环境》（HJ610-2016）防渗分区原则，将本项目</w:t>
            </w:r>
            <w:r>
              <w:rPr>
                <w:rFonts w:hint="eastAsia" w:cs="Times New Roman"/>
                <w:color w:val="auto"/>
                <w:sz w:val="24"/>
                <w:szCs w:val="24"/>
                <w:lang w:eastAsia="zh-CN"/>
              </w:rPr>
              <w:t>划分</w:t>
            </w:r>
            <w:r>
              <w:rPr>
                <w:rFonts w:cs="Times New Roman"/>
                <w:color w:val="auto"/>
                <w:sz w:val="24"/>
                <w:szCs w:val="24"/>
              </w:rPr>
              <w:t>为重点防渗区、一般防渗区和简单防渗区，划分区域如下：</w:t>
            </w:r>
          </w:p>
          <w:p w14:paraId="026257B9">
            <w:pPr>
              <w:spacing w:line="324" w:lineRule="auto"/>
              <w:ind w:firstLine="482" w:firstLineChars="200"/>
              <w:rPr>
                <w:rFonts w:cs="Times New Roman"/>
                <w:color w:val="auto"/>
                <w:sz w:val="24"/>
                <w:szCs w:val="24"/>
              </w:rPr>
            </w:pPr>
            <w:r>
              <w:rPr>
                <w:rFonts w:cs="Times New Roman"/>
                <w:b/>
                <w:bCs/>
                <w:color w:val="auto"/>
                <w:sz w:val="24"/>
                <w:szCs w:val="24"/>
              </w:rPr>
              <w:t>重点防渗区：</w:t>
            </w:r>
            <w:r>
              <w:rPr>
                <w:rFonts w:cs="Times New Roman"/>
                <w:color w:val="auto"/>
                <w:sz w:val="24"/>
                <w:szCs w:val="24"/>
              </w:rPr>
              <w:t>主要为</w:t>
            </w:r>
            <w:r>
              <w:rPr>
                <w:rFonts w:hint="eastAsia" w:cs="Times New Roman"/>
                <w:color w:val="auto"/>
                <w:sz w:val="24"/>
                <w:szCs w:val="24"/>
                <w:lang w:eastAsia="zh-CN"/>
              </w:rPr>
              <w:t>维修间、</w:t>
            </w:r>
            <w:r>
              <w:rPr>
                <w:rFonts w:cs="Times New Roman"/>
                <w:color w:val="auto"/>
                <w:sz w:val="24"/>
                <w:szCs w:val="24"/>
              </w:rPr>
              <w:t>危废暂存间。危废暂存间防渗技术要求为等效黏土防渗层M≧6.0m，K≤10</w:t>
            </w:r>
            <w:r>
              <w:rPr>
                <w:rFonts w:cs="Times New Roman"/>
                <w:color w:val="auto"/>
                <w:sz w:val="24"/>
                <w:szCs w:val="24"/>
                <w:vertAlign w:val="superscript"/>
              </w:rPr>
              <w:t>-10</w:t>
            </w:r>
            <w:r>
              <w:rPr>
                <w:rFonts w:cs="Times New Roman"/>
                <w:color w:val="auto"/>
                <w:sz w:val="24"/>
                <w:szCs w:val="24"/>
              </w:rPr>
              <w:t>cm/s的要求。</w:t>
            </w:r>
          </w:p>
          <w:p w14:paraId="64573DE4">
            <w:pPr>
              <w:spacing w:line="324" w:lineRule="auto"/>
              <w:ind w:firstLine="482" w:firstLineChars="200"/>
              <w:rPr>
                <w:rFonts w:cs="Times New Roman"/>
                <w:color w:val="auto"/>
                <w:sz w:val="24"/>
                <w:szCs w:val="24"/>
              </w:rPr>
            </w:pPr>
            <w:r>
              <w:rPr>
                <w:rFonts w:cs="Times New Roman"/>
                <w:b/>
                <w:bCs/>
                <w:color w:val="auto"/>
                <w:sz w:val="24"/>
                <w:szCs w:val="24"/>
              </w:rPr>
              <w:t>一般防渗区：</w:t>
            </w:r>
            <w:r>
              <w:rPr>
                <w:rFonts w:cs="Times New Roman"/>
                <w:color w:val="auto"/>
                <w:sz w:val="24"/>
                <w:szCs w:val="24"/>
              </w:rPr>
              <w:t>包括生产车间、</w:t>
            </w:r>
            <w:r>
              <w:rPr>
                <w:rFonts w:hint="eastAsia" w:cs="Times New Roman"/>
                <w:color w:val="auto"/>
                <w:sz w:val="24"/>
                <w:szCs w:val="24"/>
              </w:rPr>
              <w:t>沉淀池</w:t>
            </w:r>
            <w:r>
              <w:rPr>
                <w:rFonts w:cs="Times New Roman"/>
                <w:color w:val="auto"/>
                <w:sz w:val="24"/>
                <w:szCs w:val="24"/>
              </w:rPr>
              <w:t>、</w:t>
            </w:r>
            <w:r>
              <w:rPr>
                <w:rFonts w:hint="eastAsia" w:cs="Times New Roman"/>
                <w:color w:val="auto"/>
                <w:sz w:val="24"/>
                <w:szCs w:val="24"/>
                <w:lang w:eastAsia="zh-CN"/>
              </w:rPr>
              <w:t>泥饼暂存场</w:t>
            </w:r>
            <w:r>
              <w:rPr>
                <w:rFonts w:cs="Times New Roman"/>
                <w:color w:val="auto"/>
                <w:sz w:val="24"/>
                <w:szCs w:val="24"/>
              </w:rPr>
              <w:t>，防渗技术要求为等效粘土防渗层Mb≥1.5m，K≤10</w:t>
            </w:r>
            <w:r>
              <w:rPr>
                <w:rFonts w:cs="Times New Roman"/>
                <w:color w:val="auto"/>
                <w:sz w:val="24"/>
                <w:szCs w:val="24"/>
                <w:vertAlign w:val="superscript"/>
              </w:rPr>
              <w:t>-7</w:t>
            </w:r>
            <w:r>
              <w:rPr>
                <w:rFonts w:cs="Times New Roman"/>
                <w:color w:val="auto"/>
                <w:sz w:val="24"/>
                <w:szCs w:val="24"/>
              </w:rPr>
              <w:t>cm/s。</w:t>
            </w:r>
          </w:p>
          <w:p w14:paraId="29C674A3">
            <w:pPr>
              <w:spacing w:line="324" w:lineRule="auto"/>
              <w:ind w:firstLine="482" w:firstLineChars="200"/>
              <w:rPr>
                <w:rFonts w:cs="Times New Roman"/>
                <w:color w:val="auto"/>
                <w:sz w:val="24"/>
                <w:szCs w:val="24"/>
              </w:rPr>
            </w:pPr>
            <w:r>
              <w:rPr>
                <w:rFonts w:cs="Times New Roman"/>
                <w:b/>
                <w:bCs/>
                <w:color w:val="auto"/>
                <w:sz w:val="24"/>
                <w:szCs w:val="24"/>
              </w:rPr>
              <w:t>简单防渗区：</w:t>
            </w:r>
            <w:r>
              <w:rPr>
                <w:rFonts w:cs="Times New Roman"/>
                <w:color w:val="auto"/>
                <w:sz w:val="24"/>
                <w:szCs w:val="24"/>
              </w:rPr>
              <w:t>厂区道路、成品堆场、原料堆场、办公区及除重点、一般防渗区以外的区域采用水泥硬化。</w:t>
            </w:r>
          </w:p>
          <w:p w14:paraId="592FD0DB">
            <w:pPr>
              <w:spacing w:line="336" w:lineRule="auto"/>
              <w:ind w:firstLine="361" w:firstLineChars="150"/>
              <w:rPr>
                <w:rFonts w:cs="Times New Roman"/>
                <w:b/>
                <w:color w:val="auto"/>
                <w:sz w:val="24"/>
                <w:szCs w:val="24"/>
              </w:rPr>
            </w:pPr>
            <w:r>
              <w:rPr>
                <w:rFonts w:cs="Times New Roman"/>
                <w:b/>
                <w:color w:val="auto"/>
                <w:sz w:val="24"/>
                <w:szCs w:val="24"/>
              </w:rPr>
              <w:t>（3）防控措施</w:t>
            </w:r>
          </w:p>
          <w:p w14:paraId="039E350B">
            <w:pPr>
              <w:spacing w:line="336" w:lineRule="auto"/>
              <w:ind w:firstLine="480" w:firstLineChars="200"/>
              <w:rPr>
                <w:rFonts w:cs="Times New Roman"/>
                <w:color w:val="auto"/>
                <w:sz w:val="24"/>
                <w:szCs w:val="24"/>
              </w:rPr>
            </w:pPr>
            <w:r>
              <w:rPr>
                <w:rFonts w:cs="Times New Roman"/>
                <w:color w:val="auto"/>
                <w:sz w:val="24"/>
                <w:szCs w:val="24"/>
              </w:rPr>
              <w:t>本项目采取的分区防渗措施见下表。</w:t>
            </w:r>
          </w:p>
          <w:p w14:paraId="435B3CAA">
            <w:pPr>
              <w:spacing w:line="360" w:lineRule="auto"/>
              <w:jc w:val="center"/>
              <w:rPr>
                <w:rFonts w:cs="Times New Roman"/>
                <w:b/>
                <w:color w:val="auto"/>
                <w:sz w:val="24"/>
                <w:szCs w:val="24"/>
              </w:rPr>
            </w:pPr>
            <w:r>
              <w:rPr>
                <w:rFonts w:cs="Times New Roman"/>
                <w:b/>
                <w:color w:val="auto"/>
                <w:sz w:val="24"/>
                <w:szCs w:val="24"/>
              </w:rPr>
              <w:t>表4-1</w:t>
            </w:r>
            <w:r>
              <w:rPr>
                <w:rFonts w:hint="eastAsia" w:cs="Times New Roman"/>
                <w:b/>
                <w:color w:val="auto"/>
                <w:sz w:val="24"/>
                <w:szCs w:val="24"/>
                <w:lang w:val="en-US" w:eastAsia="zh-CN"/>
              </w:rPr>
              <w:t>7</w:t>
            </w:r>
            <w:r>
              <w:rPr>
                <w:rFonts w:cs="Times New Roman"/>
                <w:b/>
                <w:color w:val="auto"/>
                <w:sz w:val="24"/>
                <w:szCs w:val="24"/>
              </w:rPr>
              <w:t xml:space="preserve"> 本项目地下水防渗分区表</w:t>
            </w:r>
          </w:p>
          <w:tbl>
            <w:tblPr>
              <w:tblStyle w:val="24"/>
              <w:tblW w:w="4931"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57" w:type="dxa"/>
                <w:bottom w:w="0" w:type="dxa"/>
                <w:right w:w="57" w:type="dxa"/>
              </w:tblCellMar>
            </w:tblPr>
            <w:tblGrid>
              <w:gridCol w:w="455"/>
              <w:gridCol w:w="1983"/>
              <w:gridCol w:w="918"/>
              <w:gridCol w:w="2528"/>
              <w:gridCol w:w="1004"/>
              <w:gridCol w:w="732"/>
              <w:gridCol w:w="1084"/>
            </w:tblGrid>
            <w:tr w14:paraId="14D4AAF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9" w:hRule="atLeast"/>
                <w:tblHeader/>
                <w:jc w:val="center"/>
              </w:trPr>
              <w:tc>
                <w:tcPr>
                  <w:tcW w:w="262" w:type="pct"/>
                  <w:tcBorders>
                    <w:tl2br w:val="nil"/>
                    <w:tr2bl w:val="nil"/>
                  </w:tcBorders>
                  <w:shd w:val="clear" w:color="000000" w:themeColor="text1" w:fill="auto"/>
                  <w:vAlign w:val="center"/>
                </w:tcPr>
                <w:p w14:paraId="44F772E2">
                  <w:pPr>
                    <w:spacing w:line="280" w:lineRule="exact"/>
                    <w:jc w:val="center"/>
                    <w:rPr>
                      <w:rFonts w:cs="Times New Roman"/>
                      <w:b/>
                      <w:bCs/>
                      <w:color w:val="auto"/>
                      <w:sz w:val="21"/>
                      <w:szCs w:val="21"/>
                    </w:rPr>
                  </w:pPr>
                  <w:r>
                    <w:rPr>
                      <w:rFonts w:cs="Times New Roman"/>
                      <w:b/>
                      <w:bCs/>
                      <w:color w:val="auto"/>
                      <w:sz w:val="21"/>
                      <w:szCs w:val="21"/>
                    </w:rPr>
                    <w:t>序号</w:t>
                  </w:r>
                </w:p>
              </w:tc>
              <w:tc>
                <w:tcPr>
                  <w:tcW w:w="1138" w:type="pct"/>
                  <w:tcBorders>
                    <w:tl2br w:val="nil"/>
                    <w:tr2bl w:val="nil"/>
                  </w:tcBorders>
                  <w:shd w:val="clear" w:color="000000" w:themeColor="text1" w:fill="auto"/>
                  <w:vAlign w:val="center"/>
                </w:tcPr>
                <w:p w14:paraId="0276DCAC">
                  <w:pPr>
                    <w:spacing w:line="280" w:lineRule="exact"/>
                    <w:jc w:val="center"/>
                    <w:rPr>
                      <w:rFonts w:cs="Times New Roman"/>
                      <w:b/>
                      <w:bCs/>
                      <w:color w:val="auto"/>
                      <w:sz w:val="21"/>
                      <w:szCs w:val="21"/>
                    </w:rPr>
                  </w:pPr>
                  <w:r>
                    <w:rPr>
                      <w:rFonts w:cs="Times New Roman"/>
                      <w:b/>
                      <w:bCs/>
                      <w:color w:val="auto"/>
                      <w:sz w:val="21"/>
                      <w:szCs w:val="21"/>
                    </w:rPr>
                    <w:t>车间名称</w:t>
                  </w:r>
                </w:p>
              </w:tc>
              <w:tc>
                <w:tcPr>
                  <w:tcW w:w="527" w:type="pct"/>
                  <w:tcBorders>
                    <w:tl2br w:val="nil"/>
                    <w:tr2bl w:val="nil"/>
                  </w:tcBorders>
                  <w:shd w:val="clear" w:color="000000" w:themeColor="text1" w:fill="auto"/>
                  <w:vAlign w:val="center"/>
                </w:tcPr>
                <w:p w14:paraId="066DAB5E">
                  <w:pPr>
                    <w:spacing w:line="280" w:lineRule="exact"/>
                    <w:jc w:val="center"/>
                    <w:rPr>
                      <w:rFonts w:cs="Times New Roman"/>
                      <w:b/>
                      <w:bCs/>
                      <w:color w:val="auto"/>
                      <w:sz w:val="21"/>
                      <w:szCs w:val="21"/>
                    </w:rPr>
                  </w:pPr>
                  <w:r>
                    <w:rPr>
                      <w:rFonts w:cs="Times New Roman"/>
                      <w:b/>
                      <w:bCs/>
                      <w:color w:val="auto"/>
                      <w:sz w:val="21"/>
                      <w:szCs w:val="21"/>
                    </w:rPr>
                    <w:t>分区类别</w:t>
                  </w:r>
                </w:p>
              </w:tc>
              <w:tc>
                <w:tcPr>
                  <w:tcW w:w="1451" w:type="pct"/>
                  <w:tcBorders>
                    <w:tl2br w:val="nil"/>
                    <w:tr2bl w:val="nil"/>
                  </w:tcBorders>
                  <w:shd w:val="clear" w:color="000000" w:themeColor="text1" w:fill="auto"/>
                  <w:vAlign w:val="center"/>
                </w:tcPr>
                <w:p w14:paraId="795C1F77">
                  <w:pPr>
                    <w:spacing w:line="280" w:lineRule="exact"/>
                    <w:jc w:val="center"/>
                    <w:rPr>
                      <w:rFonts w:cs="Times New Roman"/>
                      <w:b/>
                      <w:bCs/>
                      <w:color w:val="auto"/>
                      <w:sz w:val="21"/>
                      <w:szCs w:val="21"/>
                    </w:rPr>
                  </w:pPr>
                  <w:r>
                    <w:rPr>
                      <w:rFonts w:cs="Times New Roman"/>
                      <w:b/>
                      <w:bCs/>
                      <w:color w:val="auto"/>
                      <w:sz w:val="21"/>
                      <w:szCs w:val="21"/>
                    </w:rPr>
                    <w:t>防渗要求</w:t>
                  </w:r>
                </w:p>
              </w:tc>
              <w:tc>
                <w:tcPr>
                  <w:tcW w:w="576" w:type="pct"/>
                  <w:tcBorders>
                    <w:tl2br w:val="nil"/>
                    <w:tr2bl w:val="nil"/>
                  </w:tcBorders>
                  <w:shd w:val="clear" w:color="000000" w:themeColor="text1" w:fill="auto"/>
                  <w:vAlign w:val="center"/>
                </w:tcPr>
                <w:p w14:paraId="4F6FF778">
                  <w:pPr>
                    <w:spacing w:line="280" w:lineRule="exact"/>
                    <w:jc w:val="center"/>
                    <w:rPr>
                      <w:rFonts w:cs="Times New Roman"/>
                      <w:b/>
                      <w:bCs/>
                      <w:color w:val="auto"/>
                      <w:sz w:val="21"/>
                      <w:szCs w:val="21"/>
                    </w:rPr>
                  </w:pPr>
                  <w:r>
                    <w:rPr>
                      <w:rFonts w:cs="Times New Roman"/>
                      <w:b/>
                      <w:bCs/>
                      <w:color w:val="auto"/>
                      <w:sz w:val="21"/>
                      <w:szCs w:val="21"/>
                    </w:rPr>
                    <w:t>已采取措施</w:t>
                  </w:r>
                </w:p>
              </w:tc>
              <w:tc>
                <w:tcPr>
                  <w:tcW w:w="420" w:type="pct"/>
                  <w:tcBorders>
                    <w:tl2br w:val="nil"/>
                    <w:tr2bl w:val="nil"/>
                  </w:tcBorders>
                  <w:shd w:val="clear" w:color="000000" w:themeColor="text1" w:fill="auto"/>
                  <w:vAlign w:val="center"/>
                </w:tcPr>
                <w:p w14:paraId="69A5CAA9">
                  <w:pPr>
                    <w:spacing w:line="280" w:lineRule="exact"/>
                    <w:jc w:val="center"/>
                    <w:rPr>
                      <w:rFonts w:cs="Times New Roman"/>
                      <w:b/>
                      <w:bCs/>
                      <w:color w:val="auto"/>
                      <w:sz w:val="21"/>
                      <w:szCs w:val="21"/>
                    </w:rPr>
                  </w:pPr>
                  <w:r>
                    <w:rPr>
                      <w:rFonts w:cs="Times New Roman"/>
                      <w:b/>
                      <w:bCs/>
                      <w:color w:val="auto"/>
                      <w:sz w:val="21"/>
                      <w:szCs w:val="21"/>
                    </w:rPr>
                    <w:t>是否满足要求</w:t>
                  </w:r>
                </w:p>
              </w:tc>
              <w:tc>
                <w:tcPr>
                  <w:tcW w:w="622" w:type="pct"/>
                  <w:tcBorders>
                    <w:tl2br w:val="nil"/>
                    <w:tr2bl w:val="nil"/>
                  </w:tcBorders>
                  <w:shd w:val="clear" w:color="000000" w:themeColor="text1" w:fill="auto"/>
                  <w:vAlign w:val="center"/>
                </w:tcPr>
                <w:p w14:paraId="1535487C">
                  <w:pPr>
                    <w:spacing w:line="280" w:lineRule="exact"/>
                    <w:jc w:val="center"/>
                    <w:rPr>
                      <w:rFonts w:cs="Times New Roman"/>
                      <w:b/>
                      <w:bCs/>
                      <w:color w:val="auto"/>
                      <w:sz w:val="21"/>
                      <w:szCs w:val="21"/>
                    </w:rPr>
                  </w:pPr>
                  <w:r>
                    <w:rPr>
                      <w:rFonts w:cs="Times New Roman"/>
                      <w:b/>
                      <w:bCs/>
                      <w:color w:val="auto"/>
                      <w:sz w:val="21"/>
                      <w:szCs w:val="21"/>
                    </w:rPr>
                    <w:t>整改措施</w:t>
                  </w:r>
                </w:p>
              </w:tc>
            </w:tr>
            <w:tr w14:paraId="62C8CF2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8" w:hRule="atLeast"/>
                <w:jc w:val="center"/>
              </w:trPr>
              <w:tc>
                <w:tcPr>
                  <w:tcW w:w="262" w:type="pct"/>
                  <w:tcBorders>
                    <w:tl2br w:val="nil"/>
                    <w:tr2bl w:val="nil"/>
                  </w:tcBorders>
                  <w:vAlign w:val="center"/>
                </w:tcPr>
                <w:p w14:paraId="2FEB2724">
                  <w:pPr>
                    <w:spacing w:line="280" w:lineRule="exact"/>
                    <w:jc w:val="center"/>
                    <w:rPr>
                      <w:rFonts w:cs="Times New Roman"/>
                      <w:color w:val="auto"/>
                      <w:sz w:val="21"/>
                      <w:szCs w:val="21"/>
                    </w:rPr>
                  </w:pPr>
                  <w:r>
                    <w:rPr>
                      <w:rFonts w:cs="Times New Roman"/>
                      <w:color w:val="auto"/>
                      <w:sz w:val="21"/>
                      <w:szCs w:val="21"/>
                    </w:rPr>
                    <w:t>1</w:t>
                  </w:r>
                </w:p>
              </w:tc>
              <w:tc>
                <w:tcPr>
                  <w:tcW w:w="1138" w:type="pct"/>
                  <w:tcBorders>
                    <w:tl2br w:val="nil"/>
                    <w:tr2bl w:val="nil"/>
                  </w:tcBorders>
                  <w:shd w:val="clear" w:color="auto" w:fill="auto"/>
                  <w:vAlign w:val="center"/>
                </w:tcPr>
                <w:p w14:paraId="5168C989">
                  <w:pPr>
                    <w:spacing w:line="280" w:lineRule="exact"/>
                    <w:jc w:val="center"/>
                    <w:rPr>
                      <w:rFonts w:hint="eastAsia" w:eastAsia="宋体" w:cs="Times New Roman"/>
                      <w:color w:val="auto"/>
                      <w:sz w:val="21"/>
                      <w:szCs w:val="21"/>
                      <w:lang w:eastAsia="zh-CN" w:bidi="ar"/>
                    </w:rPr>
                  </w:pPr>
                  <w:r>
                    <w:rPr>
                      <w:rFonts w:cs="Times New Roman"/>
                      <w:color w:val="auto"/>
                      <w:sz w:val="21"/>
                      <w:szCs w:val="21"/>
                      <w:lang w:bidi="ar"/>
                    </w:rPr>
                    <w:t>危废暂存间</w:t>
                  </w:r>
                  <w:r>
                    <w:rPr>
                      <w:rFonts w:hint="eastAsia" w:cs="Times New Roman"/>
                      <w:color w:val="auto"/>
                      <w:sz w:val="21"/>
                      <w:szCs w:val="21"/>
                      <w:lang w:eastAsia="zh-CN" w:bidi="ar"/>
                    </w:rPr>
                    <w:t>、维修间</w:t>
                  </w:r>
                </w:p>
              </w:tc>
              <w:tc>
                <w:tcPr>
                  <w:tcW w:w="527" w:type="pct"/>
                  <w:tcBorders>
                    <w:tl2br w:val="nil"/>
                    <w:tr2bl w:val="nil"/>
                  </w:tcBorders>
                  <w:shd w:val="clear" w:color="auto" w:fill="auto"/>
                  <w:vAlign w:val="center"/>
                </w:tcPr>
                <w:p w14:paraId="09487DC6">
                  <w:pPr>
                    <w:spacing w:line="280" w:lineRule="exact"/>
                    <w:jc w:val="center"/>
                    <w:rPr>
                      <w:rFonts w:cs="Times New Roman"/>
                      <w:color w:val="auto"/>
                      <w:sz w:val="21"/>
                      <w:szCs w:val="21"/>
                    </w:rPr>
                  </w:pPr>
                  <w:r>
                    <w:rPr>
                      <w:rFonts w:cs="Times New Roman"/>
                      <w:color w:val="auto"/>
                      <w:sz w:val="21"/>
                      <w:szCs w:val="21"/>
                    </w:rPr>
                    <w:t>重点防渗</w:t>
                  </w:r>
                </w:p>
              </w:tc>
              <w:tc>
                <w:tcPr>
                  <w:tcW w:w="1451" w:type="pct"/>
                  <w:tcBorders>
                    <w:tl2br w:val="nil"/>
                    <w:tr2bl w:val="nil"/>
                  </w:tcBorders>
                  <w:shd w:val="clear" w:color="auto" w:fill="auto"/>
                  <w:vAlign w:val="center"/>
                </w:tcPr>
                <w:p w14:paraId="095AAD31">
                  <w:pPr>
                    <w:spacing w:line="280" w:lineRule="exact"/>
                    <w:jc w:val="center"/>
                    <w:rPr>
                      <w:rFonts w:cs="Times New Roman"/>
                      <w:color w:val="auto"/>
                      <w:sz w:val="21"/>
                      <w:szCs w:val="21"/>
                    </w:rPr>
                  </w:pPr>
                  <w:r>
                    <w:rPr>
                      <w:rFonts w:cs="Times New Roman"/>
                      <w:color w:val="auto"/>
                      <w:sz w:val="21"/>
                      <w:szCs w:val="21"/>
                    </w:rPr>
                    <w:t>15mm厚的防渗混凝土+高密度聚乙烯膜，达到等效黏土防渗层M≧6.0m，K≤10</w:t>
                  </w:r>
                  <w:r>
                    <w:rPr>
                      <w:rFonts w:cs="Times New Roman"/>
                      <w:color w:val="auto"/>
                      <w:sz w:val="21"/>
                      <w:szCs w:val="21"/>
                      <w:vertAlign w:val="superscript"/>
                    </w:rPr>
                    <w:t>-10</w:t>
                  </w:r>
                  <w:r>
                    <w:rPr>
                      <w:rFonts w:cs="Times New Roman"/>
                      <w:color w:val="auto"/>
                      <w:sz w:val="21"/>
                      <w:szCs w:val="21"/>
                    </w:rPr>
                    <w:t>cm/s的要求</w:t>
                  </w:r>
                </w:p>
              </w:tc>
              <w:tc>
                <w:tcPr>
                  <w:tcW w:w="576" w:type="pct"/>
                  <w:tcBorders>
                    <w:tl2br w:val="nil"/>
                    <w:tr2bl w:val="nil"/>
                  </w:tcBorders>
                  <w:shd w:val="clear" w:color="auto" w:fill="auto"/>
                  <w:vAlign w:val="center"/>
                </w:tcPr>
                <w:p w14:paraId="5251F71D">
                  <w:pPr>
                    <w:spacing w:line="280" w:lineRule="exact"/>
                    <w:jc w:val="center"/>
                    <w:rPr>
                      <w:rFonts w:cs="Times New Roman"/>
                      <w:color w:val="auto"/>
                      <w:sz w:val="21"/>
                      <w:szCs w:val="21"/>
                    </w:rPr>
                  </w:pPr>
                  <w:r>
                    <w:rPr>
                      <w:rFonts w:hint="eastAsia" w:cs="Times New Roman"/>
                      <w:color w:val="auto"/>
                      <w:sz w:val="21"/>
                      <w:szCs w:val="21"/>
                    </w:rPr>
                    <w:t>无</w:t>
                  </w:r>
                </w:p>
              </w:tc>
              <w:tc>
                <w:tcPr>
                  <w:tcW w:w="420" w:type="pct"/>
                  <w:tcBorders>
                    <w:tl2br w:val="nil"/>
                    <w:tr2bl w:val="nil"/>
                  </w:tcBorders>
                  <w:vAlign w:val="center"/>
                </w:tcPr>
                <w:p w14:paraId="606B7A2D">
                  <w:pPr>
                    <w:spacing w:line="280" w:lineRule="exact"/>
                    <w:jc w:val="center"/>
                    <w:rPr>
                      <w:rFonts w:cs="Times New Roman"/>
                      <w:color w:val="auto"/>
                      <w:sz w:val="21"/>
                      <w:szCs w:val="21"/>
                    </w:rPr>
                  </w:pPr>
                  <w:r>
                    <w:rPr>
                      <w:rFonts w:hint="eastAsia" w:cs="Times New Roman"/>
                      <w:color w:val="auto"/>
                      <w:sz w:val="21"/>
                      <w:szCs w:val="21"/>
                    </w:rPr>
                    <w:t>否</w:t>
                  </w:r>
                </w:p>
              </w:tc>
              <w:tc>
                <w:tcPr>
                  <w:tcW w:w="622" w:type="pct"/>
                  <w:tcBorders>
                    <w:tl2br w:val="nil"/>
                    <w:tr2bl w:val="nil"/>
                  </w:tcBorders>
                  <w:vAlign w:val="center"/>
                </w:tcPr>
                <w:p w14:paraId="7039FC42">
                  <w:pPr>
                    <w:spacing w:line="280" w:lineRule="exact"/>
                    <w:jc w:val="center"/>
                    <w:rPr>
                      <w:rFonts w:cs="Times New Roman"/>
                      <w:color w:val="auto"/>
                      <w:sz w:val="21"/>
                      <w:szCs w:val="21"/>
                    </w:rPr>
                  </w:pPr>
                  <w:r>
                    <w:rPr>
                      <w:rFonts w:cs="Times New Roman"/>
                      <w:color w:val="auto"/>
                      <w:sz w:val="21"/>
                      <w:szCs w:val="21"/>
                    </w:rPr>
                    <w:t>20mm厚的防渗混凝土+2mm环氧漆</w:t>
                  </w:r>
                </w:p>
              </w:tc>
            </w:tr>
            <w:tr w14:paraId="3E38DC6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8" w:hRule="atLeast"/>
                <w:jc w:val="center"/>
              </w:trPr>
              <w:tc>
                <w:tcPr>
                  <w:tcW w:w="262" w:type="pct"/>
                  <w:tcBorders>
                    <w:tl2br w:val="nil"/>
                    <w:tr2bl w:val="nil"/>
                  </w:tcBorders>
                  <w:vAlign w:val="center"/>
                </w:tcPr>
                <w:p w14:paraId="12BE98F1">
                  <w:pPr>
                    <w:spacing w:line="280" w:lineRule="exact"/>
                    <w:jc w:val="center"/>
                    <w:rPr>
                      <w:rFonts w:hint="eastAsia" w:eastAsia="宋体" w:cs="Times New Roman"/>
                      <w:color w:val="auto"/>
                      <w:sz w:val="21"/>
                      <w:szCs w:val="21"/>
                      <w:lang w:val="en-US" w:eastAsia="zh-CN"/>
                    </w:rPr>
                  </w:pPr>
                  <w:r>
                    <w:rPr>
                      <w:rFonts w:hint="eastAsia" w:cs="Times New Roman"/>
                      <w:color w:val="auto"/>
                      <w:sz w:val="21"/>
                      <w:szCs w:val="21"/>
                      <w:lang w:val="en-US" w:eastAsia="zh-CN"/>
                    </w:rPr>
                    <w:t>2</w:t>
                  </w:r>
                </w:p>
              </w:tc>
              <w:tc>
                <w:tcPr>
                  <w:tcW w:w="1138" w:type="pct"/>
                  <w:tcBorders>
                    <w:tl2br w:val="nil"/>
                    <w:tr2bl w:val="nil"/>
                  </w:tcBorders>
                  <w:shd w:val="clear" w:color="auto" w:fill="auto"/>
                  <w:vAlign w:val="center"/>
                </w:tcPr>
                <w:p w14:paraId="6E73ED52">
                  <w:pPr>
                    <w:spacing w:line="280" w:lineRule="exact"/>
                    <w:jc w:val="center"/>
                    <w:rPr>
                      <w:rFonts w:hint="eastAsia" w:eastAsia="宋体" w:cs="Times New Roman"/>
                      <w:color w:val="auto"/>
                      <w:sz w:val="21"/>
                      <w:szCs w:val="21"/>
                      <w:lang w:eastAsia="zh-CN" w:bidi="ar"/>
                    </w:rPr>
                  </w:pPr>
                  <w:r>
                    <w:rPr>
                      <w:rFonts w:cs="Times New Roman"/>
                      <w:color w:val="auto"/>
                      <w:sz w:val="21"/>
                      <w:szCs w:val="21"/>
                      <w:lang w:bidi="ar"/>
                    </w:rPr>
                    <w:t>生产车间、沉淀池、</w:t>
                  </w:r>
                  <w:r>
                    <w:rPr>
                      <w:rFonts w:hint="eastAsia" w:cs="Times New Roman"/>
                      <w:color w:val="auto"/>
                      <w:sz w:val="21"/>
                      <w:szCs w:val="21"/>
                      <w:lang w:eastAsia="zh-CN" w:bidi="ar"/>
                    </w:rPr>
                    <w:t>泥饼暂存场</w:t>
                  </w:r>
                </w:p>
              </w:tc>
              <w:tc>
                <w:tcPr>
                  <w:tcW w:w="527" w:type="pct"/>
                  <w:tcBorders>
                    <w:tl2br w:val="nil"/>
                    <w:tr2bl w:val="nil"/>
                  </w:tcBorders>
                  <w:shd w:val="clear" w:color="auto" w:fill="auto"/>
                  <w:vAlign w:val="center"/>
                </w:tcPr>
                <w:p w14:paraId="745CCCF5">
                  <w:pPr>
                    <w:spacing w:line="280" w:lineRule="exact"/>
                    <w:jc w:val="center"/>
                    <w:rPr>
                      <w:rFonts w:cs="Times New Roman"/>
                      <w:color w:val="auto"/>
                      <w:sz w:val="21"/>
                      <w:szCs w:val="21"/>
                    </w:rPr>
                  </w:pPr>
                  <w:r>
                    <w:rPr>
                      <w:rFonts w:cs="Times New Roman"/>
                      <w:color w:val="auto"/>
                      <w:sz w:val="21"/>
                      <w:szCs w:val="21"/>
                    </w:rPr>
                    <w:t>一般防渗</w:t>
                  </w:r>
                </w:p>
              </w:tc>
              <w:tc>
                <w:tcPr>
                  <w:tcW w:w="1451" w:type="pct"/>
                  <w:tcBorders>
                    <w:tl2br w:val="nil"/>
                    <w:tr2bl w:val="nil"/>
                  </w:tcBorders>
                  <w:shd w:val="clear" w:color="auto" w:fill="auto"/>
                  <w:vAlign w:val="center"/>
                </w:tcPr>
                <w:p w14:paraId="56F41538">
                  <w:pPr>
                    <w:spacing w:line="280" w:lineRule="exact"/>
                    <w:jc w:val="center"/>
                    <w:rPr>
                      <w:rFonts w:cs="Times New Roman"/>
                      <w:color w:val="auto"/>
                      <w:sz w:val="21"/>
                      <w:szCs w:val="21"/>
                    </w:rPr>
                  </w:pPr>
                  <w:r>
                    <w:rPr>
                      <w:rFonts w:cs="Times New Roman"/>
                      <w:color w:val="auto"/>
                      <w:sz w:val="21"/>
                      <w:szCs w:val="21"/>
                    </w:rPr>
                    <w:t>生产区域采用水泥砂浆防腐防渗处理，满足等效黏土防渗层Mb≥1.50m、防渗层渗透系数K≤1.0×10</w:t>
                  </w:r>
                  <w:r>
                    <w:rPr>
                      <w:rFonts w:cs="Times New Roman"/>
                      <w:color w:val="auto"/>
                      <w:sz w:val="21"/>
                      <w:szCs w:val="21"/>
                      <w:vertAlign w:val="superscript"/>
                    </w:rPr>
                    <w:t>-7</w:t>
                  </w:r>
                  <w:r>
                    <w:rPr>
                      <w:rFonts w:cs="Times New Roman"/>
                      <w:color w:val="auto"/>
                      <w:sz w:val="21"/>
                      <w:szCs w:val="21"/>
                    </w:rPr>
                    <w:t>cm/s的要求</w:t>
                  </w:r>
                </w:p>
              </w:tc>
              <w:tc>
                <w:tcPr>
                  <w:tcW w:w="576" w:type="pct"/>
                  <w:tcBorders>
                    <w:tl2br w:val="nil"/>
                    <w:tr2bl w:val="nil"/>
                  </w:tcBorders>
                  <w:shd w:val="clear" w:color="auto" w:fill="auto"/>
                  <w:vAlign w:val="center"/>
                </w:tcPr>
                <w:p w14:paraId="4DC00A7C">
                  <w:pPr>
                    <w:spacing w:line="280" w:lineRule="exact"/>
                    <w:jc w:val="center"/>
                    <w:rPr>
                      <w:rFonts w:cs="Times New Roman"/>
                      <w:color w:val="auto"/>
                      <w:sz w:val="21"/>
                      <w:szCs w:val="21"/>
                    </w:rPr>
                  </w:pPr>
                  <w:r>
                    <w:rPr>
                      <w:rFonts w:cs="Times New Roman"/>
                      <w:color w:val="auto"/>
                      <w:sz w:val="21"/>
                      <w:szCs w:val="21"/>
                      <w:lang w:bidi="ar"/>
                    </w:rPr>
                    <w:t>25cmC30防渗混凝土</w:t>
                  </w:r>
                </w:p>
              </w:tc>
              <w:tc>
                <w:tcPr>
                  <w:tcW w:w="420" w:type="pct"/>
                  <w:tcBorders>
                    <w:tl2br w:val="nil"/>
                    <w:tr2bl w:val="nil"/>
                  </w:tcBorders>
                  <w:vAlign w:val="center"/>
                </w:tcPr>
                <w:p w14:paraId="4DD8DCA6">
                  <w:pPr>
                    <w:spacing w:line="280" w:lineRule="exact"/>
                    <w:jc w:val="center"/>
                    <w:rPr>
                      <w:rFonts w:cs="Times New Roman"/>
                      <w:color w:val="auto"/>
                      <w:sz w:val="21"/>
                      <w:szCs w:val="21"/>
                    </w:rPr>
                  </w:pPr>
                  <w:r>
                    <w:rPr>
                      <w:rFonts w:cs="Times New Roman"/>
                      <w:color w:val="auto"/>
                      <w:sz w:val="21"/>
                      <w:szCs w:val="21"/>
                    </w:rPr>
                    <w:t>是</w:t>
                  </w:r>
                </w:p>
              </w:tc>
              <w:tc>
                <w:tcPr>
                  <w:tcW w:w="622" w:type="pct"/>
                  <w:tcBorders>
                    <w:tl2br w:val="nil"/>
                    <w:tr2bl w:val="nil"/>
                  </w:tcBorders>
                  <w:vAlign w:val="center"/>
                </w:tcPr>
                <w:p w14:paraId="31224F64">
                  <w:pPr>
                    <w:spacing w:line="280" w:lineRule="exact"/>
                    <w:jc w:val="center"/>
                    <w:rPr>
                      <w:rFonts w:cs="Times New Roman"/>
                      <w:color w:val="auto"/>
                      <w:sz w:val="21"/>
                      <w:szCs w:val="21"/>
                    </w:rPr>
                  </w:pPr>
                  <w:r>
                    <w:rPr>
                      <w:rFonts w:cs="Times New Roman"/>
                      <w:color w:val="auto"/>
                      <w:sz w:val="21"/>
                      <w:szCs w:val="21"/>
                    </w:rPr>
                    <w:t>无</w:t>
                  </w:r>
                </w:p>
              </w:tc>
            </w:tr>
            <w:tr w14:paraId="13BE4E8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98" w:hRule="atLeast"/>
                <w:jc w:val="center"/>
              </w:trPr>
              <w:tc>
                <w:tcPr>
                  <w:tcW w:w="262" w:type="pct"/>
                  <w:tcBorders>
                    <w:tl2br w:val="nil"/>
                    <w:tr2bl w:val="nil"/>
                  </w:tcBorders>
                  <w:vAlign w:val="center"/>
                </w:tcPr>
                <w:p w14:paraId="2B38EBF1">
                  <w:pPr>
                    <w:spacing w:line="280" w:lineRule="exact"/>
                    <w:jc w:val="center"/>
                    <w:rPr>
                      <w:rFonts w:hint="eastAsia" w:eastAsia="宋体" w:cs="Times New Roman"/>
                      <w:color w:val="auto"/>
                      <w:sz w:val="21"/>
                      <w:szCs w:val="21"/>
                      <w:lang w:val="en-US" w:eastAsia="zh-CN"/>
                    </w:rPr>
                  </w:pPr>
                  <w:r>
                    <w:rPr>
                      <w:rFonts w:hint="eastAsia" w:cs="Times New Roman"/>
                      <w:color w:val="auto"/>
                      <w:sz w:val="21"/>
                      <w:szCs w:val="21"/>
                      <w:lang w:val="en-US" w:eastAsia="zh-CN"/>
                    </w:rPr>
                    <w:t>3</w:t>
                  </w:r>
                </w:p>
              </w:tc>
              <w:tc>
                <w:tcPr>
                  <w:tcW w:w="1138" w:type="pct"/>
                  <w:tcBorders>
                    <w:tl2br w:val="nil"/>
                    <w:tr2bl w:val="nil"/>
                  </w:tcBorders>
                  <w:shd w:val="clear" w:color="auto" w:fill="auto"/>
                  <w:vAlign w:val="center"/>
                </w:tcPr>
                <w:p w14:paraId="381131B9">
                  <w:pPr>
                    <w:spacing w:line="280" w:lineRule="exact"/>
                    <w:jc w:val="center"/>
                    <w:rPr>
                      <w:rFonts w:cs="Times New Roman"/>
                      <w:color w:val="auto"/>
                      <w:sz w:val="21"/>
                      <w:szCs w:val="21"/>
                    </w:rPr>
                  </w:pPr>
                  <w:r>
                    <w:rPr>
                      <w:rFonts w:cs="Times New Roman"/>
                      <w:color w:val="auto"/>
                      <w:sz w:val="21"/>
                      <w:szCs w:val="21"/>
                    </w:rPr>
                    <w:t>办公区、成品堆场、原料堆场、厂区道路等</w:t>
                  </w:r>
                </w:p>
              </w:tc>
              <w:tc>
                <w:tcPr>
                  <w:tcW w:w="527" w:type="pct"/>
                  <w:tcBorders>
                    <w:tl2br w:val="nil"/>
                    <w:tr2bl w:val="nil"/>
                  </w:tcBorders>
                  <w:shd w:val="clear" w:color="auto" w:fill="auto"/>
                  <w:vAlign w:val="center"/>
                </w:tcPr>
                <w:p w14:paraId="59E10C1C">
                  <w:pPr>
                    <w:spacing w:line="280" w:lineRule="exact"/>
                    <w:jc w:val="center"/>
                    <w:rPr>
                      <w:rFonts w:cs="Times New Roman"/>
                      <w:color w:val="auto"/>
                      <w:sz w:val="21"/>
                      <w:szCs w:val="21"/>
                    </w:rPr>
                  </w:pPr>
                  <w:r>
                    <w:rPr>
                      <w:rFonts w:cs="Times New Roman"/>
                      <w:color w:val="auto"/>
                      <w:sz w:val="21"/>
                      <w:szCs w:val="21"/>
                    </w:rPr>
                    <w:t>简单防渗区</w:t>
                  </w:r>
                </w:p>
              </w:tc>
              <w:tc>
                <w:tcPr>
                  <w:tcW w:w="1451" w:type="pct"/>
                  <w:tcBorders>
                    <w:tl2br w:val="nil"/>
                    <w:tr2bl w:val="nil"/>
                  </w:tcBorders>
                  <w:shd w:val="clear" w:color="auto" w:fill="auto"/>
                  <w:vAlign w:val="center"/>
                </w:tcPr>
                <w:p w14:paraId="5C4AB6D7">
                  <w:pPr>
                    <w:spacing w:line="280" w:lineRule="exact"/>
                    <w:jc w:val="center"/>
                    <w:rPr>
                      <w:rFonts w:cs="Times New Roman"/>
                      <w:color w:val="auto"/>
                      <w:sz w:val="21"/>
                      <w:szCs w:val="21"/>
                    </w:rPr>
                  </w:pPr>
                  <w:r>
                    <w:rPr>
                      <w:rFonts w:cs="Times New Roman"/>
                      <w:color w:val="auto"/>
                      <w:sz w:val="21"/>
                      <w:szCs w:val="21"/>
                    </w:rPr>
                    <w:t>水泥硬化</w:t>
                  </w:r>
                </w:p>
              </w:tc>
              <w:tc>
                <w:tcPr>
                  <w:tcW w:w="576" w:type="pct"/>
                  <w:tcBorders>
                    <w:tl2br w:val="nil"/>
                    <w:tr2bl w:val="nil"/>
                  </w:tcBorders>
                  <w:shd w:val="clear" w:color="auto" w:fill="auto"/>
                  <w:vAlign w:val="center"/>
                </w:tcPr>
                <w:p w14:paraId="266EFD84">
                  <w:pPr>
                    <w:spacing w:line="280" w:lineRule="exact"/>
                    <w:jc w:val="center"/>
                    <w:rPr>
                      <w:rFonts w:cs="Times New Roman"/>
                      <w:color w:val="auto"/>
                      <w:sz w:val="21"/>
                      <w:szCs w:val="21"/>
                    </w:rPr>
                  </w:pPr>
                  <w:r>
                    <w:rPr>
                      <w:rFonts w:cs="Times New Roman"/>
                      <w:color w:val="auto"/>
                      <w:sz w:val="21"/>
                      <w:szCs w:val="21"/>
                    </w:rPr>
                    <w:t>水泥硬化</w:t>
                  </w:r>
                </w:p>
              </w:tc>
              <w:tc>
                <w:tcPr>
                  <w:tcW w:w="420" w:type="pct"/>
                  <w:tcBorders>
                    <w:tl2br w:val="nil"/>
                    <w:tr2bl w:val="nil"/>
                  </w:tcBorders>
                  <w:vAlign w:val="center"/>
                </w:tcPr>
                <w:p w14:paraId="10764541">
                  <w:pPr>
                    <w:spacing w:line="280" w:lineRule="exact"/>
                    <w:jc w:val="center"/>
                    <w:rPr>
                      <w:rFonts w:cs="Times New Roman"/>
                      <w:color w:val="auto"/>
                      <w:sz w:val="21"/>
                      <w:szCs w:val="21"/>
                    </w:rPr>
                  </w:pPr>
                  <w:r>
                    <w:rPr>
                      <w:rFonts w:cs="Times New Roman"/>
                      <w:color w:val="auto"/>
                      <w:sz w:val="21"/>
                      <w:szCs w:val="21"/>
                    </w:rPr>
                    <w:t>是</w:t>
                  </w:r>
                </w:p>
              </w:tc>
              <w:tc>
                <w:tcPr>
                  <w:tcW w:w="622" w:type="pct"/>
                  <w:tcBorders>
                    <w:tl2br w:val="nil"/>
                    <w:tr2bl w:val="nil"/>
                  </w:tcBorders>
                  <w:vAlign w:val="center"/>
                </w:tcPr>
                <w:p w14:paraId="22401F2D">
                  <w:pPr>
                    <w:spacing w:line="280" w:lineRule="exact"/>
                    <w:jc w:val="center"/>
                    <w:rPr>
                      <w:rFonts w:cs="Times New Roman"/>
                      <w:color w:val="auto"/>
                      <w:sz w:val="21"/>
                      <w:szCs w:val="21"/>
                    </w:rPr>
                  </w:pPr>
                  <w:r>
                    <w:rPr>
                      <w:rFonts w:cs="Times New Roman"/>
                      <w:color w:val="auto"/>
                      <w:sz w:val="21"/>
                      <w:szCs w:val="21"/>
                    </w:rPr>
                    <w:t>无</w:t>
                  </w:r>
                </w:p>
              </w:tc>
            </w:tr>
          </w:tbl>
          <w:p w14:paraId="6165D596">
            <w:pPr>
              <w:spacing w:line="360" w:lineRule="auto"/>
              <w:ind w:firstLine="480" w:firstLineChars="200"/>
              <w:rPr>
                <w:rFonts w:cs="Times New Roman"/>
                <w:color w:val="auto"/>
                <w:sz w:val="24"/>
                <w:szCs w:val="24"/>
              </w:rPr>
            </w:pPr>
            <w:r>
              <w:rPr>
                <w:rFonts w:cs="Times New Roman"/>
                <w:color w:val="auto"/>
                <w:sz w:val="24"/>
                <w:szCs w:val="24"/>
              </w:rPr>
              <w:t>采取上述治理措施后，本项目防渗措施基本满足《环境影响评价技术导则 地下水环境》（HJ610-2016）中防渗技术要求，可从污染源头和途径上减少因废水或物料泄漏渗、漏入地下水，不会对地下水和土壤环境造成不利影响。</w:t>
            </w:r>
          </w:p>
          <w:p w14:paraId="6ECBCB63">
            <w:pPr>
              <w:spacing w:line="360" w:lineRule="auto"/>
              <w:ind w:firstLine="482" w:firstLineChars="200"/>
              <w:rPr>
                <w:rFonts w:cs="Times New Roman"/>
                <w:b/>
                <w:color w:val="auto"/>
                <w:sz w:val="24"/>
                <w:szCs w:val="24"/>
              </w:rPr>
            </w:pPr>
            <w:r>
              <w:rPr>
                <w:rFonts w:cs="Times New Roman"/>
                <w:b/>
                <w:color w:val="auto"/>
                <w:sz w:val="24"/>
                <w:szCs w:val="24"/>
              </w:rPr>
              <w:t>6、环境风险</w:t>
            </w:r>
          </w:p>
          <w:p w14:paraId="0167A419">
            <w:pPr>
              <w:spacing w:line="360" w:lineRule="auto"/>
              <w:ind w:firstLine="361" w:firstLineChars="150"/>
              <w:rPr>
                <w:rFonts w:cs="Times New Roman"/>
                <w:b/>
                <w:color w:val="auto"/>
                <w:sz w:val="24"/>
                <w:szCs w:val="24"/>
              </w:rPr>
            </w:pPr>
            <w:r>
              <w:rPr>
                <w:rFonts w:cs="Times New Roman"/>
                <w:b/>
                <w:color w:val="auto"/>
                <w:sz w:val="24"/>
                <w:szCs w:val="24"/>
              </w:rPr>
              <w:t>（1）风险调查</w:t>
            </w:r>
          </w:p>
          <w:p w14:paraId="56CDBFA8">
            <w:pPr>
              <w:spacing w:line="360" w:lineRule="auto"/>
              <w:ind w:firstLine="480"/>
              <w:rPr>
                <w:rFonts w:cs="Times New Roman"/>
                <w:color w:val="auto"/>
                <w:sz w:val="24"/>
                <w:szCs w:val="24"/>
              </w:rPr>
            </w:pPr>
            <w:r>
              <w:rPr>
                <w:rFonts w:cs="Times New Roman"/>
                <w:color w:val="auto"/>
                <w:sz w:val="24"/>
                <w:szCs w:val="24"/>
              </w:rPr>
              <w:t>通过对本项目营运期主要原辅材料及其分布情况、生产工艺特点进行分析，本项目不储存柴油和机油，现用现买，营运期危废暂存间贮存的废机油为有毒、易燃危险物质，其危险特性、贮存情况见下表：</w:t>
            </w:r>
          </w:p>
          <w:p w14:paraId="57A800D0">
            <w:pPr>
              <w:spacing w:line="360" w:lineRule="auto"/>
              <w:jc w:val="center"/>
              <w:rPr>
                <w:rFonts w:cs="Times New Roman"/>
                <w:b/>
                <w:bCs/>
                <w:color w:val="auto"/>
                <w:sz w:val="24"/>
                <w:szCs w:val="24"/>
              </w:rPr>
            </w:pPr>
            <w:r>
              <w:rPr>
                <w:rFonts w:cs="Times New Roman"/>
                <w:b/>
                <w:bCs/>
                <w:color w:val="auto"/>
                <w:sz w:val="24"/>
                <w:szCs w:val="24"/>
              </w:rPr>
              <w:t>表4-1</w:t>
            </w:r>
            <w:r>
              <w:rPr>
                <w:rFonts w:hint="eastAsia" w:cs="Times New Roman"/>
                <w:b/>
                <w:bCs/>
                <w:color w:val="auto"/>
                <w:sz w:val="24"/>
                <w:szCs w:val="24"/>
                <w:lang w:val="en-US" w:eastAsia="zh-CN"/>
              </w:rPr>
              <w:t>8</w:t>
            </w:r>
            <w:r>
              <w:rPr>
                <w:rFonts w:cs="Times New Roman"/>
                <w:b/>
                <w:bCs/>
                <w:color w:val="auto"/>
                <w:sz w:val="24"/>
                <w:szCs w:val="24"/>
              </w:rPr>
              <w:t xml:space="preserve">  主要危险物质储存及危险特性</w:t>
            </w:r>
          </w:p>
          <w:tbl>
            <w:tblPr>
              <w:tblStyle w:val="24"/>
              <w:tblW w:w="498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64"/>
              <w:gridCol w:w="1420"/>
              <w:gridCol w:w="1207"/>
              <w:gridCol w:w="1483"/>
              <w:gridCol w:w="1034"/>
              <w:gridCol w:w="1335"/>
              <w:gridCol w:w="1660"/>
            </w:tblGrid>
            <w:tr w14:paraId="0B5277F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54" w:hRule="atLeast"/>
                <w:tblHeader/>
                <w:jc w:val="center"/>
              </w:trPr>
              <w:tc>
                <w:tcPr>
                  <w:tcW w:w="377" w:type="pct"/>
                  <w:tcBorders>
                    <w:tl2br w:val="nil"/>
                    <w:tr2bl w:val="nil"/>
                  </w:tcBorders>
                  <w:vAlign w:val="center"/>
                </w:tcPr>
                <w:p w14:paraId="0A79EE57">
                  <w:pPr>
                    <w:jc w:val="center"/>
                    <w:rPr>
                      <w:rFonts w:cs="Times New Roman"/>
                      <w:b/>
                      <w:bCs/>
                      <w:color w:val="auto"/>
                      <w:szCs w:val="21"/>
                    </w:rPr>
                  </w:pPr>
                  <w:r>
                    <w:rPr>
                      <w:rFonts w:cs="Times New Roman"/>
                      <w:b/>
                      <w:bCs/>
                      <w:color w:val="auto"/>
                      <w:szCs w:val="21"/>
                    </w:rPr>
                    <w:t>序号</w:t>
                  </w:r>
                </w:p>
              </w:tc>
              <w:tc>
                <w:tcPr>
                  <w:tcW w:w="806" w:type="pct"/>
                  <w:tcBorders>
                    <w:tl2br w:val="nil"/>
                    <w:tr2bl w:val="nil"/>
                  </w:tcBorders>
                  <w:vAlign w:val="center"/>
                </w:tcPr>
                <w:p w14:paraId="1DC00666">
                  <w:pPr>
                    <w:jc w:val="center"/>
                    <w:rPr>
                      <w:rFonts w:cs="Times New Roman"/>
                      <w:b/>
                      <w:bCs/>
                      <w:color w:val="auto"/>
                      <w:szCs w:val="21"/>
                    </w:rPr>
                  </w:pPr>
                  <w:r>
                    <w:rPr>
                      <w:rFonts w:cs="Times New Roman"/>
                      <w:b/>
                      <w:bCs/>
                      <w:color w:val="auto"/>
                      <w:szCs w:val="21"/>
                    </w:rPr>
                    <w:t>危险单元</w:t>
                  </w:r>
                </w:p>
              </w:tc>
              <w:tc>
                <w:tcPr>
                  <w:tcW w:w="685" w:type="pct"/>
                  <w:tcBorders>
                    <w:tl2br w:val="nil"/>
                    <w:tr2bl w:val="nil"/>
                  </w:tcBorders>
                  <w:vAlign w:val="center"/>
                </w:tcPr>
                <w:p w14:paraId="29EF9CF6">
                  <w:pPr>
                    <w:jc w:val="center"/>
                    <w:rPr>
                      <w:rFonts w:cs="Times New Roman"/>
                      <w:b/>
                      <w:bCs/>
                      <w:color w:val="auto"/>
                      <w:szCs w:val="21"/>
                    </w:rPr>
                  </w:pPr>
                  <w:r>
                    <w:rPr>
                      <w:rFonts w:cs="Times New Roman"/>
                      <w:b/>
                      <w:bCs/>
                      <w:color w:val="auto"/>
                      <w:szCs w:val="21"/>
                    </w:rPr>
                    <w:t>危险物质</w:t>
                  </w:r>
                </w:p>
              </w:tc>
              <w:tc>
                <w:tcPr>
                  <w:tcW w:w="842" w:type="pct"/>
                  <w:tcBorders>
                    <w:tl2br w:val="nil"/>
                    <w:tr2bl w:val="nil"/>
                  </w:tcBorders>
                  <w:vAlign w:val="center"/>
                </w:tcPr>
                <w:p w14:paraId="31A78027">
                  <w:pPr>
                    <w:jc w:val="center"/>
                    <w:rPr>
                      <w:rFonts w:cs="Times New Roman"/>
                      <w:b/>
                      <w:bCs/>
                      <w:color w:val="auto"/>
                      <w:szCs w:val="21"/>
                    </w:rPr>
                  </w:pPr>
                  <w:r>
                    <w:rPr>
                      <w:rFonts w:cs="Times New Roman"/>
                      <w:b/>
                      <w:bCs/>
                      <w:color w:val="auto"/>
                      <w:szCs w:val="21"/>
                    </w:rPr>
                    <w:t>储存量（t）</w:t>
                  </w:r>
                </w:p>
              </w:tc>
              <w:tc>
                <w:tcPr>
                  <w:tcW w:w="587" w:type="pct"/>
                  <w:tcBorders>
                    <w:tl2br w:val="nil"/>
                    <w:tr2bl w:val="nil"/>
                  </w:tcBorders>
                  <w:vAlign w:val="center"/>
                </w:tcPr>
                <w:p w14:paraId="6A6AFB81">
                  <w:pPr>
                    <w:jc w:val="center"/>
                    <w:rPr>
                      <w:rFonts w:cs="Times New Roman"/>
                      <w:b/>
                      <w:bCs/>
                      <w:color w:val="auto"/>
                      <w:szCs w:val="21"/>
                    </w:rPr>
                  </w:pPr>
                  <w:r>
                    <w:rPr>
                      <w:rFonts w:cs="Times New Roman"/>
                      <w:b/>
                      <w:bCs/>
                      <w:color w:val="auto"/>
                      <w:szCs w:val="21"/>
                    </w:rPr>
                    <w:t>形态</w:t>
                  </w:r>
                </w:p>
              </w:tc>
              <w:tc>
                <w:tcPr>
                  <w:tcW w:w="758" w:type="pct"/>
                  <w:tcBorders>
                    <w:tl2br w:val="nil"/>
                    <w:tr2bl w:val="nil"/>
                  </w:tcBorders>
                  <w:vAlign w:val="center"/>
                </w:tcPr>
                <w:p w14:paraId="524D572C">
                  <w:pPr>
                    <w:jc w:val="center"/>
                    <w:rPr>
                      <w:rFonts w:cs="Times New Roman"/>
                      <w:b/>
                      <w:bCs/>
                      <w:color w:val="auto"/>
                      <w:szCs w:val="21"/>
                    </w:rPr>
                  </w:pPr>
                  <w:r>
                    <w:rPr>
                      <w:rFonts w:cs="Times New Roman"/>
                      <w:b/>
                      <w:bCs/>
                      <w:color w:val="auto"/>
                      <w:szCs w:val="21"/>
                    </w:rPr>
                    <w:t>储存方式</w:t>
                  </w:r>
                </w:p>
              </w:tc>
              <w:tc>
                <w:tcPr>
                  <w:tcW w:w="942" w:type="pct"/>
                  <w:tcBorders>
                    <w:tl2br w:val="nil"/>
                    <w:tr2bl w:val="nil"/>
                  </w:tcBorders>
                  <w:vAlign w:val="center"/>
                </w:tcPr>
                <w:p w14:paraId="47B018BD">
                  <w:pPr>
                    <w:jc w:val="center"/>
                    <w:rPr>
                      <w:rFonts w:cs="Times New Roman"/>
                      <w:b/>
                      <w:bCs/>
                      <w:color w:val="auto"/>
                      <w:szCs w:val="21"/>
                    </w:rPr>
                  </w:pPr>
                  <w:r>
                    <w:rPr>
                      <w:rFonts w:cs="Times New Roman"/>
                      <w:b/>
                      <w:bCs/>
                      <w:color w:val="auto"/>
                      <w:szCs w:val="21"/>
                    </w:rPr>
                    <w:t>危险性</w:t>
                  </w:r>
                </w:p>
              </w:tc>
            </w:tr>
            <w:tr w14:paraId="701BDF3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377" w:type="pct"/>
                  <w:tcBorders>
                    <w:tl2br w:val="nil"/>
                    <w:tr2bl w:val="nil"/>
                  </w:tcBorders>
                  <w:vAlign w:val="center"/>
                </w:tcPr>
                <w:p w14:paraId="5770F717">
                  <w:pPr>
                    <w:jc w:val="center"/>
                    <w:rPr>
                      <w:rFonts w:cs="Times New Roman"/>
                      <w:color w:val="auto"/>
                      <w:szCs w:val="21"/>
                    </w:rPr>
                  </w:pPr>
                  <w:r>
                    <w:rPr>
                      <w:rFonts w:cs="Times New Roman"/>
                      <w:color w:val="auto"/>
                      <w:szCs w:val="21"/>
                    </w:rPr>
                    <w:t>1</w:t>
                  </w:r>
                </w:p>
              </w:tc>
              <w:tc>
                <w:tcPr>
                  <w:tcW w:w="806" w:type="pct"/>
                  <w:tcBorders>
                    <w:tl2br w:val="nil"/>
                    <w:tr2bl w:val="nil"/>
                  </w:tcBorders>
                  <w:vAlign w:val="center"/>
                </w:tcPr>
                <w:p w14:paraId="701496D7">
                  <w:pPr>
                    <w:jc w:val="center"/>
                    <w:rPr>
                      <w:rFonts w:cs="Times New Roman"/>
                      <w:color w:val="auto"/>
                      <w:szCs w:val="21"/>
                    </w:rPr>
                  </w:pPr>
                  <w:r>
                    <w:rPr>
                      <w:rFonts w:cs="Times New Roman"/>
                      <w:color w:val="auto"/>
                      <w:szCs w:val="21"/>
                    </w:rPr>
                    <w:t>危废暂存间</w:t>
                  </w:r>
                </w:p>
              </w:tc>
              <w:tc>
                <w:tcPr>
                  <w:tcW w:w="685" w:type="pct"/>
                  <w:tcBorders>
                    <w:tl2br w:val="nil"/>
                    <w:tr2bl w:val="nil"/>
                  </w:tcBorders>
                  <w:vAlign w:val="center"/>
                </w:tcPr>
                <w:p w14:paraId="0121322E">
                  <w:pPr>
                    <w:jc w:val="center"/>
                    <w:rPr>
                      <w:rFonts w:cs="Times New Roman"/>
                      <w:color w:val="auto"/>
                      <w:szCs w:val="21"/>
                    </w:rPr>
                  </w:pPr>
                  <w:r>
                    <w:rPr>
                      <w:rFonts w:cs="Times New Roman"/>
                      <w:color w:val="auto"/>
                      <w:szCs w:val="21"/>
                    </w:rPr>
                    <w:t>废机油</w:t>
                  </w:r>
                </w:p>
              </w:tc>
              <w:tc>
                <w:tcPr>
                  <w:tcW w:w="842" w:type="pct"/>
                  <w:tcBorders>
                    <w:tl2br w:val="nil"/>
                    <w:tr2bl w:val="nil"/>
                  </w:tcBorders>
                  <w:vAlign w:val="center"/>
                </w:tcPr>
                <w:p w14:paraId="73794ABF">
                  <w:pPr>
                    <w:jc w:val="center"/>
                    <w:rPr>
                      <w:rFonts w:cs="Times New Roman"/>
                      <w:color w:val="auto"/>
                      <w:szCs w:val="21"/>
                    </w:rPr>
                  </w:pPr>
                  <w:r>
                    <w:rPr>
                      <w:rFonts w:cs="Times New Roman"/>
                      <w:color w:val="auto"/>
                      <w:szCs w:val="21"/>
                    </w:rPr>
                    <w:t>0.05</w:t>
                  </w:r>
                </w:p>
              </w:tc>
              <w:tc>
                <w:tcPr>
                  <w:tcW w:w="587" w:type="pct"/>
                  <w:tcBorders>
                    <w:tl2br w:val="nil"/>
                    <w:tr2bl w:val="nil"/>
                  </w:tcBorders>
                  <w:vAlign w:val="center"/>
                </w:tcPr>
                <w:p w14:paraId="32B6AA60">
                  <w:pPr>
                    <w:jc w:val="center"/>
                    <w:rPr>
                      <w:rFonts w:cs="Times New Roman"/>
                      <w:color w:val="auto"/>
                      <w:szCs w:val="21"/>
                    </w:rPr>
                  </w:pPr>
                  <w:r>
                    <w:rPr>
                      <w:rFonts w:cs="Times New Roman"/>
                      <w:color w:val="auto"/>
                      <w:szCs w:val="21"/>
                    </w:rPr>
                    <w:t>液体</w:t>
                  </w:r>
                </w:p>
              </w:tc>
              <w:tc>
                <w:tcPr>
                  <w:tcW w:w="758" w:type="pct"/>
                  <w:tcBorders>
                    <w:tl2br w:val="nil"/>
                    <w:tr2bl w:val="nil"/>
                  </w:tcBorders>
                  <w:vAlign w:val="center"/>
                </w:tcPr>
                <w:p w14:paraId="59388AAA">
                  <w:pPr>
                    <w:jc w:val="center"/>
                    <w:rPr>
                      <w:rFonts w:cs="Times New Roman"/>
                      <w:color w:val="auto"/>
                      <w:szCs w:val="21"/>
                    </w:rPr>
                  </w:pPr>
                  <w:r>
                    <w:rPr>
                      <w:rFonts w:cs="Times New Roman"/>
                      <w:color w:val="auto"/>
                      <w:szCs w:val="21"/>
                    </w:rPr>
                    <w:t>桶装</w:t>
                  </w:r>
                </w:p>
              </w:tc>
              <w:tc>
                <w:tcPr>
                  <w:tcW w:w="942" w:type="pct"/>
                  <w:tcBorders>
                    <w:tl2br w:val="nil"/>
                    <w:tr2bl w:val="nil"/>
                  </w:tcBorders>
                  <w:vAlign w:val="center"/>
                </w:tcPr>
                <w:p w14:paraId="46045A49">
                  <w:pPr>
                    <w:jc w:val="center"/>
                    <w:rPr>
                      <w:rFonts w:cs="Times New Roman"/>
                      <w:color w:val="auto"/>
                      <w:szCs w:val="21"/>
                    </w:rPr>
                  </w:pPr>
                  <w:r>
                    <w:rPr>
                      <w:rFonts w:cs="Times New Roman"/>
                      <w:color w:val="auto"/>
                      <w:szCs w:val="21"/>
                    </w:rPr>
                    <w:t>低毒、易燃性</w:t>
                  </w:r>
                </w:p>
              </w:tc>
            </w:tr>
          </w:tbl>
          <w:p w14:paraId="10D7306D">
            <w:pPr>
              <w:spacing w:line="360" w:lineRule="auto"/>
              <w:ind w:firstLine="361" w:firstLineChars="150"/>
              <w:rPr>
                <w:rFonts w:cs="Times New Roman"/>
                <w:color w:val="auto"/>
                <w:sz w:val="24"/>
                <w:szCs w:val="24"/>
              </w:rPr>
            </w:pPr>
            <w:r>
              <w:rPr>
                <w:rFonts w:cs="Times New Roman"/>
                <w:b/>
                <w:color w:val="auto"/>
                <w:sz w:val="24"/>
                <w:szCs w:val="24"/>
              </w:rPr>
              <w:t>（2）风险潜势初判</w:t>
            </w:r>
          </w:p>
          <w:p w14:paraId="6E413272">
            <w:pPr>
              <w:spacing w:line="360" w:lineRule="auto"/>
              <w:ind w:firstLine="480"/>
              <w:rPr>
                <w:rFonts w:cs="Times New Roman"/>
                <w:color w:val="auto"/>
                <w:sz w:val="24"/>
                <w:szCs w:val="24"/>
              </w:rPr>
            </w:pPr>
            <w:r>
              <w:rPr>
                <w:rFonts w:cs="Times New Roman"/>
                <w:color w:val="auto"/>
                <w:sz w:val="24"/>
                <w:szCs w:val="24"/>
              </w:rPr>
              <w:t>建设项目环境风险潜势划分为I、II、III、IV/IV</w:t>
            </w:r>
            <w:r>
              <w:rPr>
                <w:rFonts w:cs="Times New Roman"/>
                <w:color w:val="auto"/>
                <w:sz w:val="24"/>
                <w:szCs w:val="24"/>
                <w:vertAlign w:val="superscript"/>
              </w:rPr>
              <w:t>+</w:t>
            </w:r>
            <w:r>
              <w:rPr>
                <w:rFonts w:cs="Times New Roman"/>
                <w:color w:val="auto"/>
                <w:sz w:val="24"/>
                <w:szCs w:val="24"/>
              </w:rPr>
              <w:t>级，主要根据建设项目涉及的物质和工艺系统的危险性及其所在地的环境敏感程度，结合事故情形下环境影响途径，按照《建设项目环境风险评价技术导则》（HJ169-2018）表2进行确定，其中：危险物质数量与临界量比值（</w:t>
            </w:r>
            <w:r>
              <w:rPr>
                <w:rFonts w:cs="Times New Roman"/>
                <w:i/>
                <w:color w:val="auto"/>
                <w:sz w:val="24"/>
                <w:szCs w:val="24"/>
              </w:rPr>
              <w:t>Q</w:t>
            </w:r>
            <w:r>
              <w:rPr>
                <w:rFonts w:cs="Times New Roman"/>
                <w:color w:val="auto"/>
                <w:sz w:val="24"/>
                <w:szCs w:val="24"/>
              </w:rPr>
              <w:t>）为每种危险物质在厂界内的最大存在总量与其在HJ169-2018附录B中对应临界量的比值，即：</w:t>
            </w:r>
          </w:p>
          <w:p w14:paraId="674DB835">
            <w:pPr>
              <w:spacing w:line="360" w:lineRule="auto"/>
              <w:jc w:val="center"/>
              <w:rPr>
                <w:rFonts w:cs="Times New Roman"/>
                <w:color w:val="auto"/>
                <w:sz w:val="24"/>
                <w:szCs w:val="24"/>
              </w:rPr>
            </w:pPr>
            <w:r>
              <w:rPr>
                <w:rFonts w:cs="Times New Roman"/>
                <w:color w:val="auto"/>
                <w:position w:val="-30"/>
                <w:sz w:val="24"/>
                <w:szCs w:val="24"/>
              </w:rPr>
              <w:object>
                <v:shape id="_x0000_i1027" o:spt="75" type="#_x0000_t75" style="height:28.65pt;width:79.35pt;" o:ole="t" filled="f" o:preferrelative="t" stroked="f" coordsize="21600,21600">
                  <v:path/>
                  <v:fill on="f" focussize="0,0"/>
                  <v:stroke on="f" joinstyle="miter"/>
                  <v:imagedata r:id="rId23" o:title=""/>
                  <o:lock v:ext="edit" aspectratio="t"/>
                  <w10:wrap type="none"/>
                  <w10:anchorlock/>
                </v:shape>
                <o:OLEObject Type="Embed" ProgID="Equation.DSMT4" ShapeID="_x0000_i1027" DrawAspect="Content" ObjectID="_1468075727" r:id="rId22">
                  <o:LockedField>false</o:LockedField>
                </o:OLEObject>
              </w:object>
            </w:r>
          </w:p>
          <w:p w14:paraId="4F329B49">
            <w:pPr>
              <w:spacing w:line="360" w:lineRule="auto"/>
              <w:ind w:firstLine="480" w:firstLineChars="200"/>
              <w:rPr>
                <w:rFonts w:cs="Times New Roman"/>
                <w:i/>
                <w:color w:val="auto"/>
                <w:sz w:val="24"/>
                <w:szCs w:val="24"/>
              </w:rPr>
            </w:pPr>
            <w:r>
              <w:rPr>
                <w:rFonts w:cs="Times New Roman"/>
                <w:color w:val="auto"/>
                <w:sz w:val="24"/>
                <w:szCs w:val="24"/>
              </w:rPr>
              <w:t>式中：</w:t>
            </w:r>
            <w:r>
              <w:rPr>
                <w:rFonts w:cs="Times New Roman"/>
                <w:i/>
                <w:color w:val="auto"/>
                <w:sz w:val="24"/>
                <w:szCs w:val="24"/>
              </w:rPr>
              <w:t>q</w:t>
            </w:r>
            <w:r>
              <w:rPr>
                <w:rFonts w:cs="Times New Roman"/>
                <w:color w:val="auto"/>
                <w:sz w:val="24"/>
                <w:szCs w:val="24"/>
                <w:vertAlign w:val="subscript"/>
              </w:rPr>
              <w:t>1</w:t>
            </w:r>
            <w:r>
              <w:rPr>
                <w:rFonts w:cs="Times New Roman"/>
                <w:color w:val="auto"/>
                <w:sz w:val="24"/>
                <w:szCs w:val="24"/>
              </w:rPr>
              <w:t>，</w:t>
            </w:r>
            <w:r>
              <w:rPr>
                <w:rFonts w:cs="Times New Roman"/>
                <w:i/>
                <w:color w:val="auto"/>
                <w:sz w:val="24"/>
                <w:szCs w:val="24"/>
              </w:rPr>
              <w:t>q</w:t>
            </w:r>
            <w:r>
              <w:rPr>
                <w:rFonts w:cs="Times New Roman"/>
                <w:color w:val="auto"/>
                <w:sz w:val="24"/>
                <w:szCs w:val="24"/>
                <w:vertAlign w:val="subscript"/>
              </w:rPr>
              <w:t>2</w:t>
            </w:r>
            <w:r>
              <w:rPr>
                <w:rFonts w:cs="Times New Roman"/>
                <w:color w:val="auto"/>
                <w:sz w:val="24"/>
                <w:szCs w:val="24"/>
              </w:rPr>
              <w:t>，···，</w:t>
            </w:r>
            <w:r>
              <w:rPr>
                <w:rFonts w:cs="Times New Roman"/>
                <w:i/>
                <w:color w:val="auto"/>
                <w:sz w:val="24"/>
                <w:szCs w:val="24"/>
              </w:rPr>
              <w:t>q</w:t>
            </w:r>
            <w:r>
              <w:rPr>
                <w:rFonts w:cs="Times New Roman"/>
                <w:i/>
                <w:color w:val="auto"/>
                <w:sz w:val="24"/>
                <w:szCs w:val="24"/>
                <w:vertAlign w:val="subscript"/>
              </w:rPr>
              <w:t>n</w:t>
            </w:r>
            <w:r>
              <w:rPr>
                <w:rFonts w:cs="Times New Roman"/>
                <w:color w:val="auto"/>
                <w:sz w:val="24"/>
                <w:szCs w:val="24"/>
              </w:rPr>
              <w:t>——每种危险物质的最大存在总量，t；</w:t>
            </w:r>
          </w:p>
          <w:p w14:paraId="671E4619">
            <w:pPr>
              <w:spacing w:line="360" w:lineRule="auto"/>
              <w:ind w:firstLine="480" w:firstLineChars="200"/>
              <w:rPr>
                <w:rFonts w:cs="Times New Roman"/>
                <w:color w:val="auto"/>
                <w:sz w:val="24"/>
                <w:szCs w:val="24"/>
              </w:rPr>
            </w:pPr>
            <w:r>
              <w:rPr>
                <w:rFonts w:cs="Times New Roman"/>
                <w:color w:val="auto"/>
                <w:sz w:val="24"/>
                <w:szCs w:val="24"/>
              </w:rPr>
              <w:t xml:space="preserve">      </w:t>
            </w:r>
            <w:r>
              <w:rPr>
                <w:rFonts w:cs="Times New Roman"/>
                <w:i/>
                <w:color w:val="auto"/>
                <w:sz w:val="24"/>
                <w:szCs w:val="24"/>
              </w:rPr>
              <w:t>Q</w:t>
            </w:r>
            <w:r>
              <w:rPr>
                <w:rFonts w:cs="Times New Roman"/>
                <w:color w:val="auto"/>
                <w:sz w:val="24"/>
                <w:szCs w:val="24"/>
                <w:vertAlign w:val="subscript"/>
              </w:rPr>
              <w:t>1</w:t>
            </w:r>
            <w:r>
              <w:rPr>
                <w:rFonts w:cs="Times New Roman"/>
                <w:color w:val="auto"/>
                <w:sz w:val="24"/>
                <w:szCs w:val="24"/>
              </w:rPr>
              <w:t>，</w:t>
            </w:r>
            <w:r>
              <w:rPr>
                <w:rFonts w:cs="Times New Roman"/>
                <w:i/>
                <w:color w:val="auto"/>
                <w:sz w:val="24"/>
                <w:szCs w:val="24"/>
              </w:rPr>
              <w:t>Q</w:t>
            </w:r>
            <w:r>
              <w:rPr>
                <w:rFonts w:cs="Times New Roman"/>
                <w:color w:val="auto"/>
                <w:sz w:val="24"/>
                <w:szCs w:val="24"/>
                <w:vertAlign w:val="subscript"/>
              </w:rPr>
              <w:t>2</w:t>
            </w:r>
            <w:r>
              <w:rPr>
                <w:rFonts w:cs="Times New Roman"/>
                <w:color w:val="auto"/>
                <w:sz w:val="24"/>
                <w:szCs w:val="24"/>
              </w:rPr>
              <w:t>，···，</w:t>
            </w:r>
            <w:r>
              <w:rPr>
                <w:rFonts w:cs="Times New Roman"/>
                <w:i/>
                <w:color w:val="auto"/>
                <w:sz w:val="24"/>
                <w:szCs w:val="24"/>
              </w:rPr>
              <w:t>Q</w:t>
            </w:r>
            <w:r>
              <w:rPr>
                <w:rFonts w:cs="Times New Roman"/>
                <w:i/>
                <w:color w:val="auto"/>
                <w:sz w:val="24"/>
                <w:szCs w:val="24"/>
                <w:vertAlign w:val="subscript"/>
              </w:rPr>
              <w:t>n</w:t>
            </w:r>
            <w:r>
              <w:rPr>
                <w:rFonts w:cs="Times New Roman"/>
                <w:color w:val="auto"/>
                <w:sz w:val="24"/>
                <w:szCs w:val="24"/>
              </w:rPr>
              <w:t>——每种危险物质的临界量，t。</w:t>
            </w:r>
          </w:p>
          <w:p w14:paraId="75F6FA1D">
            <w:pPr>
              <w:spacing w:line="360" w:lineRule="auto"/>
              <w:ind w:firstLine="480" w:firstLineChars="200"/>
              <w:rPr>
                <w:rFonts w:cs="Times New Roman"/>
                <w:color w:val="auto"/>
                <w:sz w:val="24"/>
                <w:szCs w:val="24"/>
              </w:rPr>
            </w:pPr>
            <w:r>
              <w:rPr>
                <w:rFonts w:cs="Times New Roman"/>
                <w:color w:val="auto"/>
                <w:sz w:val="24"/>
                <w:szCs w:val="24"/>
              </w:rPr>
              <w:t>当</w:t>
            </w:r>
            <w:r>
              <w:rPr>
                <w:rFonts w:cs="Times New Roman"/>
                <w:i/>
                <w:color w:val="auto"/>
                <w:sz w:val="24"/>
                <w:szCs w:val="24"/>
              </w:rPr>
              <w:t>Q</w:t>
            </w:r>
            <w:r>
              <w:rPr>
                <w:rFonts w:cs="Times New Roman"/>
                <w:color w:val="auto"/>
                <w:sz w:val="24"/>
                <w:szCs w:val="24"/>
              </w:rPr>
              <w:t>&lt;1时，该项目环境风险潜势为I；当</w:t>
            </w:r>
            <w:r>
              <w:rPr>
                <w:rFonts w:cs="Times New Roman"/>
                <w:i/>
                <w:color w:val="auto"/>
                <w:sz w:val="24"/>
                <w:szCs w:val="24"/>
              </w:rPr>
              <w:t>Q</w:t>
            </w:r>
            <w:r>
              <w:rPr>
                <w:rFonts w:cs="Times New Roman"/>
                <w:color w:val="auto"/>
                <w:sz w:val="24"/>
                <w:szCs w:val="24"/>
              </w:rPr>
              <w:t>≥1时，将</w:t>
            </w:r>
            <w:r>
              <w:rPr>
                <w:rFonts w:cs="Times New Roman"/>
                <w:i/>
                <w:color w:val="auto"/>
                <w:sz w:val="24"/>
                <w:szCs w:val="24"/>
              </w:rPr>
              <w:t>Q</w:t>
            </w:r>
            <w:r>
              <w:rPr>
                <w:rFonts w:cs="Times New Roman"/>
                <w:color w:val="auto"/>
                <w:sz w:val="24"/>
                <w:szCs w:val="24"/>
              </w:rPr>
              <w:t>值划分为：a.1≤</w:t>
            </w:r>
            <w:r>
              <w:rPr>
                <w:rFonts w:cs="Times New Roman"/>
                <w:i/>
                <w:color w:val="auto"/>
                <w:sz w:val="24"/>
                <w:szCs w:val="24"/>
              </w:rPr>
              <w:t>Q</w:t>
            </w:r>
            <w:r>
              <w:rPr>
                <w:rFonts w:cs="Times New Roman"/>
                <w:color w:val="auto"/>
                <w:sz w:val="24"/>
                <w:szCs w:val="24"/>
              </w:rPr>
              <w:t>&lt;10；b. 10≤</w:t>
            </w:r>
            <w:r>
              <w:rPr>
                <w:rFonts w:cs="Times New Roman"/>
                <w:i/>
                <w:color w:val="auto"/>
                <w:sz w:val="24"/>
                <w:szCs w:val="24"/>
              </w:rPr>
              <w:t>Q</w:t>
            </w:r>
            <w:r>
              <w:rPr>
                <w:rFonts w:cs="Times New Roman"/>
                <w:color w:val="auto"/>
                <w:sz w:val="24"/>
                <w:szCs w:val="24"/>
              </w:rPr>
              <w:t>&lt;100；c.</w:t>
            </w:r>
            <w:r>
              <w:rPr>
                <w:rFonts w:cs="Times New Roman"/>
                <w:i/>
                <w:color w:val="auto"/>
                <w:sz w:val="24"/>
                <w:szCs w:val="24"/>
              </w:rPr>
              <w:t>Q</w:t>
            </w:r>
            <w:r>
              <w:rPr>
                <w:rFonts w:cs="Times New Roman"/>
                <w:color w:val="auto"/>
                <w:sz w:val="24"/>
                <w:szCs w:val="24"/>
              </w:rPr>
              <w:t>≥100。</w:t>
            </w:r>
          </w:p>
          <w:p w14:paraId="2BBBB787">
            <w:pPr>
              <w:spacing w:line="360" w:lineRule="auto"/>
              <w:ind w:firstLine="480"/>
              <w:rPr>
                <w:rFonts w:cs="Times New Roman"/>
                <w:color w:val="auto"/>
                <w:sz w:val="24"/>
                <w:szCs w:val="24"/>
              </w:rPr>
            </w:pPr>
            <w:r>
              <w:rPr>
                <w:rFonts w:cs="Times New Roman"/>
                <w:color w:val="auto"/>
                <w:sz w:val="24"/>
                <w:szCs w:val="24"/>
              </w:rPr>
              <w:t>根据计算，本项目危险物质数量与临界量比值见表4-1</w:t>
            </w:r>
            <w:r>
              <w:rPr>
                <w:rFonts w:hint="eastAsia" w:cs="Times New Roman"/>
                <w:color w:val="auto"/>
                <w:sz w:val="24"/>
                <w:szCs w:val="24"/>
                <w:lang w:val="en-US" w:eastAsia="zh-CN"/>
              </w:rPr>
              <w:t>9</w:t>
            </w:r>
            <w:r>
              <w:rPr>
                <w:rFonts w:cs="Times New Roman"/>
                <w:color w:val="auto"/>
                <w:sz w:val="24"/>
                <w:szCs w:val="24"/>
              </w:rPr>
              <w:t>。</w:t>
            </w:r>
          </w:p>
          <w:p w14:paraId="3CB48A66">
            <w:pPr>
              <w:spacing w:line="360" w:lineRule="auto"/>
              <w:jc w:val="center"/>
              <w:rPr>
                <w:rFonts w:cs="Times New Roman"/>
                <w:b/>
                <w:bCs/>
                <w:color w:val="auto"/>
                <w:sz w:val="24"/>
                <w:szCs w:val="24"/>
              </w:rPr>
            </w:pPr>
            <w:r>
              <w:rPr>
                <w:rFonts w:cs="Times New Roman"/>
                <w:b/>
                <w:bCs/>
                <w:color w:val="auto"/>
                <w:sz w:val="24"/>
                <w:szCs w:val="24"/>
              </w:rPr>
              <w:t>表4-1</w:t>
            </w:r>
            <w:r>
              <w:rPr>
                <w:rFonts w:hint="eastAsia" w:cs="Times New Roman"/>
                <w:b/>
                <w:bCs/>
                <w:color w:val="auto"/>
                <w:sz w:val="24"/>
                <w:szCs w:val="24"/>
                <w:lang w:val="en-US" w:eastAsia="zh-CN"/>
              </w:rPr>
              <w:t>9</w:t>
            </w:r>
            <w:r>
              <w:rPr>
                <w:rFonts w:cs="Times New Roman"/>
                <w:b/>
                <w:bCs/>
                <w:color w:val="auto"/>
                <w:sz w:val="24"/>
                <w:szCs w:val="24"/>
              </w:rPr>
              <w:t xml:space="preserve"> 危险物质数量与临界量比值表</w:t>
            </w:r>
          </w:p>
          <w:tbl>
            <w:tblPr>
              <w:tblStyle w:val="24"/>
              <w:tblW w:w="4975"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23"/>
              <w:gridCol w:w="2284"/>
              <w:gridCol w:w="1890"/>
              <w:gridCol w:w="2005"/>
              <w:gridCol w:w="1680"/>
            </w:tblGrid>
            <w:tr w14:paraId="245F795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526" w:type="pct"/>
                  <w:tcBorders>
                    <w:tl2br w:val="nil"/>
                    <w:tr2bl w:val="nil"/>
                  </w:tcBorders>
                  <w:vAlign w:val="center"/>
                </w:tcPr>
                <w:p w14:paraId="66422CA6">
                  <w:pPr>
                    <w:jc w:val="center"/>
                    <w:rPr>
                      <w:rFonts w:cs="Times New Roman"/>
                      <w:b/>
                      <w:bCs/>
                      <w:color w:val="auto"/>
                      <w:szCs w:val="21"/>
                    </w:rPr>
                  </w:pPr>
                  <w:r>
                    <w:rPr>
                      <w:rFonts w:cs="Times New Roman"/>
                      <w:b/>
                      <w:bCs/>
                      <w:color w:val="auto"/>
                      <w:szCs w:val="21"/>
                    </w:rPr>
                    <w:t>序号</w:t>
                  </w:r>
                </w:p>
              </w:tc>
              <w:tc>
                <w:tcPr>
                  <w:tcW w:w="1300" w:type="pct"/>
                  <w:tcBorders>
                    <w:tl2br w:val="nil"/>
                    <w:tr2bl w:val="nil"/>
                  </w:tcBorders>
                  <w:vAlign w:val="center"/>
                </w:tcPr>
                <w:p w14:paraId="4091655A">
                  <w:pPr>
                    <w:jc w:val="center"/>
                    <w:rPr>
                      <w:rFonts w:cs="Times New Roman"/>
                      <w:b/>
                      <w:bCs/>
                      <w:color w:val="auto"/>
                      <w:szCs w:val="21"/>
                    </w:rPr>
                  </w:pPr>
                  <w:r>
                    <w:rPr>
                      <w:rFonts w:cs="Times New Roman"/>
                      <w:b/>
                      <w:bCs/>
                      <w:color w:val="auto"/>
                      <w:szCs w:val="21"/>
                    </w:rPr>
                    <w:t>危险物质</w:t>
                  </w:r>
                </w:p>
              </w:tc>
              <w:tc>
                <w:tcPr>
                  <w:tcW w:w="1076" w:type="pct"/>
                  <w:tcBorders>
                    <w:tl2br w:val="nil"/>
                    <w:tr2bl w:val="nil"/>
                  </w:tcBorders>
                  <w:vAlign w:val="center"/>
                </w:tcPr>
                <w:p w14:paraId="0E489B41">
                  <w:pPr>
                    <w:jc w:val="center"/>
                    <w:rPr>
                      <w:rFonts w:cs="Times New Roman"/>
                      <w:b/>
                      <w:bCs/>
                      <w:color w:val="auto"/>
                      <w:szCs w:val="21"/>
                    </w:rPr>
                  </w:pPr>
                  <w:r>
                    <w:rPr>
                      <w:rFonts w:cs="Times New Roman"/>
                      <w:b/>
                      <w:bCs/>
                      <w:color w:val="auto"/>
                      <w:szCs w:val="21"/>
                    </w:rPr>
                    <w:t>储存量（</w:t>
                  </w:r>
                  <w:r>
                    <w:rPr>
                      <w:rFonts w:cs="Times New Roman"/>
                      <w:b/>
                      <w:bCs/>
                      <w:i/>
                      <w:color w:val="auto"/>
                      <w:szCs w:val="21"/>
                    </w:rPr>
                    <w:t>q</w:t>
                  </w:r>
                  <w:r>
                    <w:rPr>
                      <w:rFonts w:cs="Times New Roman"/>
                      <w:b/>
                      <w:bCs/>
                      <w:color w:val="auto"/>
                      <w:szCs w:val="21"/>
                    </w:rPr>
                    <w:t>）</w:t>
                  </w:r>
                </w:p>
              </w:tc>
              <w:tc>
                <w:tcPr>
                  <w:tcW w:w="1140" w:type="pct"/>
                  <w:tcBorders>
                    <w:tl2br w:val="nil"/>
                    <w:tr2bl w:val="nil"/>
                  </w:tcBorders>
                  <w:vAlign w:val="center"/>
                </w:tcPr>
                <w:p w14:paraId="66DD37C6">
                  <w:pPr>
                    <w:jc w:val="center"/>
                    <w:rPr>
                      <w:rFonts w:cs="Times New Roman"/>
                      <w:b/>
                      <w:bCs/>
                      <w:color w:val="auto"/>
                      <w:szCs w:val="21"/>
                    </w:rPr>
                  </w:pPr>
                  <w:r>
                    <w:rPr>
                      <w:rFonts w:cs="Times New Roman"/>
                      <w:b/>
                      <w:bCs/>
                      <w:color w:val="auto"/>
                      <w:szCs w:val="21"/>
                    </w:rPr>
                    <w:t>临界量（</w:t>
                  </w:r>
                  <w:r>
                    <w:rPr>
                      <w:rFonts w:cs="Times New Roman"/>
                      <w:b/>
                      <w:bCs/>
                      <w:i/>
                      <w:color w:val="auto"/>
                      <w:szCs w:val="21"/>
                    </w:rPr>
                    <w:t>Q</w:t>
                  </w:r>
                  <w:r>
                    <w:rPr>
                      <w:rFonts w:cs="Times New Roman"/>
                      <w:b/>
                      <w:bCs/>
                      <w:color w:val="auto"/>
                      <w:szCs w:val="21"/>
                    </w:rPr>
                    <w:t>）</w:t>
                  </w:r>
                </w:p>
              </w:tc>
              <w:tc>
                <w:tcPr>
                  <w:tcW w:w="956" w:type="pct"/>
                  <w:tcBorders>
                    <w:tl2br w:val="nil"/>
                    <w:tr2bl w:val="nil"/>
                  </w:tcBorders>
                  <w:vAlign w:val="center"/>
                </w:tcPr>
                <w:p w14:paraId="4E4C68BE">
                  <w:pPr>
                    <w:jc w:val="center"/>
                    <w:rPr>
                      <w:rFonts w:cs="Times New Roman"/>
                      <w:b/>
                      <w:bCs/>
                      <w:color w:val="auto"/>
                      <w:szCs w:val="21"/>
                    </w:rPr>
                  </w:pPr>
                  <w:r>
                    <w:rPr>
                      <w:rFonts w:cs="Times New Roman"/>
                      <w:b/>
                      <w:bCs/>
                      <w:color w:val="auto"/>
                      <w:szCs w:val="21"/>
                    </w:rPr>
                    <w:t>比值（</w:t>
                  </w:r>
                  <w:r>
                    <w:rPr>
                      <w:rFonts w:cs="Times New Roman"/>
                      <w:b/>
                      <w:bCs/>
                      <w:i/>
                      <w:color w:val="auto"/>
                      <w:szCs w:val="21"/>
                    </w:rPr>
                    <w:t>Q</w:t>
                  </w:r>
                  <w:r>
                    <w:rPr>
                      <w:rFonts w:cs="Times New Roman"/>
                      <w:b/>
                      <w:bCs/>
                      <w:color w:val="auto"/>
                      <w:szCs w:val="21"/>
                    </w:rPr>
                    <w:t>）</w:t>
                  </w:r>
                </w:p>
              </w:tc>
            </w:tr>
            <w:tr w14:paraId="6BA99B2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526" w:type="pct"/>
                  <w:tcBorders>
                    <w:tl2br w:val="nil"/>
                    <w:tr2bl w:val="nil"/>
                  </w:tcBorders>
                  <w:vAlign w:val="center"/>
                </w:tcPr>
                <w:p w14:paraId="18FFF636">
                  <w:pPr>
                    <w:jc w:val="center"/>
                    <w:rPr>
                      <w:rFonts w:cs="Times New Roman"/>
                      <w:color w:val="auto"/>
                      <w:szCs w:val="21"/>
                    </w:rPr>
                  </w:pPr>
                  <w:r>
                    <w:rPr>
                      <w:rFonts w:cs="Times New Roman"/>
                      <w:color w:val="auto"/>
                      <w:szCs w:val="21"/>
                    </w:rPr>
                    <w:t>1</w:t>
                  </w:r>
                </w:p>
              </w:tc>
              <w:tc>
                <w:tcPr>
                  <w:tcW w:w="1300" w:type="pct"/>
                  <w:tcBorders>
                    <w:tl2br w:val="nil"/>
                    <w:tr2bl w:val="nil"/>
                  </w:tcBorders>
                  <w:vAlign w:val="center"/>
                </w:tcPr>
                <w:p w14:paraId="069875D3">
                  <w:pPr>
                    <w:jc w:val="center"/>
                    <w:rPr>
                      <w:rFonts w:cs="Times New Roman"/>
                      <w:color w:val="auto"/>
                      <w:szCs w:val="21"/>
                    </w:rPr>
                  </w:pPr>
                  <w:r>
                    <w:rPr>
                      <w:rFonts w:cs="Times New Roman"/>
                      <w:color w:val="auto"/>
                      <w:szCs w:val="21"/>
                    </w:rPr>
                    <w:t>废机油</w:t>
                  </w:r>
                </w:p>
              </w:tc>
              <w:tc>
                <w:tcPr>
                  <w:tcW w:w="1076" w:type="pct"/>
                  <w:tcBorders>
                    <w:tl2br w:val="nil"/>
                    <w:tr2bl w:val="nil"/>
                  </w:tcBorders>
                  <w:vAlign w:val="center"/>
                </w:tcPr>
                <w:p w14:paraId="38E6B580">
                  <w:pPr>
                    <w:jc w:val="center"/>
                    <w:rPr>
                      <w:rFonts w:cs="Times New Roman"/>
                      <w:color w:val="auto"/>
                      <w:szCs w:val="21"/>
                    </w:rPr>
                  </w:pPr>
                  <w:r>
                    <w:rPr>
                      <w:rFonts w:cs="Times New Roman"/>
                      <w:color w:val="auto"/>
                      <w:szCs w:val="21"/>
                    </w:rPr>
                    <w:t>0.05t</w:t>
                  </w:r>
                </w:p>
              </w:tc>
              <w:tc>
                <w:tcPr>
                  <w:tcW w:w="1140" w:type="pct"/>
                  <w:tcBorders>
                    <w:tl2br w:val="nil"/>
                    <w:tr2bl w:val="nil"/>
                  </w:tcBorders>
                  <w:vAlign w:val="center"/>
                </w:tcPr>
                <w:p w14:paraId="2398CB54">
                  <w:pPr>
                    <w:jc w:val="center"/>
                    <w:rPr>
                      <w:rFonts w:cs="Times New Roman"/>
                      <w:color w:val="auto"/>
                      <w:szCs w:val="21"/>
                    </w:rPr>
                  </w:pPr>
                  <w:r>
                    <w:rPr>
                      <w:rFonts w:cs="Times New Roman"/>
                      <w:color w:val="auto"/>
                      <w:szCs w:val="21"/>
                    </w:rPr>
                    <w:t>2500t</w:t>
                  </w:r>
                </w:p>
              </w:tc>
              <w:tc>
                <w:tcPr>
                  <w:tcW w:w="956" w:type="pct"/>
                  <w:tcBorders>
                    <w:tl2br w:val="nil"/>
                    <w:tr2bl w:val="nil"/>
                  </w:tcBorders>
                  <w:vAlign w:val="center"/>
                </w:tcPr>
                <w:p w14:paraId="6C2DEDF8">
                  <w:pPr>
                    <w:jc w:val="center"/>
                    <w:rPr>
                      <w:rFonts w:cs="Times New Roman"/>
                      <w:color w:val="auto"/>
                      <w:szCs w:val="21"/>
                    </w:rPr>
                  </w:pPr>
                  <w:r>
                    <w:rPr>
                      <w:rFonts w:cs="Times New Roman"/>
                      <w:color w:val="auto"/>
                      <w:szCs w:val="21"/>
                    </w:rPr>
                    <w:t>0.00002</w:t>
                  </w:r>
                </w:p>
              </w:tc>
            </w:tr>
            <w:tr w14:paraId="37C5C36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4043" w:type="pct"/>
                  <w:gridSpan w:val="4"/>
                  <w:tcBorders>
                    <w:tl2br w:val="nil"/>
                    <w:tr2bl w:val="nil"/>
                  </w:tcBorders>
                </w:tcPr>
                <w:p w14:paraId="75FD9045">
                  <w:pPr>
                    <w:jc w:val="center"/>
                    <w:rPr>
                      <w:rFonts w:cs="Times New Roman"/>
                      <w:color w:val="auto"/>
                      <w:szCs w:val="21"/>
                    </w:rPr>
                  </w:pPr>
                  <w:r>
                    <w:rPr>
                      <w:rFonts w:cs="Times New Roman"/>
                      <w:color w:val="auto"/>
                      <w:szCs w:val="21"/>
                    </w:rPr>
                    <w:t>合计</w:t>
                  </w:r>
                </w:p>
              </w:tc>
              <w:tc>
                <w:tcPr>
                  <w:tcW w:w="956" w:type="pct"/>
                  <w:tcBorders>
                    <w:tl2br w:val="nil"/>
                    <w:tr2bl w:val="nil"/>
                  </w:tcBorders>
                  <w:vAlign w:val="center"/>
                </w:tcPr>
                <w:p w14:paraId="22A183DB">
                  <w:pPr>
                    <w:jc w:val="center"/>
                    <w:rPr>
                      <w:rFonts w:hint="eastAsia" w:eastAsia="宋体" w:cs="Times New Roman"/>
                      <w:color w:val="auto"/>
                      <w:szCs w:val="21"/>
                      <w:lang w:eastAsia="zh-CN"/>
                    </w:rPr>
                  </w:pPr>
                  <w:r>
                    <w:rPr>
                      <w:rFonts w:cs="Times New Roman"/>
                      <w:color w:val="auto"/>
                      <w:szCs w:val="21"/>
                    </w:rPr>
                    <w:t>0.0000</w:t>
                  </w:r>
                  <w:r>
                    <w:rPr>
                      <w:rFonts w:hint="eastAsia" w:cs="Times New Roman"/>
                      <w:color w:val="auto"/>
                      <w:szCs w:val="21"/>
                      <w:lang w:val="en-US" w:eastAsia="zh-CN"/>
                    </w:rPr>
                    <w:t>2</w:t>
                  </w:r>
                </w:p>
              </w:tc>
            </w:tr>
          </w:tbl>
          <w:p w14:paraId="55E67C42">
            <w:pPr>
              <w:spacing w:line="360" w:lineRule="auto"/>
              <w:ind w:firstLine="480" w:firstLineChars="200"/>
              <w:rPr>
                <w:rFonts w:cs="Times New Roman"/>
                <w:color w:val="auto"/>
                <w:sz w:val="24"/>
                <w:szCs w:val="24"/>
              </w:rPr>
            </w:pPr>
            <w:r>
              <w:rPr>
                <w:rFonts w:cs="Times New Roman"/>
                <w:color w:val="auto"/>
                <w:sz w:val="24"/>
                <w:szCs w:val="24"/>
              </w:rPr>
              <w:t>由上表可知，本项目危险物质数量与临界量比值（Q）小于1，环境风险潜势为I。</w:t>
            </w:r>
          </w:p>
          <w:p w14:paraId="3A29769E">
            <w:pPr>
              <w:spacing w:line="360" w:lineRule="auto"/>
              <w:ind w:firstLine="482" w:firstLineChars="200"/>
              <w:rPr>
                <w:rFonts w:cs="Times New Roman"/>
                <w:b/>
                <w:color w:val="auto"/>
                <w:sz w:val="24"/>
                <w:szCs w:val="24"/>
              </w:rPr>
            </w:pPr>
            <w:r>
              <w:rPr>
                <w:rFonts w:cs="Times New Roman"/>
                <w:b/>
                <w:color w:val="auto"/>
                <w:sz w:val="24"/>
                <w:szCs w:val="24"/>
              </w:rPr>
              <w:t>（3）评价等级</w:t>
            </w:r>
          </w:p>
          <w:p w14:paraId="572C29B5">
            <w:pPr>
              <w:spacing w:line="360" w:lineRule="auto"/>
              <w:ind w:firstLine="480" w:firstLineChars="200"/>
              <w:rPr>
                <w:rFonts w:cs="Times New Roman"/>
                <w:color w:val="auto"/>
                <w:sz w:val="24"/>
                <w:szCs w:val="24"/>
              </w:rPr>
            </w:pPr>
            <w:r>
              <w:rPr>
                <w:rFonts w:cs="Times New Roman"/>
                <w:color w:val="auto"/>
                <w:sz w:val="24"/>
                <w:szCs w:val="24"/>
              </w:rPr>
              <w:t>根据建设项目涉及的物质及工艺系统危险性和所在地的环境敏感性确定环境风险潜势，按照表4-</w:t>
            </w:r>
            <w:r>
              <w:rPr>
                <w:rFonts w:hint="eastAsia" w:cs="Times New Roman"/>
                <w:color w:val="auto"/>
                <w:sz w:val="24"/>
                <w:szCs w:val="24"/>
                <w:lang w:val="en-US" w:eastAsia="zh-CN"/>
              </w:rPr>
              <w:t>20</w:t>
            </w:r>
            <w:r>
              <w:rPr>
                <w:rFonts w:cs="Times New Roman"/>
                <w:color w:val="auto"/>
                <w:sz w:val="24"/>
                <w:szCs w:val="24"/>
              </w:rPr>
              <w:t>确定评价工作等级。</w:t>
            </w:r>
          </w:p>
          <w:p w14:paraId="0BA79FEB">
            <w:pPr>
              <w:spacing w:line="360" w:lineRule="auto"/>
              <w:jc w:val="center"/>
              <w:rPr>
                <w:rFonts w:cs="Times New Roman"/>
                <w:b/>
                <w:bCs/>
                <w:color w:val="auto"/>
                <w:sz w:val="24"/>
                <w:szCs w:val="24"/>
              </w:rPr>
            </w:pPr>
            <w:r>
              <w:rPr>
                <w:rFonts w:cs="Times New Roman"/>
                <w:b/>
                <w:bCs/>
                <w:color w:val="auto"/>
                <w:sz w:val="24"/>
                <w:szCs w:val="24"/>
              </w:rPr>
              <w:t>表4-</w:t>
            </w:r>
            <w:r>
              <w:rPr>
                <w:rFonts w:hint="eastAsia" w:cs="Times New Roman"/>
                <w:b/>
                <w:bCs/>
                <w:color w:val="auto"/>
                <w:sz w:val="24"/>
                <w:szCs w:val="24"/>
                <w:lang w:val="en-US" w:eastAsia="zh-CN"/>
              </w:rPr>
              <w:t>20</w:t>
            </w:r>
            <w:r>
              <w:rPr>
                <w:rFonts w:cs="Times New Roman"/>
                <w:b/>
                <w:bCs/>
                <w:color w:val="auto"/>
                <w:sz w:val="24"/>
                <w:szCs w:val="24"/>
              </w:rPr>
              <w:t xml:space="preserve">  环境风险评价工作等级划分</w:t>
            </w:r>
          </w:p>
          <w:tbl>
            <w:tblPr>
              <w:tblStyle w:val="24"/>
              <w:tblW w:w="5000" w:type="pct"/>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765"/>
              <w:gridCol w:w="1765"/>
              <w:gridCol w:w="1765"/>
              <w:gridCol w:w="1765"/>
              <w:gridCol w:w="1766"/>
            </w:tblGrid>
            <w:tr w14:paraId="6F80FC7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00" w:type="pct"/>
                  <w:tcBorders>
                    <w:tl2br w:val="nil"/>
                    <w:tr2bl w:val="nil"/>
                  </w:tcBorders>
                  <w:shd w:val="clear" w:color="auto" w:fill="auto"/>
                  <w:vAlign w:val="center"/>
                </w:tcPr>
                <w:p w14:paraId="161E1BA6">
                  <w:pPr>
                    <w:jc w:val="center"/>
                    <w:rPr>
                      <w:rFonts w:cs="Times New Roman"/>
                      <w:color w:val="auto"/>
                      <w:szCs w:val="21"/>
                    </w:rPr>
                  </w:pPr>
                  <w:r>
                    <w:rPr>
                      <w:rFonts w:cs="Times New Roman"/>
                      <w:color w:val="auto"/>
                      <w:szCs w:val="21"/>
                    </w:rPr>
                    <w:t>环境风险潜势</w:t>
                  </w:r>
                </w:p>
              </w:tc>
              <w:tc>
                <w:tcPr>
                  <w:tcW w:w="1000" w:type="pct"/>
                  <w:tcBorders>
                    <w:tl2br w:val="nil"/>
                    <w:tr2bl w:val="nil"/>
                  </w:tcBorders>
                  <w:shd w:val="clear" w:color="auto" w:fill="auto"/>
                  <w:vAlign w:val="center"/>
                </w:tcPr>
                <w:p w14:paraId="05B5FBFC">
                  <w:pPr>
                    <w:jc w:val="center"/>
                    <w:rPr>
                      <w:rFonts w:cs="Times New Roman"/>
                      <w:color w:val="auto"/>
                      <w:szCs w:val="21"/>
                    </w:rPr>
                  </w:pPr>
                  <w:r>
                    <w:rPr>
                      <w:rFonts w:cs="Times New Roman"/>
                      <w:color w:val="auto"/>
                      <w:szCs w:val="21"/>
                    </w:rPr>
                    <w:t>IV、IV</w:t>
                  </w:r>
                  <w:r>
                    <w:rPr>
                      <w:rFonts w:cs="Times New Roman"/>
                      <w:color w:val="auto"/>
                      <w:szCs w:val="21"/>
                      <w:vertAlign w:val="superscript"/>
                    </w:rPr>
                    <w:t>+</w:t>
                  </w:r>
                </w:p>
              </w:tc>
              <w:tc>
                <w:tcPr>
                  <w:tcW w:w="1000" w:type="pct"/>
                  <w:tcBorders>
                    <w:tl2br w:val="nil"/>
                    <w:tr2bl w:val="nil"/>
                  </w:tcBorders>
                  <w:shd w:val="clear" w:color="auto" w:fill="auto"/>
                  <w:vAlign w:val="center"/>
                </w:tcPr>
                <w:p w14:paraId="727B821F">
                  <w:pPr>
                    <w:jc w:val="center"/>
                    <w:rPr>
                      <w:rFonts w:cs="Times New Roman"/>
                      <w:color w:val="auto"/>
                      <w:szCs w:val="21"/>
                    </w:rPr>
                  </w:pPr>
                  <w:r>
                    <w:rPr>
                      <w:rFonts w:cs="Times New Roman"/>
                      <w:color w:val="auto"/>
                      <w:szCs w:val="21"/>
                    </w:rPr>
                    <w:t>III</w:t>
                  </w:r>
                </w:p>
              </w:tc>
              <w:tc>
                <w:tcPr>
                  <w:tcW w:w="1000" w:type="pct"/>
                  <w:tcBorders>
                    <w:tl2br w:val="nil"/>
                    <w:tr2bl w:val="nil"/>
                  </w:tcBorders>
                  <w:shd w:val="clear" w:color="auto" w:fill="auto"/>
                  <w:vAlign w:val="center"/>
                </w:tcPr>
                <w:p w14:paraId="6CB8F860">
                  <w:pPr>
                    <w:jc w:val="center"/>
                    <w:rPr>
                      <w:rFonts w:cs="Times New Roman"/>
                      <w:color w:val="auto"/>
                      <w:szCs w:val="21"/>
                    </w:rPr>
                  </w:pPr>
                  <w:r>
                    <w:rPr>
                      <w:rFonts w:cs="Times New Roman"/>
                      <w:color w:val="auto"/>
                      <w:szCs w:val="21"/>
                    </w:rPr>
                    <w:t>II</w:t>
                  </w:r>
                </w:p>
              </w:tc>
              <w:tc>
                <w:tcPr>
                  <w:tcW w:w="1000" w:type="pct"/>
                  <w:tcBorders>
                    <w:tl2br w:val="nil"/>
                    <w:tr2bl w:val="nil"/>
                  </w:tcBorders>
                  <w:shd w:val="clear" w:color="auto" w:fill="auto"/>
                  <w:vAlign w:val="center"/>
                </w:tcPr>
                <w:p w14:paraId="6623E7EC">
                  <w:pPr>
                    <w:jc w:val="center"/>
                    <w:rPr>
                      <w:rFonts w:cs="Times New Roman"/>
                      <w:color w:val="auto"/>
                      <w:szCs w:val="21"/>
                    </w:rPr>
                  </w:pPr>
                  <w:r>
                    <w:rPr>
                      <w:rFonts w:cs="Times New Roman"/>
                      <w:color w:val="auto"/>
                      <w:szCs w:val="21"/>
                    </w:rPr>
                    <w:t>I</w:t>
                  </w:r>
                </w:p>
              </w:tc>
            </w:tr>
            <w:tr w14:paraId="7A803AA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00" w:type="pct"/>
                  <w:tcBorders>
                    <w:tl2br w:val="nil"/>
                    <w:tr2bl w:val="nil"/>
                  </w:tcBorders>
                  <w:shd w:val="clear" w:color="auto" w:fill="auto"/>
                  <w:vAlign w:val="center"/>
                </w:tcPr>
                <w:p w14:paraId="6617B658">
                  <w:pPr>
                    <w:jc w:val="center"/>
                    <w:rPr>
                      <w:rFonts w:cs="Times New Roman"/>
                      <w:color w:val="auto"/>
                      <w:szCs w:val="21"/>
                    </w:rPr>
                  </w:pPr>
                  <w:r>
                    <w:rPr>
                      <w:rFonts w:cs="Times New Roman"/>
                      <w:color w:val="auto"/>
                      <w:szCs w:val="21"/>
                    </w:rPr>
                    <w:t>评价工作等级</w:t>
                  </w:r>
                </w:p>
              </w:tc>
              <w:tc>
                <w:tcPr>
                  <w:tcW w:w="1000" w:type="pct"/>
                  <w:tcBorders>
                    <w:tl2br w:val="nil"/>
                    <w:tr2bl w:val="nil"/>
                  </w:tcBorders>
                  <w:shd w:val="clear" w:color="auto" w:fill="auto"/>
                  <w:vAlign w:val="center"/>
                </w:tcPr>
                <w:p w14:paraId="60636E11">
                  <w:pPr>
                    <w:jc w:val="center"/>
                    <w:rPr>
                      <w:rFonts w:cs="Times New Roman"/>
                      <w:color w:val="auto"/>
                      <w:szCs w:val="21"/>
                    </w:rPr>
                  </w:pPr>
                  <w:r>
                    <w:rPr>
                      <w:rFonts w:cs="Times New Roman"/>
                      <w:color w:val="auto"/>
                      <w:szCs w:val="21"/>
                    </w:rPr>
                    <w:t>一</w:t>
                  </w:r>
                </w:p>
              </w:tc>
              <w:tc>
                <w:tcPr>
                  <w:tcW w:w="1000" w:type="pct"/>
                  <w:tcBorders>
                    <w:tl2br w:val="nil"/>
                    <w:tr2bl w:val="nil"/>
                  </w:tcBorders>
                  <w:shd w:val="clear" w:color="auto" w:fill="auto"/>
                  <w:vAlign w:val="center"/>
                </w:tcPr>
                <w:p w14:paraId="78BB55DF">
                  <w:pPr>
                    <w:jc w:val="center"/>
                    <w:rPr>
                      <w:rFonts w:cs="Times New Roman"/>
                      <w:color w:val="auto"/>
                      <w:szCs w:val="21"/>
                    </w:rPr>
                  </w:pPr>
                  <w:r>
                    <w:rPr>
                      <w:rFonts w:cs="Times New Roman"/>
                      <w:color w:val="auto"/>
                      <w:szCs w:val="21"/>
                    </w:rPr>
                    <w:t>二</w:t>
                  </w:r>
                </w:p>
              </w:tc>
              <w:tc>
                <w:tcPr>
                  <w:tcW w:w="1000" w:type="pct"/>
                  <w:tcBorders>
                    <w:tl2br w:val="nil"/>
                    <w:tr2bl w:val="nil"/>
                  </w:tcBorders>
                  <w:shd w:val="clear" w:color="auto" w:fill="auto"/>
                  <w:vAlign w:val="center"/>
                </w:tcPr>
                <w:p w14:paraId="07CCA1E7">
                  <w:pPr>
                    <w:jc w:val="center"/>
                    <w:rPr>
                      <w:rFonts w:cs="Times New Roman"/>
                      <w:color w:val="auto"/>
                      <w:szCs w:val="21"/>
                    </w:rPr>
                  </w:pPr>
                  <w:r>
                    <w:rPr>
                      <w:rFonts w:cs="Times New Roman"/>
                      <w:color w:val="auto"/>
                      <w:szCs w:val="21"/>
                    </w:rPr>
                    <w:t>三</w:t>
                  </w:r>
                </w:p>
              </w:tc>
              <w:tc>
                <w:tcPr>
                  <w:tcW w:w="1000" w:type="pct"/>
                  <w:tcBorders>
                    <w:tl2br w:val="nil"/>
                    <w:tr2bl w:val="nil"/>
                  </w:tcBorders>
                  <w:shd w:val="clear" w:color="auto" w:fill="auto"/>
                  <w:vAlign w:val="center"/>
                </w:tcPr>
                <w:p w14:paraId="4BA08D6F">
                  <w:pPr>
                    <w:jc w:val="center"/>
                    <w:rPr>
                      <w:rFonts w:cs="Times New Roman"/>
                      <w:color w:val="auto"/>
                      <w:szCs w:val="21"/>
                    </w:rPr>
                  </w:pPr>
                  <w:r>
                    <w:rPr>
                      <w:rFonts w:cs="Times New Roman"/>
                      <w:color w:val="auto"/>
                      <w:szCs w:val="21"/>
                    </w:rPr>
                    <w:t>简单分析</w:t>
                  </w:r>
                </w:p>
              </w:tc>
            </w:tr>
          </w:tbl>
          <w:p w14:paraId="20318B7B">
            <w:pPr>
              <w:spacing w:line="384" w:lineRule="auto"/>
              <w:ind w:firstLine="480" w:firstLineChars="200"/>
              <w:rPr>
                <w:rFonts w:cs="Times New Roman"/>
                <w:color w:val="auto"/>
                <w:sz w:val="24"/>
                <w:szCs w:val="24"/>
              </w:rPr>
            </w:pPr>
            <w:r>
              <w:rPr>
                <w:rFonts w:cs="Times New Roman"/>
                <w:color w:val="auto"/>
                <w:sz w:val="24"/>
                <w:szCs w:val="24"/>
              </w:rPr>
              <w:t>本项目环境风险潜势为I，根据上述判定依据，确定本次环评仅开展简单分析。</w:t>
            </w:r>
          </w:p>
          <w:p w14:paraId="459801FB">
            <w:pPr>
              <w:spacing w:line="384" w:lineRule="auto"/>
              <w:ind w:firstLine="482" w:firstLineChars="200"/>
              <w:rPr>
                <w:rFonts w:cs="Times New Roman"/>
                <w:b/>
                <w:bCs/>
                <w:color w:val="auto"/>
                <w:sz w:val="24"/>
                <w:szCs w:val="24"/>
              </w:rPr>
            </w:pPr>
            <w:r>
              <w:rPr>
                <w:rFonts w:cs="Times New Roman"/>
                <w:b/>
                <w:bCs/>
                <w:color w:val="auto"/>
                <w:sz w:val="24"/>
                <w:szCs w:val="24"/>
              </w:rPr>
              <w:t>（4）环境风险识别</w:t>
            </w:r>
          </w:p>
          <w:p w14:paraId="2F92FFFD">
            <w:pPr>
              <w:spacing w:line="384" w:lineRule="auto"/>
              <w:ind w:firstLine="480" w:firstLineChars="200"/>
              <w:rPr>
                <w:rFonts w:cs="Times New Roman"/>
                <w:color w:val="auto"/>
                <w:sz w:val="24"/>
                <w:szCs w:val="24"/>
              </w:rPr>
            </w:pPr>
            <w:r>
              <w:rPr>
                <w:rFonts w:cs="Times New Roman"/>
                <w:color w:val="auto"/>
                <w:sz w:val="24"/>
                <w:szCs w:val="24"/>
              </w:rPr>
              <w:t>根据《建设项目环境风险评价技术导则》（HJ169-2018），风险识别主要包括物质危险性识别、生产系统危险性识别和危险物质向环境转移的途径识别。</w:t>
            </w:r>
          </w:p>
          <w:p w14:paraId="5447F7EA">
            <w:pPr>
              <w:spacing w:line="384" w:lineRule="auto"/>
              <w:ind w:firstLine="480" w:firstLineChars="200"/>
              <w:rPr>
                <w:rFonts w:cs="Times New Roman"/>
                <w:color w:val="auto"/>
                <w:sz w:val="24"/>
                <w:szCs w:val="24"/>
              </w:rPr>
            </w:pPr>
            <w:r>
              <w:rPr>
                <w:rFonts w:cs="Times New Roman"/>
                <w:color w:val="auto"/>
                <w:sz w:val="24"/>
                <w:szCs w:val="24"/>
              </w:rPr>
              <w:t>①物质危险性识别</w:t>
            </w:r>
          </w:p>
          <w:p w14:paraId="65356ADC">
            <w:pPr>
              <w:spacing w:line="384" w:lineRule="auto"/>
              <w:ind w:firstLine="480" w:firstLineChars="200"/>
              <w:rPr>
                <w:rFonts w:cs="Times New Roman"/>
                <w:color w:val="auto"/>
                <w:sz w:val="24"/>
                <w:szCs w:val="24"/>
              </w:rPr>
            </w:pPr>
            <w:r>
              <w:rPr>
                <w:rFonts w:cs="Times New Roman"/>
                <w:color w:val="auto"/>
                <w:sz w:val="24"/>
                <w:szCs w:val="24"/>
              </w:rPr>
              <w:t>根据《建设项目环境风险评价技术导则》（HJ169-2018）附录B，本项目涉及附录表格中的危险物质：废机油。</w:t>
            </w:r>
          </w:p>
          <w:p w14:paraId="65F057E3">
            <w:pPr>
              <w:spacing w:line="384" w:lineRule="auto"/>
              <w:ind w:firstLine="480" w:firstLineChars="200"/>
              <w:rPr>
                <w:rFonts w:cs="Times New Roman"/>
                <w:color w:val="auto"/>
                <w:sz w:val="24"/>
                <w:szCs w:val="24"/>
              </w:rPr>
            </w:pPr>
            <w:r>
              <w:rPr>
                <w:rFonts w:cs="Times New Roman"/>
                <w:color w:val="auto"/>
                <w:sz w:val="24"/>
                <w:szCs w:val="24"/>
              </w:rPr>
              <w:t>②生产系统危险性识别</w:t>
            </w:r>
          </w:p>
          <w:p w14:paraId="2CEE5C0F">
            <w:pPr>
              <w:spacing w:line="384" w:lineRule="auto"/>
              <w:ind w:firstLine="480" w:firstLineChars="200"/>
              <w:rPr>
                <w:rFonts w:cs="Times New Roman"/>
                <w:color w:val="auto"/>
                <w:sz w:val="24"/>
                <w:szCs w:val="24"/>
              </w:rPr>
            </w:pPr>
            <w:r>
              <w:rPr>
                <w:rFonts w:cs="Times New Roman"/>
                <w:color w:val="auto"/>
                <w:sz w:val="24"/>
                <w:szCs w:val="24"/>
              </w:rPr>
              <w:t>本项目为石材加工项目，生产系统风险源为废水沉淀池垮塌导致废水事故排放；用电不当导致火灾发生等。</w:t>
            </w:r>
          </w:p>
          <w:p w14:paraId="4C3B29FC">
            <w:pPr>
              <w:spacing w:line="384" w:lineRule="auto"/>
              <w:ind w:firstLine="480" w:firstLineChars="200"/>
              <w:rPr>
                <w:rFonts w:cs="Times New Roman"/>
                <w:color w:val="auto"/>
                <w:sz w:val="24"/>
                <w:szCs w:val="24"/>
              </w:rPr>
            </w:pPr>
            <w:r>
              <w:rPr>
                <w:rFonts w:cs="Times New Roman"/>
                <w:color w:val="auto"/>
                <w:sz w:val="24"/>
                <w:szCs w:val="24"/>
              </w:rPr>
              <w:t>③危险物质向环境转移途径识别</w:t>
            </w:r>
          </w:p>
          <w:p w14:paraId="4EC9990F">
            <w:pPr>
              <w:spacing w:line="384" w:lineRule="auto"/>
              <w:ind w:firstLine="480" w:firstLineChars="200"/>
              <w:rPr>
                <w:rFonts w:cs="Times New Roman"/>
                <w:color w:val="auto"/>
                <w:sz w:val="24"/>
                <w:szCs w:val="24"/>
              </w:rPr>
            </w:pPr>
            <w:r>
              <w:rPr>
                <w:rFonts w:cs="Times New Roman"/>
                <w:color w:val="auto"/>
                <w:sz w:val="24"/>
                <w:szCs w:val="24"/>
              </w:rPr>
              <w:t>本项目生产过程涉及危险物质：废机油。</w:t>
            </w:r>
          </w:p>
          <w:p w14:paraId="29A6D36B">
            <w:pPr>
              <w:spacing w:line="384" w:lineRule="auto"/>
              <w:ind w:firstLine="482" w:firstLineChars="200"/>
              <w:rPr>
                <w:rFonts w:cs="Times New Roman"/>
                <w:b/>
                <w:bCs/>
                <w:color w:val="auto"/>
                <w:sz w:val="24"/>
                <w:szCs w:val="24"/>
              </w:rPr>
            </w:pPr>
            <w:r>
              <w:rPr>
                <w:rFonts w:cs="Times New Roman"/>
                <w:b/>
                <w:bCs/>
                <w:color w:val="auto"/>
                <w:sz w:val="24"/>
                <w:szCs w:val="24"/>
              </w:rPr>
              <w:t>（5）环境风险分析</w:t>
            </w:r>
          </w:p>
          <w:p w14:paraId="143E21B2">
            <w:pPr>
              <w:spacing w:line="384" w:lineRule="auto"/>
              <w:ind w:firstLine="480" w:firstLineChars="200"/>
              <w:rPr>
                <w:rFonts w:cs="Times New Roman"/>
                <w:color w:val="auto"/>
                <w:sz w:val="24"/>
                <w:szCs w:val="24"/>
              </w:rPr>
            </w:pPr>
            <w:r>
              <w:rPr>
                <w:rFonts w:cs="Times New Roman"/>
                <w:color w:val="auto"/>
                <w:sz w:val="24"/>
                <w:szCs w:val="24"/>
              </w:rPr>
              <w:t>①沉淀池垮塌事故防范措施</w:t>
            </w:r>
          </w:p>
          <w:p w14:paraId="4FD30B87">
            <w:pPr>
              <w:spacing w:line="384" w:lineRule="auto"/>
              <w:ind w:firstLine="480" w:firstLineChars="200"/>
              <w:rPr>
                <w:rFonts w:cs="Times New Roman"/>
                <w:color w:val="auto"/>
                <w:sz w:val="24"/>
                <w:szCs w:val="24"/>
              </w:rPr>
            </w:pPr>
            <w:r>
              <w:rPr>
                <w:rFonts w:cs="Times New Roman"/>
                <w:color w:val="auto"/>
                <w:sz w:val="24"/>
                <w:szCs w:val="24"/>
              </w:rPr>
              <w:t>1）将各类沉淀池修建为地下式，四周及池底为混凝土结构，并采取防渗漏处理。</w:t>
            </w:r>
          </w:p>
          <w:p w14:paraId="4AB50A6C">
            <w:pPr>
              <w:spacing w:line="384" w:lineRule="auto"/>
              <w:ind w:firstLine="480" w:firstLineChars="200"/>
              <w:rPr>
                <w:rFonts w:cs="Times New Roman"/>
                <w:color w:val="auto"/>
                <w:sz w:val="24"/>
                <w:szCs w:val="24"/>
              </w:rPr>
            </w:pPr>
            <w:r>
              <w:rPr>
                <w:rFonts w:cs="Times New Roman"/>
                <w:color w:val="auto"/>
                <w:sz w:val="24"/>
                <w:szCs w:val="24"/>
              </w:rPr>
              <w:t>2）沉淀沉渣清掏作业尽量安排专人进行操作指导，避免误操作损坏池体围堰，发生事故排放。</w:t>
            </w:r>
          </w:p>
          <w:p w14:paraId="50E1F60A">
            <w:pPr>
              <w:spacing w:line="384" w:lineRule="auto"/>
              <w:ind w:firstLine="480" w:firstLineChars="200"/>
              <w:rPr>
                <w:rFonts w:cs="Times New Roman"/>
                <w:color w:val="auto"/>
                <w:sz w:val="24"/>
                <w:szCs w:val="24"/>
              </w:rPr>
            </w:pPr>
            <w:r>
              <w:rPr>
                <w:rFonts w:hint="eastAsia" w:cs="Times New Roman"/>
                <w:color w:val="auto"/>
                <w:sz w:val="24"/>
                <w:szCs w:val="24"/>
              </w:rPr>
              <w:t>3）</w:t>
            </w:r>
            <w:r>
              <w:rPr>
                <w:rFonts w:hint="eastAsia" w:cs="Times New Roman"/>
                <w:color w:val="auto"/>
                <w:sz w:val="24"/>
                <w:szCs w:val="24"/>
                <w:lang w:eastAsia="zh-CN"/>
              </w:rPr>
              <w:t>三级沉淀池兼做</w:t>
            </w:r>
            <w:r>
              <w:rPr>
                <w:rFonts w:hint="eastAsia" w:cs="Times New Roman"/>
                <w:color w:val="auto"/>
                <w:sz w:val="24"/>
                <w:szCs w:val="24"/>
              </w:rPr>
              <w:t>事故应急池（</w:t>
            </w:r>
            <w:r>
              <w:rPr>
                <w:rFonts w:hint="eastAsia" w:cs="Times New Roman"/>
                <w:color w:val="auto"/>
                <w:sz w:val="24"/>
                <w:szCs w:val="24"/>
                <w:lang w:eastAsia="zh-CN"/>
              </w:rPr>
              <w:t>总</w:t>
            </w:r>
            <w:r>
              <w:rPr>
                <w:rFonts w:hint="eastAsia" w:cs="Times New Roman"/>
                <w:color w:val="auto"/>
                <w:sz w:val="24"/>
                <w:szCs w:val="24"/>
              </w:rPr>
              <w:t>容积</w:t>
            </w:r>
            <w:r>
              <w:rPr>
                <w:rFonts w:hint="eastAsia" w:cs="Times New Roman"/>
                <w:color w:val="auto"/>
                <w:sz w:val="24"/>
                <w:szCs w:val="24"/>
                <w:lang w:val="en-US" w:eastAsia="zh-CN"/>
              </w:rPr>
              <w:t>405</w:t>
            </w:r>
            <w:r>
              <w:rPr>
                <w:rFonts w:hint="eastAsia" w:cs="Times New Roman"/>
                <w:color w:val="auto"/>
                <w:sz w:val="24"/>
                <w:szCs w:val="24"/>
              </w:rPr>
              <w:t>m</w:t>
            </w:r>
            <w:r>
              <w:rPr>
                <w:rFonts w:hint="eastAsia" w:cs="Times New Roman"/>
                <w:color w:val="auto"/>
                <w:sz w:val="24"/>
                <w:szCs w:val="24"/>
                <w:vertAlign w:val="superscript"/>
              </w:rPr>
              <w:t>3</w:t>
            </w:r>
            <w:r>
              <w:rPr>
                <w:rFonts w:hint="eastAsia" w:cs="Times New Roman"/>
                <w:color w:val="auto"/>
                <w:sz w:val="24"/>
                <w:szCs w:val="24"/>
              </w:rPr>
              <w:t>），用于事故状况下废水暂存。</w:t>
            </w:r>
          </w:p>
          <w:p w14:paraId="722E381A">
            <w:pPr>
              <w:spacing w:line="384" w:lineRule="auto"/>
              <w:ind w:firstLine="480" w:firstLineChars="200"/>
              <w:rPr>
                <w:rFonts w:cs="Times New Roman"/>
                <w:color w:val="auto"/>
                <w:sz w:val="24"/>
                <w:szCs w:val="24"/>
              </w:rPr>
            </w:pPr>
            <w:r>
              <w:rPr>
                <w:rFonts w:hint="eastAsia" w:cs="Times New Roman"/>
                <w:color w:val="auto"/>
                <w:sz w:val="24"/>
                <w:szCs w:val="24"/>
              </w:rPr>
              <w:t>4</w:t>
            </w:r>
            <w:r>
              <w:rPr>
                <w:rFonts w:cs="Times New Roman"/>
                <w:color w:val="auto"/>
                <w:sz w:val="24"/>
                <w:szCs w:val="24"/>
              </w:rPr>
              <w:t>）其他防范措施：为能在事故发生后，迅速准确，有条不紊地处理事故，尽可能减少事故造成的损失，平时必须做好应急救援的准备工作落实岗位责任制和各项制度。</w:t>
            </w:r>
          </w:p>
          <w:p w14:paraId="3F1CC833">
            <w:pPr>
              <w:spacing w:line="384" w:lineRule="auto"/>
              <w:ind w:firstLine="480" w:firstLineChars="200"/>
              <w:rPr>
                <w:rFonts w:cs="Times New Roman"/>
                <w:color w:val="auto"/>
                <w:sz w:val="24"/>
                <w:szCs w:val="24"/>
              </w:rPr>
            </w:pPr>
            <w:r>
              <w:rPr>
                <w:rFonts w:cs="Times New Roman"/>
                <w:color w:val="auto"/>
                <w:sz w:val="24"/>
                <w:szCs w:val="24"/>
              </w:rPr>
              <w:t>②火灾事故防范措施</w:t>
            </w:r>
          </w:p>
          <w:p w14:paraId="5D046E8F">
            <w:pPr>
              <w:spacing w:line="384" w:lineRule="auto"/>
              <w:ind w:firstLine="480" w:firstLineChars="200"/>
              <w:rPr>
                <w:rFonts w:cs="Times New Roman"/>
                <w:color w:val="auto"/>
                <w:sz w:val="24"/>
                <w:szCs w:val="24"/>
              </w:rPr>
            </w:pPr>
            <w:r>
              <w:rPr>
                <w:rFonts w:cs="Times New Roman"/>
                <w:color w:val="auto"/>
                <w:sz w:val="24"/>
                <w:szCs w:val="24"/>
              </w:rPr>
              <w:t>1）对工作人员进行火灾事态时的报警培训，成立环境风险事故应急救援领导小组和应急救援专业队伍。</w:t>
            </w:r>
          </w:p>
          <w:p w14:paraId="196A2362">
            <w:pPr>
              <w:spacing w:line="384" w:lineRule="auto"/>
              <w:ind w:firstLine="480" w:firstLineChars="200"/>
              <w:rPr>
                <w:rFonts w:cs="Times New Roman"/>
                <w:color w:val="auto"/>
                <w:sz w:val="24"/>
                <w:szCs w:val="24"/>
              </w:rPr>
            </w:pPr>
            <w:r>
              <w:rPr>
                <w:rFonts w:cs="Times New Roman"/>
                <w:color w:val="auto"/>
                <w:sz w:val="24"/>
                <w:szCs w:val="24"/>
              </w:rPr>
              <w:t>2）加强日常消防设施的管理，确保事故时消防设施能够正常使用，并针对可能出现的火灾事故进行消防演练。</w:t>
            </w:r>
          </w:p>
          <w:p w14:paraId="5475E694">
            <w:pPr>
              <w:spacing w:line="384" w:lineRule="auto"/>
              <w:ind w:firstLine="480" w:firstLineChars="200"/>
              <w:rPr>
                <w:rFonts w:cs="Times New Roman"/>
                <w:color w:val="auto"/>
                <w:sz w:val="24"/>
                <w:szCs w:val="24"/>
              </w:rPr>
            </w:pPr>
            <w:r>
              <w:rPr>
                <w:rFonts w:cs="Times New Roman"/>
                <w:color w:val="auto"/>
                <w:sz w:val="24"/>
                <w:szCs w:val="24"/>
              </w:rPr>
              <w:t>3）严格明火管理，严禁吸烟、动火。消除电气火花。严格按照《中华人民共和国爆炸危险场所安全规程》和现行有关标准、规程要求进行执行。</w:t>
            </w:r>
          </w:p>
          <w:p w14:paraId="31FAFB39">
            <w:pPr>
              <w:spacing w:line="384" w:lineRule="auto"/>
              <w:ind w:firstLine="480" w:firstLineChars="200"/>
              <w:rPr>
                <w:rFonts w:cs="Times New Roman"/>
                <w:color w:val="auto"/>
                <w:sz w:val="24"/>
                <w:szCs w:val="24"/>
              </w:rPr>
            </w:pPr>
            <w:r>
              <w:rPr>
                <w:rFonts w:cs="Times New Roman"/>
                <w:color w:val="auto"/>
                <w:sz w:val="24"/>
                <w:szCs w:val="24"/>
              </w:rPr>
              <w:t>4）消防器材应在明显和便于取用的地点，周围不准堆放物品和杂物。消防设施、器材，应当由专人进行管理，负责检查，维修，保养，更换和添置，保证完好有效，严禁圈占、埋压和挪用。配备消防器材和消防设施；标识明确，使用方便；厂房内配备灭火器。同时电气设备火灾易发处配备干粉灭火器。</w:t>
            </w:r>
          </w:p>
          <w:p w14:paraId="16A040E0">
            <w:pPr>
              <w:spacing w:line="384" w:lineRule="auto"/>
              <w:ind w:firstLine="480" w:firstLineChars="200"/>
              <w:rPr>
                <w:rFonts w:cs="Times New Roman"/>
                <w:color w:val="auto"/>
                <w:sz w:val="24"/>
                <w:szCs w:val="24"/>
              </w:rPr>
            </w:pPr>
            <w:r>
              <w:rPr>
                <w:rFonts w:cs="Times New Roman"/>
                <w:color w:val="auto"/>
                <w:sz w:val="24"/>
                <w:szCs w:val="24"/>
              </w:rPr>
              <w:t>5）定期进行电气检修，电路检查，消除安全隐患。</w:t>
            </w:r>
          </w:p>
          <w:p w14:paraId="3669ACC5">
            <w:pPr>
              <w:spacing w:line="384" w:lineRule="auto"/>
              <w:ind w:firstLine="480" w:firstLineChars="200"/>
              <w:rPr>
                <w:rFonts w:cs="Times New Roman"/>
                <w:color w:val="auto"/>
                <w:sz w:val="24"/>
                <w:szCs w:val="24"/>
              </w:rPr>
            </w:pPr>
            <w:r>
              <w:rPr>
                <w:rFonts w:cs="Times New Roman"/>
                <w:color w:val="auto"/>
                <w:sz w:val="24"/>
                <w:szCs w:val="24"/>
              </w:rPr>
              <w:t>6）出现火灾时及时将可燃物品搬离，远离火源。</w:t>
            </w:r>
          </w:p>
          <w:p w14:paraId="44D8D36B">
            <w:pPr>
              <w:spacing w:line="384" w:lineRule="auto"/>
              <w:ind w:firstLine="480" w:firstLineChars="200"/>
              <w:rPr>
                <w:rFonts w:cs="Times New Roman"/>
                <w:color w:val="auto"/>
                <w:sz w:val="24"/>
                <w:szCs w:val="24"/>
              </w:rPr>
            </w:pPr>
            <w:r>
              <w:rPr>
                <w:rFonts w:cs="Times New Roman"/>
                <w:color w:val="auto"/>
                <w:sz w:val="24"/>
                <w:szCs w:val="24"/>
              </w:rPr>
              <w:t>③危险废物的暂存要求</w:t>
            </w:r>
          </w:p>
          <w:p w14:paraId="3B47337A">
            <w:pPr>
              <w:spacing w:line="384" w:lineRule="auto"/>
              <w:ind w:firstLine="480" w:firstLineChars="200"/>
              <w:rPr>
                <w:rFonts w:cs="Times New Roman"/>
                <w:color w:val="auto"/>
                <w:sz w:val="24"/>
                <w:szCs w:val="24"/>
              </w:rPr>
            </w:pPr>
            <w:r>
              <w:rPr>
                <w:rFonts w:cs="Times New Roman"/>
                <w:color w:val="auto"/>
                <w:sz w:val="24"/>
                <w:szCs w:val="24"/>
              </w:rPr>
              <w:t>危险废物须与一般物料分开储存，项目设置单独的危废暂存间，危废暂存间按照《危险废物贮存污染控制标准》（GB18598-2023）的要求，危废间地面进行重点防渗处理，地面进行重点防渗处理，废机油</w:t>
            </w:r>
            <w:r>
              <w:rPr>
                <w:rFonts w:hint="eastAsia" w:cs="Times New Roman"/>
                <w:color w:val="auto"/>
                <w:sz w:val="24"/>
                <w:szCs w:val="24"/>
              </w:rPr>
              <w:t>经</w:t>
            </w:r>
            <w:r>
              <w:rPr>
                <w:rFonts w:cs="Times New Roman"/>
                <w:color w:val="auto"/>
                <w:sz w:val="24"/>
                <w:szCs w:val="24"/>
              </w:rPr>
              <w:t>桶装收集储存，并设置不锈钢托盘，发生泄漏事故，立即将</w:t>
            </w:r>
            <w:r>
              <w:rPr>
                <w:rFonts w:hint="eastAsia" w:cs="Times New Roman"/>
                <w:color w:val="auto"/>
                <w:sz w:val="24"/>
                <w:szCs w:val="24"/>
                <w:lang w:eastAsia="zh-CN"/>
              </w:rPr>
              <w:t>泄漏</w:t>
            </w:r>
            <w:r>
              <w:rPr>
                <w:rFonts w:cs="Times New Roman"/>
                <w:color w:val="auto"/>
                <w:sz w:val="24"/>
                <w:szCs w:val="24"/>
              </w:rPr>
              <w:t>的机油风险物质转移至收集桶，再由有资质单位进行处置。减少对周围环境的影响。</w:t>
            </w:r>
          </w:p>
          <w:p w14:paraId="3D7520E3">
            <w:pPr>
              <w:spacing w:line="384" w:lineRule="auto"/>
              <w:ind w:firstLine="482" w:firstLineChars="200"/>
              <w:rPr>
                <w:rFonts w:cs="Times New Roman"/>
                <w:b/>
                <w:bCs/>
                <w:color w:val="auto"/>
                <w:sz w:val="24"/>
                <w:szCs w:val="24"/>
              </w:rPr>
            </w:pPr>
            <w:r>
              <w:rPr>
                <w:rFonts w:cs="Times New Roman"/>
                <w:b/>
                <w:bCs/>
                <w:color w:val="auto"/>
                <w:sz w:val="24"/>
                <w:szCs w:val="24"/>
              </w:rPr>
              <w:t>（6）管理对策措施</w:t>
            </w:r>
          </w:p>
          <w:p w14:paraId="10B629B3">
            <w:pPr>
              <w:spacing w:line="384" w:lineRule="auto"/>
              <w:ind w:firstLine="480" w:firstLineChars="200"/>
              <w:rPr>
                <w:rFonts w:cs="Times New Roman"/>
                <w:color w:val="auto"/>
                <w:sz w:val="24"/>
                <w:szCs w:val="24"/>
              </w:rPr>
            </w:pPr>
            <w:r>
              <w:rPr>
                <w:rFonts w:cs="Times New Roman"/>
                <w:color w:val="auto"/>
                <w:sz w:val="24"/>
                <w:szCs w:val="24"/>
              </w:rPr>
              <w:t>1）加强员工的安全、环保知识和风险事故安全教育，</w:t>
            </w:r>
            <w:r>
              <w:rPr>
                <w:rFonts w:hint="eastAsia" w:cs="Times New Roman"/>
                <w:color w:val="auto"/>
                <w:sz w:val="24"/>
                <w:szCs w:val="24"/>
                <w:lang w:eastAsia="zh-CN"/>
              </w:rPr>
              <w:t>增强</w:t>
            </w:r>
            <w:r>
              <w:rPr>
                <w:rFonts w:cs="Times New Roman"/>
                <w:color w:val="auto"/>
                <w:sz w:val="24"/>
                <w:szCs w:val="24"/>
              </w:rPr>
              <w:t>职工的风险意识，减少风险发生的概率。</w:t>
            </w:r>
          </w:p>
          <w:p w14:paraId="61A41D87">
            <w:pPr>
              <w:spacing w:line="384" w:lineRule="auto"/>
              <w:ind w:firstLine="480" w:firstLineChars="200"/>
              <w:rPr>
                <w:rFonts w:cs="Times New Roman"/>
                <w:color w:val="auto"/>
                <w:sz w:val="24"/>
                <w:szCs w:val="24"/>
              </w:rPr>
            </w:pPr>
            <w:r>
              <w:rPr>
                <w:rFonts w:cs="Times New Roman"/>
                <w:color w:val="auto"/>
                <w:sz w:val="24"/>
                <w:szCs w:val="24"/>
              </w:rPr>
              <w:t>2）企业建设环境风险管理机构，建立健全各项管理制度，制定环境管理实施计划，对各项污染物、污染源进行定期监测，记录运行及监测数据，规范厂区排污口，设置明显的标志；吸取同类企业先进操作经验和污染控制技术，建立信息反馈中心，对生产中环保问题及时反馈。</w:t>
            </w:r>
          </w:p>
          <w:p w14:paraId="15A373E0">
            <w:pPr>
              <w:spacing w:line="384" w:lineRule="auto"/>
              <w:ind w:firstLine="480" w:firstLineChars="200"/>
              <w:rPr>
                <w:rFonts w:cs="Times New Roman"/>
                <w:color w:val="auto"/>
                <w:sz w:val="24"/>
                <w:szCs w:val="24"/>
              </w:rPr>
            </w:pPr>
            <w:r>
              <w:rPr>
                <w:rFonts w:cs="Times New Roman"/>
                <w:color w:val="auto"/>
                <w:sz w:val="24"/>
                <w:szCs w:val="24"/>
              </w:rPr>
              <w:t>项目风险处于可接受的水平，风险防范措施及应急预案可靠可行。在认真落实各类安全措施和对策后，可将工程的风险发生概率降到最低。</w:t>
            </w:r>
          </w:p>
          <w:p w14:paraId="25A42CBA">
            <w:pPr>
              <w:spacing w:line="384" w:lineRule="auto"/>
              <w:ind w:firstLine="361" w:firstLineChars="150"/>
              <w:rPr>
                <w:rFonts w:cs="Times New Roman"/>
                <w:b/>
                <w:color w:val="auto"/>
                <w:sz w:val="24"/>
                <w:szCs w:val="24"/>
              </w:rPr>
            </w:pPr>
            <w:r>
              <w:rPr>
                <w:rFonts w:cs="Times New Roman"/>
                <w:b/>
                <w:color w:val="auto"/>
                <w:sz w:val="24"/>
                <w:szCs w:val="24"/>
              </w:rPr>
              <w:t>（7）环境风险分析结论</w:t>
            </w:r>
          </w:p>
          <w:p w14:paraId="03CDB610">
            <w:pPr>
              <w:spacing w:line="384" w:lineRule="auto"/>
              <w:ind w:firstLine="480" w:firstLineChars="200"/>
              <w:rPr>
                <w:rFonts w:cs="Times New Roman"/>
                <w:color w:val="auto"/>
                <w:sz w:val="24"/>
                <w:szCs w:val="24"/>
              </w:rPr>
            </w:pPr>
            <w:r>
              <w:rPr>
                <w:rFonts w:cs="Times New Roman"/>
                <w:color w:val="auto"/>
                <w:sz w:val="24"/>
                <w:szCs w:val="24"/>
              </w:rPr>
              <w:t>本项目环境风险简单分析内容见表4-2</w:t>
            </w:r>
            <w:r>
              <w:rPr>
                <w:rFonts w:hint="eastAsia" w:cs="Times New Roman"/>
                <w:color w:val="auto"/>
                <w:sz w:val="24"/>
                <w:szCs w:val="24"/>
                <w:lang w:val="en-US" w:eastAsia="zh-CN"/>
              </w:rPr>
              <w:t>1</w:t>
            </w:r>
            <w:r>
              <w:rPr>
                <w:rFonts w:cs="Times New Roman"/>
                <w:color w:val="auto"/>
                <w:sz w:val="24"/>
                <w:szCs w:val="24"/>
              </w:rPr>
              <w:t>。</w:t>
            </w:r>
          </w:p>
          <w:p w14:paraId="27D8A7BB">
            <w:pPr>
              <w:spacing w:line="360" w:lineRule="auto"/>
              <w:jc w:val="center"/>
              <w:rPr>
                <w:rFonts w:cs="Times New Roman"/>
                <w:b/>
                <w:bCs/>
                <w:color w:val="auto"/>
                <w:sz w:val="24"/>
                <w:szCs w:val="24"/>
              </w:rPr>
            </w:pPr>
            <w:r>
              <w:rPr>
                <w:rFonts w:cs="Times New Roman"/>
                <w:b/>
                <w:bCs/>
                <w:color w:val="auto"/>
                <w:sz w:val="24"/>
                <w:szCs w:val="24"/>
              </w:rPr>
              <w:t>表4-2</w:t>
            </w:r>
            <w:r>
              <w:rPr>
                <w:rFonts w:hint="eastAsia" w:cs="Times New Roman"/>
                <w:b/>
                <w:bCs/>
                <w:color w:val="auto"/>
                <w:sz w:val="24"/>
                <w:szCs w:val="24"/>
                <w:lang w:val="en-US" w:eastAsia="zh-CN"/>
              </w:rPr>
              <w:t>1</w:t>
            </w:r>
            <w:r>
              <w:rPr>
                <w:rFonts w:cs="Times New Roman"/>
                <w:b/>
                <w:bCs/>
                <w:color w:val="auto"/>
                <w:sz w:val="24"/>
                <w:szCs w:val="24"/>
              </w:rPr>
              <w:t xml:space="preserve">  建设项目环境风险简单分析内容表</w:t>
            </w:r>
          </w:p>
          <w:tbl>
            <w:tblPr>
              <w:tblStyle w:val="25"/>
              <w:tblW w:w="8659" w:type="dxa"/>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358"/>
              <w:gridCol w:w="1448"/>
              <w:gridCol w:w="1694"/>
              <w:gridCol w:w="1346"/>
              <w:gridCol w:w="1813"/>
            </w:tblGrid>
            <w:tr w14:paraId="79631EB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5" w:hRule="atLeast"/>
              </w:trPr>
              <w:tc>
                <w:tcPr>
                  <w:tcW w:w="1362" w:type="pct"/>
                  <w:tcBorders>
                    <w:tl2br w:val="nil"/>
                    <w:tr2bl w:val="nil"/>
                  </w:tcBorders>
                  <w:vAlign w:val="center"/>
                </w:tcPr>
                <w:p w14:paraId="27E52FD2">
                  <w:pPr>
                    <w:jc w:val="center"/>
                    <w:rPr>
                      <w:rFonts w:cs="Times New Roman"/>
                      <w:color w:val="auto"/>
                      <w:szCs w:val="21"/>
                    </w:rPr>
                  </w:pPr>
                  <w:r>
                    <w:rPr>
                      <w:rFonts w:cs="Times New Roman"/>
                      <w:color w:val="auto"/>
                      <w:szCs w:val="21"/>
                    </w:rPr>
                    <w:t>建设项目名称</w:t>
                  </w:r>
                </w:p>
              </w:tc>
              <w:tc>
                <w:tcPr>
                  <w:tcW w:w="3637" w:type="pct"/>
                  <w:gridSpan w:val="4"/>
                  <w:tcBorders>
                    <w:tl2br w:val="nil"/>
                    <w:tr2bl w:val="nil"/>
                  </w:tcBorders>
                  <w:vAlign w:val="center"/>
                </w:tcPr>
                <w:p w14:paraId="20DBFCD4">
                  <w:pPr>
                    <w:jc w:val="center"/>
                    <w:rPr>
                      <w:rFonts w:hint="eastAsia" w:eastAsia="宋体" w:cs="Times New Roman"/>
                      <w:color w:val="auto"/>
                      <w:szCs w:val="21"/>
                      <w:lang w:eastAsia="zh-CN"/>
                    </w:rPr>
                  </w:pPr>
                  <w:r>
                    <w:rPr>
                      <w:rFonts w:hint="eastAsia" w:cs="Times New Roman"/>
                      <w:color w:val="auto"/>
                      <w:szCs w:val="21"/>
                      <w:lang w:eastAsia="zh-CN"/>
                    </w:rPr>
                    <w:t>达州鼎磊装饰用石切割雕刻生产线建设项目</w:t>
                  </w:r>
                </w:p>
              </w:tc>
            </w:tr>
            <w:tr w14:paraId="6BCB519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362" w:type="pct"/>
                  <w:tcBorders>
                    <w:tl2br w:val="nil"/>
                    <w:tr2bl w:val="nil"/>
                  </w:tcBorders>
                  <w:vAlign w:val="center"/>
                </w:tcPr>
                <w:p w14:paraId="38353F0C">
                  <w:pPr>
                    <w:jc w:val="center"/>
                    <w:rPr>
                      <w:rFonts w:cs="Times New Roman"/>
                      <w:color w:val="auto"/>
                      <w:szCs w:val="21"/>
                    </w:rPr>
                  </w:pPr>
                  <w:r>
                    <w:rPr>
                      <w:rFonts w:cs="Times New Roman"/>
                      <w:color w:val="auto"/>
                      <w:szCs w:val="21"/>
                    </w:rPr>
                    <w:t>建设地点</w:t>
                  </w:r>
                </w:p>
              </w:tc>
              <w:tc>
                <w:tcPr>
                  <w:tcW w:w="836" w:type="pct"/>
                  <w:tcBorders>
                    <w:tl2br w:val="nil"/>
                    <w:tr2bl w:val="nil"/>
                  </w:tcBorders>
                  <w:vAlign w:val="center"/>
                </w:tcPr>
                <w:p w14:paraId="4E40EBAA">
                  <w:pPr>
                    <w:jc w:val="center"/>
                    <w:rPr>
                      <w:rFonts w:cs="Times New Roman"/>
                      <w:color w:val="auto"/>
                      <w:szCs w:val="21"/>
                    </w:rPr>
                  </w:pPr>
                  <w:r>
                    <w:rPr>
                      <w:rFonts w:cs="Times New Roman"/>
                      <w:color w:val="auto"/>
                      <w:szCs w:val="21"/>
                    </w:rPr>
                    <w:t>四川省</w:t>
                  </w:r>
                </w:p>
              </w:tc>
              <w:tc>
                <w:tcPr>
                  <w:tcW w:w="978" w:type="pct"/>
                  <w:tcBorders>
                    <w:tl2br w:val="nil"/>
                    <w:tr2bl w:val="nil"/>
                  </w:tcBorders>
                  <w:vAlign w:val="center"/>
                </w:tcPr>
                <w:p w14:paraId="06947594">
                  <w:pPr>
                    <w:jc w:val="center"/>
                    <w:rPr>
                      <w:rFonts w:cs="Times New Roman"/>
                      <w:color w:val="auto"/>
                      <w:szCs w:val="21"/>
                    </w:rPr>
                  </w:pPr>
                  <w:r>
                    <w:rPr>
                      <w:rFonts w:cs="Times New Roman"/>
                      <w:color w:val="auto"/>
                      <w:szCs w:val="21"/>
                    </w:rPr>
                    <w:t>达州市</w:t>
                  </w:r>
                </w:p>
              </w:tc>
              <w:tc>
                <w:tcPr>
                  <w:tcW w:w="777" w:type="pct"/>
                  <w:tcBorders>
                    <w:tl2br w:val="nil"/>
                    <w:tr2bl w:val="nil"/>
                  </w:tcBorders>
                  <w:vAlign w:val="center"/>
                </w:tcPr>
                <w:p w14:paraId="4DEA9C8A">
                  <w:pPr>
                    <w:jc w:val="center"/>
                    <w:rPr>
                      <w:rFonts w:hint="eastAsia" w:eastAsia="宋体" w:cs="Times New Roman"/>
                      <w:color w:val="auto"/>
                      <w:szCs w:val="21"/>
                      <w:lang w:eastAsia="zh-CN"/>
                    </w:rPr>
                  </w:pPr>
                  <w:r>
                    <w:rPr>
                      <w:rFonts w:hint="eastAsia" w:cs="Times New Roman"/>
                      <w:color w:val="auto"/>
                      <w:szCs w:val="21"/>
                      <w:lang w:eastAsia="zh-CN"/>
                    </w:rPr>
                    <w:t>通川区</w:t>
                  </w:r>
                </w:p>
              </w:tc>
              <w:tc>
                <w:tcPr>
                  <w:tcW w:w="1045" w:type="pct"/>
                  <w:tcBorders>
                    <w:tl2br w:val="nil"/>
                    <w:tr2bl w:val="nil"/>
                  </w:tcBorders>
                  <w:vAlign w:val="center"/>
                </w:tcPr>
                <w:p w14:paraId="669E3ED2">
                  <w:pPr>
                    <w:jc w:val="center"/>
                    <w:rPr>
                      <w:rFonts w:cs="Times New Roman"/>
                      <w:color w:val="auto"/>
                      <w:szCs w:val="21"/>
                    </w:rPr>
                  </w:pPr>
                  <w:r>
                    <w:rPr>
                      <w:rFonts w:hint="eastAsia" w:cs="Times New Roman"/>
                      <w:color w:val="auto"/>
                      <w:szCs w:val="21"/>
                      <w:lang w:eastAsia="zh-CN"/>
                    </w:rPr>
                    <w:t>东岳镇虹桥社区</w:t>
                  </w:r>
                </w:p>
              </w:tc>
            </w:tr>
            <w:tr w14:paraId="62C3F9D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362" w:type="pct"/>
                  <w:tcBorders>
                    <w:tl2br w:val="nil"/>
                    <w:tr2bl w:val="nil"/>
                  </w:tcBorders>
                  <w:vAlign w:val="center"/>
                </w:tcPr>
                <w:p w14:paraId="4089E1D0">
                  <w:pPr>
                    <w:jc w:val="center"/>
                    <w:rPr>
                      <w:rFonts w:cs="Times New Roman"/>
                      <w:color w:val="auto"/>
                      <w:szCs w:val="21"/>
                    </w:rPr>
                  </w:pPr>
                  <w:r>
                    <w:rPr>
                      <w:rFonts w:cs="Times New Roman"/>
                      <w:color w:val="auto"/>
                      <w:szCs w:val="21"/>
                    </w:rPr>
                    <w:t>地理坐标</w:t>
                  </w:r>
                </w:p>
              </w:tc>
              <w:tc>
                <w:tcPr>
                  <w:tcW w:w="836" w:type="pct"/>
                  <w:tcBorders>
                    <w:tl2br w:val="nil"/>
                    <w:tr2bl w:val="nil"/>
                  </w:tcBorders>
                  <w:vAlign w:val="center"/>
                </w:tcPr>
                <w:p w14:paraId="1B12400E">
                  <w:pPr>
                    <w:jc w:val="center"/>
                    <w:rPr>
                      <w:rFonts w:cs="Times New Roman"/>
                      <w:color w:val="auto"/>
                      <w:szCs w:val="21"/>
                    </w:rPr>
                  </w:pPr>
                  <w:r>
                    <w:rPr>
                      <w:rFonts w:cs="Times New Roman"/>
                      <w:color w:val="auto"/>
                      <w:szCs w:val="21"/>
                    </w:rPr>
                    <w:t>经度</w:t>
                  </w:r>
                </w:p>
              </w:tc>
              <w:tc>
                <w:tcPr>
                  <w:tcW w:w="978" w:type="pct"/>
                  <w:tcBorders>
                    <w:tl2br w:val="nil"/>
                    <w:tr2bl w:val="nil"/>
                  </w:tcBorders>
                  <w:vAlign w:val="center"/>
                </w:tcPr>
                <w:p w14:paraId="65E2E2A5">
                  <w:pPr>
                    <w:jc w:val="center"/>
                    <w:rPr>
                      <w:rFonts w:cs="Times New Roman"/>
                      <w:color w:val="auto"/>
                      <w:szCs w:val="21"/>
                    </w:rPr>
                  </w:pPr>
                  <w:r>
                    <w:rPr>
                      <w:rFonts w:cs="Times New Roman"/>
                      <w:color w:val="auto"/>
                      <w:szCs w:val="21"/>
                    </w:rPr>
                    <w:t>107°24′1.519″</w:t>
                  </w:r>
                </w:p>
              </w:tc>
              <w:tc>
                <w:tcPr>
                  <w:tcW w:w="777" w:type="pct"/>
                  <w:tcBorders>
                    <w:tl2br w:val="nil"/>
                    <w:tr2bl w:val="nil"/>
                  </w:tcBorders>
                  <w:vAlign w:val="center"/>
                </w:tcPr>
                <w:p w14:paraId="76DF8EE7">
                  <w:pPr>
                    <w:jc w:val="center"/>
                    <w:rPr>
                      <w:rFonts w:cs="Times New Roman"/>
                      <w:color w:val="auto"/>
                      <w:szCs w:val="21"/>
                    </w:rPr>
                  </w:pPr>
                  <w:r>
                    <w:rPr>
                      <w:rFonts w:cs="Times New Roman"/>
                      <w:color w:val="auto"/>
                      <w:szCs w:val="21"/>
                    </w:rPr>
                    <w:t>纬度</w:t>
                  </w:r>
                </w:p>
              </w:tc>
              <w:tc>
                <w:tcPr>
                  <w:tcW w:w="1045" w:type="pct"/>
                  <w:tcBorders>
                    <w:tl2br w:val="nil"/>
                    <w:tr2bl w:val="nil"/>
                  </w:tcBorders>
                  <w:vAlign w:val="center"/>
                </w:tcPr>
                <w:p w14:paraId="4EEFF206">
                  <w:pPr>
                    <w:jc w:val="center"/>
                    <w:rPr>
                      <w:rFonts w:cs="Times New Roman"/>
                      <w:color w:val="auto"/>
                      <w:szCs w:val="21"/>
                    </w:rPr>
                  </w:pPr>
                  <w:r>
                    <w:rPr>
                      <w:rFonts w:cs="Times New Roman"/>
                      <w:color w:val="auto"/>
                      <w:szCs w:val="21"/>
                    </w:rPr>
                    <w:t>31°8′17.970″</w:t>
                  </w:r>
                </w:p>
              </w:tc>
            </w:tr>
            <w:tr w14:paraId="2AD6E43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362" w:type="pct"/>
                  <w:tcBorders>
                    <w:tl2br w:val="nil"/>
                    <w:tr2bl w:val="nil"/>
                  </w:tcBorders>
                  <w:vAlign w:val="center"/>
                </w:tcPr>
                <w:p w14:paraId="08B451D3">
                  <w:pPr>
                    <w:jc w:val="center"/>
                    <w:rPr>
                      <w:rFonts w:cs="Times New Roman"/>
                      <w:color w:val="auto"/>
                      <w:szCs w:val="21"/>
                    </w:rPr>
                  </w:pPr>
                  <w:r>
                    <w:rPr>
                      <w:rFonts w:cs="Times New Roman"/>
                      <w:color w:val="auto"/>
                      <w:szCs w:val="21"/>
                    </w:rPr>
                    <w:t>主要危险物质及分布</w:t>
                  </w:r>
                </w:p>
              </w:tc>
              <w:tc>
                <w:tcPr>
                  <w:tcW w:w="3637" w:type="pct"/>
                  <w:gridSpan w:val="4"/>
                  <w:tcBorders>
                    <w:tl2br w:val="nil"/>
                    <w:tr2bl w:val="nil"/>
                  </w:tcBorders>
                  <w:vAlign w:val="center"/>
                </w:tcPr>
                <w:p w14:paraId="453B3235">
                  <w:pPr>
                    <w:rPr>
                      <w:rFonts w:cs="Times New Roman"/>
                      <w:color w:val="auto"/>
                      <w:szCs w:val="21"/>
                    </w:rPr>
                  </w:pPr>
                  <w:r>
                    <w:rPr>
                      <w:rFonts w:cs="Times New Roman"/>
                      <w:color w:val="auto"/>
                      <w:szCs w:val="21"/>
                    </w:rPr>
                    <w:t>危废暂存间：废机油</w:t>
                  </w:r>
                </w:p>
              </w:tc>
            </w:tr>
            <w:tr w14:paraId="7CFC00E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400" w:hRule="atLeast"/>
              </w:trPr>
              <w:tc>
                <w:tcPr>
                  <w:tcW w:w="1362" w:type="pct"/>
                  <w:tcBorders>
                    <w:tl2br w:val="nil"/>
                    <w:tr2bl w:val="nil"/>
                  </w:tcBorders>
                  <w:vAlign w:val="center"/>
                </w:tcPr>
                <w:p w14:paraId="38F28FCB">
                  <w:pPr>
                    <w:jc w:val="center"/>
                    <w:rPr>
                      <w:rFonts w:cs="Times New Roman"/>
                      <w:color w:val="auto"/>
                      <w:szCs w:val="21"/>
                    </w:rPr>
                  </w:pPr>
                  <w:r>
                    <w:rPr>
                      <w:rFonts w:cs="Times New Roman"/>
                      <w:color w:val="auto"/>
                      <w:szCs w:val="21"/>
                    </w:rPr>
                    <w:t>环境影响途径及危害后果</w:t>
                  </w:r>
                </w:p>
                <w:p w14:paraId="1BAC1B30">
                  <w:pPr>
                    <w:jc w:val="center"/>
                    <w:rPr>
                      <w:rFonts w:cs="Times New Roman"/>
                      <w:color w:val="auto"/>
                      <w:szCs w:val="21"/>
                    </w:rPr>
                  </w:pPr>
                  <w:r>
                    <w:rPr>
                      <w:rFonts w:cs="Times New Roman"/>
                      <w:color w:val="auto"/>
                      <w:szCs w:val="21"/>
                    </w:rPr>
                    <w:t>（大气、地表水、地下水等）</w:t>
                  </w:r>
                </w:p>
              </w:tc>
              <w:tc>
                <w:tcPr>
                  <w:tcW w:w="3637" w:type="pct"/>
                  <w:gridSpan w:val="4"/>
                  <w:tcBorders>
                    <w:tl2br w:val="nil"/>
                    <w:tr2bl w:val="nil"/>
                  </w:tcBorders>
                  <w:vAlign w:val="center"/>
                </w:tcPr>
                <w:p w14:paraId="74CABCC6">
                  <w:pPr>
                    <w:rPr>
                      <w:rFonts w:cs="Times New Roman"/>
                      <w:color w:val="auto"/>
                      <w:szCs w:val="21"/>
                    </w:rPr>
                  </w:pPr>
                  <w:r>
                    <w:rPr>
                      <w:rFonts w:cs="Times New Roman"/>
                      <w:color w:val="auto"/>
                      <w:szCs w:val="21"/>
                    </w:rPr>
                    <w:t>地表水环境：生产废水、废机油等泄漏通过地表径流或雨水管道进入地表水环境，火灾消防过程废水通过地表径流或雨水管网排入地表水环境；</w:t>
                  </w:r>
                </w:p>
                <w:p w14:paraId="5A1497DD">
                  <w:pPr>
                    <w:rPr>
                      <w:rFonts w:cs="Times New Roman"/>
                      <w:color w:val="auto"/>
                      <w:szCs w:val="21"/>
                    </w:rPr>
                  </w:pPr>
                  <w:r>
                    <w:rPr>
                      <w:rFonts w:cs="Times New Roman"/>
                      <w:color w:val="auto"/>
                      <w:szCs w:val="21"/>
                    </w:rPr>
                    <w:t>地下水环境或土壤环境：生产废水、废机油等泄漏通过垂直渗透进入地下水环境或土壤环境。</w:t>
                  </w:r>
                </w:p>
              </w:tc>
            </w:tr>
            <w:tr w14:paraId="7E51C8E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35" w:hRule="atLeast"/>
              </w:trPr>
              <w:tc>
                <w:tcPr>
                  <w:tcW w:w="1362" w:type="pct"/>
                  <w:tcBorders>
                    <w:tl2br w:val="nil"/>
                    <w:tr2bl w:val="nil"/>
                  </w:tcBorders>
                  <w:vAlign w:val="center"/>
                </w:tcPr>
                <w:p w14:paraId="447946A0">
                  <w:pPr>
                    <w:jc w:val="center"/>
                    <w:rPr>
                      <w:rFonts w:cs="Times New Roman"/>
                      <w:color w:val="auto"/>
                      <w:szCs w:val="21"/>
                    </w:rPr>
                  </w:pPr>
                  <w:r>
                    <w:rPr>
                      <w:rFonts w:cs="Times New Roman"/>
                      <w:color w:val="auto"/>
                      <w:szCs w:val="21"/>
                    </w:rPr>
                    <w:t>风险防范措施要求</w:t>
                  </w:r>
                </w:p>
              </w:tc>
              <w:tc>
                <w:tcPr>
                  <w:tcW w:w="3637" w:type="pct"/>
                  <w:gridSpan w:val="4"/>
                  <w:tcBorders>
                    <w:tl2br w:val="nil"/>
                    <w:tr2bl w:val="nil"/>
                  </w:tcBorders>
                  <w:vAlign w:val="center"/>
                </w:tcPr>
                <w:p w14:paraId="220C8723">
                  <w:pPr>
                    <w:rPr>
                      <w:rFonts w:cs="Times New Roman"/>
                      <w:color w:val="auto"/>
                      <w:szCs w:val="21"/>
                    </w:rPr>
                  </w:pPr>
                  <w:r>
                    <w:rPr>
                      <w:rFonts w:cs="Times New Roman"/>
                      <w:color w:val="auto"/>
                      <w:szCs w:val="21"/>
                    </w:rPr>
                    <w:t>①将沉淀池修建为地下式，四周及池底为</w:t>
                  </w:r>
                  <w:r>
                    <w:rPr>
                      <w:rFonts w:hint="eastAsia" w:cs="Times New Roman"/>
                      <w:color w:val="auto"/>
                      <w:szCs w:val="21"/>
                      <w:lang w:eastAsia="zh-CN"/>
                    </w:rPr>
                    <w:t>商混</w:t>
                  </w:r>
                  <w:r>
                    <w:rPr>
                      <w:rFonts w:cs="Times New Roman"/>
                      <w:color w:val="auto"/>
                      <w:szCs w:val="21"/>
                    </w:rPr>
                    <w:t>结构，并采取防渗漏处理；</w:t>
                  </w:r>
                </w:p>
                <w:p w14:paraId="04F95671">
                  <w:pPr>
                    <w:rPr>
                      <w:rFonts w:cs="Times New Roman"/>
                      <w:color w:val="auto"/>
                      <w:szCs w:val="21"/>
                    </w:rPr>
                  </w:pPr>
                  <w:r>
                    <w:rPr>
                      <w:rFonts w:cs="Times New Roman"/>
                      <w:color w:val="auto"/>
                      <w:szCs w:val="21"/>
                    </w:rPr>
                    <w:t>②沉淀沉渣清掏作业尽量安排专人进行操作指导，避免误操作损坏池体围堰，发生事故排放</w:t>
                  </w:r>
                </w:p>
                <w:p w14:paraId="1CF2B6CA">
                  <w:pPr>
                    <w:rPr>
                      <w:rFonts w:cs="Times New Roman"/>
                      <w:color w:val="auto"/>
                      <w:szCs w:val="21"/>
                    </w:rPr>
                  </w:pPr>
                  <w:r>
                    <w:rPr>
                      <w:rFonts w:cs="Times New Roman"/>
                      <w:color w:val="auto"/>
                      <w:szCs w:val="21"/>
                    </w:rPr>
                    <w:t>③设置警示标识，配备相应数量灭火器，开展员工安全培训；加强污染防治设施管理和维护。</w:t>
                  </w:r>
                </w:p>
                <w:p w14:paraId="2F6E72F9">
                  <w:pPr>
                    <w:rPr>
                      <w:rFonts w:cs="Times New Roman"/>
                      <w:color w:val="auto"/>
                      <w:szCs w:val="21"/>
                    </w:rPr>
                  </w:pPr>
                  <w:r>
                    <w:rPr>
                      <w:rFonts w:cs="Times New Roman"/>
                      <w:color w:val="auto"/>
                      <w:szCs w:val="21"/>
                    </w:rPr>
                    <w:t>④危废暂存间做好地面防渗、防漏措施，设置防渗托盘，设置备用收容设施</w:t>
                  </w:r>
                </w:p>
              </w:tc>
            </w:tr>
            <w:tr w14:paraId="5436B37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71" w:hRule="atLeast"/>
              </w:trPr>
              <w:tc>
                <w:tcPr>
                  <w:tcW w:w="5000" w:type="pct"/>
                  <w:gridSpan w:val="5"/>
                  <w:tcBorders>
                    <w:tl2br w:val="nil"/>
                    <w:tr2bl w:val="nil"/>
                  </w:tcBorders>
                  <w:vAlign w:val="center"/>
                </w:tcPr>
                <w:p w14:paraId="1996953F">
                  <w:pPr>
                    <w:rPr>
                      <w:rFonts w:cs="Times New Roman"/>
                      <w:color w:val="auto"/>
                      <w:szCs w:val="21"/>
                    </w:rPr>
                  </w:pPr>
                  <w:r>
                    <w:rPr>
                      <w:rFonts w:cs="Times New Roman"/>
                      <w:color w:val="auto"/>
                      <w:szCs w:val="21"/>
                    </w:rPr>
                    <w:t>填表说明（列出项目相关信息及评价说明）：</w:t>
                  </w:r>
                </w:p>
                <w:p w14:paraId="25C21A97">
                  <w:pPr>
                    <w:ind w:firstLine="420" w:firstLineChars="200"/>
                    <w:rPr>
                      <w:rFonts w:cs="Times New Roman"/>
                      <w:color w:val="auto"/>
                      <w:szCs w:val="21"/>
                    </w:rPr>
                  </w:pPr>
                  <w:r>
                    <w:rPr>
                      <w:rFonts w:cs="Times New Roman"/>
                      <w:color w:val="auto"/>
                      <w:szCs w:val="21"/>
                    </w:rPr>
                    <w:t>本项目环境风险潜势为I，评价等级为简单分析，在落实环评提出的风险防范措施后，环境风险可控。</w:t>
                  </w:r>
                </w:p>
              </w:tc>
            </w:tr>
          </w:tbl>
          <w:p w14:paraId="5A084BFF">
            <w:pPr>
              <w:spacing w:line="360" w:lineRule="auto"/>
              <w:ind w:firstLine="480"/>
              <w:rPr>
                <w:rFonts w:cs="Times New Roman"/>
                <w:color w:val="auto"/>
                <w:sz w:val="24"/>
                <w:szCs w:val="24"/>
              </w:rPr>
            </w:pPr>
            <w:r>
              <w:rPr>
                <w:rFonts w:cs="Times New Roman"/>
                <w:color w:val="auto"/>
                <w:sz w:val="24"/>
                <w:szCs w:val="24"/>
              </w:rPr>
              <w:t>综上所述，本项目环境风险潜势为I，营运期落实本报告提出的各项措施、建立和落实各项风险预警防范措施和事故应急计划，杜绝重大安全事故和重大环境污染事故的发生，可使项目建成后风险水平处于可接受程度。</w:t>
            </w:r>
          </w:p>
          <w:p w14:paraId="6ACDD648">
            <w:pPr>
              <w:spacing w:line="360" w:lineRule="auto"/>
              <w:rPr>
                <w:rFonts w:cs="Times New Roman"/>
                <w:color w:val="auto"/>
                <w:sz w:val="24"/>
                <w:szCs w:val="24"/>
              </w:rPr>
            </w:pPr>
          </w:p>
        </w:tc>
      </w:tr>
      <w:tr w14:paraId="682BE3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8" w:type="dxa"/>
            <w:vAlign w:val="center"/>
          </w:tcPr>
          <w:p w14:paraId="02525E50">
            <w:pPr>
              <w:jc w:val="center"/>
              <w:rPr>
                <w:rFonts w:cs="Times New Roman"/>
                <w:color w:val="auto"/>
                <w:sz w:val="24"/>
                <w:szCs w:val="24"/>
              </w:rPr>
            </w:pPr>
            <w:r>
              <w:rPr>
                <w:rFonts w:cs="Times New Roman"/>
                <w:color w:val="auto"/>
                <w:sz w:val="24"/>
                <w:szCs w:val="24"/>
              </w:rPr>
              <w:t>环保投资</w:t>
            </w:r>
          </w:p>
        </w:tc>
        <w:tc>
          <w:tcPr>
            <w:tcW w:w="8852" w:type="dxa"/>
          </w:tcPr>
          <w:p w14:paraId="5AE80D2B">
            <w:pPr>
              <w:spacing w:line="360" w:lineRule="auto"/>
              <w:ind w:firstLine="480" w:firstLineChars="200"/>
              <w:rPr>
                <w:rFonts w:cs="Times New Roman"/>
                <w:color w:val="auto"/>
                <w:sz w:val="24"/>
                <w:szCs w:val="24"/>
                <w:highlight w:val="yellow"/>
              </w:rPr>
            </w:pPr>
            <w:r>
              <w:rPr>
                <w:rFonts w:cs="Times New Roman"/>
                <w:color w:val="auto"/>
                <w:sz w:val="24"/>
                <w:szCs w:val="24"/>
              </w:rPr>
              <w:t>本项目</w:t>
            </w:r>
            <w:r>
              <w:rPr>
                <w:rFonts w:cs="Times New Roman"/>
                <w:color w:val="auto"/>
                <w:sz w:val="24"/>
                <w:szCs w:val="24"/>
                <w:highlight w:val="none"/>
              </w:rPr>
              <w:t>总投资</w:t>
            </w:r>
            <w:r>
              <w:rPr>
                <w:rFonts w:hint="eastAsia" w:cs="Times New Roman"/>
                <w:color w:val="auto"/>
                <w:sz w:val="24"/>
                <w:szCs w:val="24"/>
                <w:highlight w:val="none"/>
                <w:lang w:val="en-US" w:eastAsia="zh-CN"/>
              </w:rPr>
              <w:t>2</w:t>
            </w:r>
            <w:r>
              <w:rPr>
                <w:rFonts w:cs="Times New Roman"/>
                <w:color w:val="auto"/>
                <w:sz w:val="24"/>
                <w:szCs w:val="24"/>
                <w:highlight w:val="none"/>
              </w:rPr>
              <w:t>00万元，环保投资约</w:t>
            </w:r>
            <w:r>
              <w:rPr>
                <w:rFonts w:hint="eastAsia" w:cs="Times New Roman"/>
                <w:color w:val="auto"/>
                <w:sz w:val="24"/>
                <w:szCs w:val="24"/>
                <w:highlight w:val="none"/>
                <w:lang w:val="en-US" w:eastAsia="zh-CN"/>
              </w:rPr>
              <w:t>42.7</w:t>
            </w:r>
            <w:r>
              <w:rPr>
                <w:rFonts w:cs="Times New Roman"/>
                <w:color w:val="auto"/>
                <w:sz w:val="24"/>
                <w:szCs w:val="24"/>
                <w:highlight w:val="none"/>
              </w:rPr>
              <w:t>万元，占总投资的</w:t>
            </w:r>
            <w:r>
              <w:rPr>
                <w:rFonts w:hint="eastAsia" w:cs="Times New Roman"/>
                <w:color w:val="auto"/>
                <w:sz w:val="24"/>
                <w:szCs w:val="24"/>
                <w:highlight w:val="none"/>
                <w:lang w:val="en-US" w:eastAsia="zh-CN"/>
              </w:rPr>
              <w:t>21.35</w:t>
            </w:r>
            <w:r>
              <w:rPr>
                <w:rFonts w:cs="Times New Roman"/>
                <w:color w:val="auto"/>
                <w:sz w:val="24"/>
                <w:szCs w:val="24"/>
                <w:highlight w:val="none"/>
              </w:rPr>
              <w:t>%，主要环保措施及投资估算见表4-22。</w:t>
            </w:r>
          </w:p>
          <w:p w14:paraId="4A43742D">
            <w:pPr>
              <w:spacing w:line="360" w:lineRule="auto"/>
              <w:jc w:val="center"/>
              <w:rPr>
                <w:rFonts w:cs="Times New Roman"/>
                <w:b/>
                <w:bCs/>
                <w:color w:val="auto"/>
                <w:sz w:val="24"/>
                <w:szCs w:val="24"/>
                <w:highlight w:val="none"/>
              </w:rPr>
            </w:pPr>
            <w:r>
              <w:rPr>
                <w:rFonts w:cs="Times New Roman"/>
                <w:b/>
                <w:bCs/>
                <w:color w:val="auto"/>
                <w:sz w:val="24"/>
                <w:szCs w:val="24"/>
                <w:highlight w:val="none"/>
              </w:rPr>
              <w:t>表4-22  环保投资估算一览表</w:t>
            </w:r>
          </w:p>
          <w:tbl>
            <w:tblPr>
              <w:tblStyle w:val="24"/>
              <w:tblW w:w="4953"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55"/>
              <w:gridCol w:w="864"/>
              <w:gridCol w:w="4652"/>
              <w:gridCol w:w="1345"/>
              <w:gridCol w:w="927"/>
            </w:tblGrid>
            <w:tr w14:paraId="3006CD9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6" w:hRule="atLeast"/>
                <w:jc w:val="center"/>
              </w:trPr>
              <w:tc>
                <w:tcPr>
                  <w:tcW w:w="546" w:type="pct"/>
                  <w:tcBorders>
                    <w:tl2br w:val="nil"/>
                    <w:tr2bl w:val="nil"/>
                  </w:tcBorders>
                  <w:vAlign w:val="center"/>
                </w:tcPr>
                <w:p w14:paraId="2DD3B382">
                  <w:pPr>
                    <w:keepNext w:val="0"/>
                    <w:keepLines w:val="0"/>
                    <w:pageBreakBefore w:val="0"/>
                    <w:widowControl w:val="0"/>
                    <w:kinsoku/>
                    <w:wordWrap/>
                    <w:overflowPunct/>
                    <w:topLinePunct w:val="0"/>
                    <w:autoSpaceDE/>
                    <w:autoSpaceDN/>
                    <w:bidi w:val="0"/>
                    <w:spacing w:line="280" w:lineRule="exact"/>
                    <w:jc w:val="center"/>
                    <w:textAlignment w:val="auto"/>
                    <w:rPr>
                      <w:rFonts w:cs="Times New Roman"/>
                      <w:b/>
                      <w:bCs/>
                      <w:color w:val="auto"/>
                      <w:szCs w:val="21"/>
                      <w:highlight w:val="none"/>
                    </w:rPr>
                  </w:pPr>
                  <w:r>
                    <w:rPr>
                      <w:rFonts w:cs="Times New Roman"/>
                      <w:b/>
                      <w:bCs/>
                      <w:color w:val="auto"/>
                      <w:szCs w:val="21"/>
                      <w:highlight w:val="none"/>
                    </w:rPr>
                    <w:t>项目</w:t>
                  </w:r>
                </w:p>
              </w:tc>
              <w:tc>
                <w:tcPr>
                  <w:tcW w:w="3154" w:type="pct"/>
                  <w:gridSpan w:val="2"/>
                  <w:tcBorders>
                    <w:tl2br w:val="nil"/>
                    <w:tr2bl w:val="nil"/>
                  </w:tcBorders>
                  <w:vAlign w:val="center"/>
                </w:tcPr>
                <w:p w14:paraId="2790A89C">
                  <w:pPr>
                    <w:keepNext w:val="0"/>
                    <w:keepLines w:val="0"/>
                    <w:pageBreakBefore w:val="0"/>
                    <w:widowControl w:val="0"/>
                    <w:kinsoku/>
                    <w:wordWrap/>
                    <w:overflowPunct/>
                    <w:topLinePunct w:val="0"/>
                    <w:autoSpaceDE/>
                    <w:autoSpaceDN/>
                    <w:bidi w:val="0"/>
                    <w:spacing w:line="280" w:lineRule="exact"/>
                    <w:jc w:val="center"/>
                    <w:textAlignment w:val="auto"/>
                    <w:rPr>
                      <w:rFonts w:cs="Times New Roman"/>
                      <w:b/>
                      <w:bCs/>
                      <w:color w:val="auto"/>
                      <w:szCs w:val="21"/>
                      <w:highlight w:val="none"/>
                    </w:rPr>
                  </w:pPr>
                  <w:r>
                    <w:rPr>
                      <w:rFonts w:cs="Times New Roman"/>
                      <w:b/>
                      <w:bCs/>
                      <w:color w:val="auto"/>
                      <w:szCs w:val="21"/>
                      <w:highlight w:val="none"/>
                    </w:rPr>
                    <w:t>内容</w:t>
                  </w:r>
                </w:p>
              </w:tc>
              <w:tc>
                <w:tcPr>
                  <w:tcW w:w="769" w:type="pct"/>
                  <w:tcBorders>
                    <w:tl2br w:val="nil"/>
                    <w:tr2bl w:val="nil"/>
                  </w:tcBorders>
                  <w:vAlign w:val="center"/>
                </w:tcPr>
                <w:p w14:paraId="378CB1D9">
                  <w:pPr>
                    <w:keepNext w:val="0"/>
                    <w:keepLines w:val="0"/>
                    <w:pageBreakBefore w:val="0"/>
                    <w:widowControl w:val="0"/>
                    <w:kinsoku/>
                    <w:wordWrap/>
                    <w:overflowPunct/>
                    <w:topLinePunct w:val="0"/>
                    <w:autoSpaceDE/>
                    <w:autoSpaceDN/>
                    <w:bidi w:val="0"/>
                    <w:spacing w:line="280" w:lineRule="exact"/>
                    <w:jc w:val="center"/>
                    <w:textAlignment w:val="auto"/>
                    <w:rPr>
                      <w:rFonts w:cs="Times New Roman"/>
                      <w:b/>
                      <w:bCs/>
                      <w:color w:val="auto"/>
                      <w:szCs w:val="21"/>
                      <w:highlight w:val="none"/>
                    </w:rPr>
                  </w:pPr>
                  <w:r>
                    <w:rPr>
                      <w:rFonts w:cs="Times New Roman"/>
                      <w:b/>
                      <w:bCs/>
                      <w:color w:val="auto"/>
                      <w:szCs w:val="21"/>
                      <w:highlight w:val="none"/>
                    </w:rPr>
                    <w:t>投资（万元）</w:t>
                  </w:r>
                </w:p>
              </w:tc>
              <w:tc>
                <w:tcPr>
                  <w:tcW w:w="530" w:type="pct"/>
                  <w:tcBorders>
                    <w:tl2br w:val="nil"/>
                    <w:tr2bl w:val="nil"/>
                  </w:tcBorders>
                  <w:vAlign w:val="center"/>
                </w:tcPr>
                <w:p w14:paraId="5C0A391F">
                  <w:pPr>
                    <w:keepNext w:val="0"/>
                    <w:keepLines w:val="0"/>
                    <w:pageBreakBefore w:val="0"/>
                    <w:widowControl w:val="0"/>
                    <w:kinsoku/>
                    <w:wordWrap/>
                    <w:overflowPunct/>
                    <w:topLinePunct w:val="0"/>
                    <w:autoSpaceDE/>
                    <w:autoSpaceDN/>
                    <w:bidi w:val="0"/>
                    <w:spacing w:line="280" w:lineRule="exact"/>
                    <w:jc w:val="center"/>
                    <w:textAlignment w:val="auto"/>
                    <w:rPr>
                      <w:rFonts w:cs="Times New Roman"/>
                      <w:b/>
                      <w:bCs/>
                      <w:color w:val="auto"/>
                      <w:szCs w:val="21"/>
                      <w:highlight w:val="none"/>
                    </w:rPr>
                  </w:pPr>
                  <w:r>
                    <w:rPr>
                      <w:rFonts w:cs="Times New Roman"/>
                      <w:b/>
                      <w:bCs/>
                      <w:color w:val="auto"/>
                      <w:szCs w:val="21"/>
                      <w:highlight w:val="none"/>
                    </w:rPr>
                    <w:t>备注</w:t>
                  </w:r>
                </w:p>
              </w:tc>
            </w:tr>
            <w:tr w14:paraId="29B9322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45" w:hRule="atLeast"/>
                <w:jc w:val="center"/>
              </w:trPr>
              <w:tc>
                <w:tcPr>
                  <w:tcW w:w="546" w:type="pct"/>
                  <w:vMerge w:val="restart"/>
                  <w:tcBorders>
                    <w:tl2br w:val="nil"/>
                    <w:tr2bl w:val="nil"/>
                  </w:tcBorders>
                  <w:vAlign w:val="center"/>
                </w:tcPr>
                <w:p w14:paraId="78B8584C">
                  <w:pPr>
                    <w:keepNext w:val="0"/>
                    <w:keepLines w:val="0"/>
                    <w:pageBreakBefore w:val="0"/>
                    <w:widowControl w:val="0"/>
                    <w:kinsoku/>
                    <w:wordWrap/>
                    <w:overflowPunct/>
                    <w:topLinePunct w:val="0"/>
                    <w:autoSpaceDE/>
                    <w:autoSpaceDN/>
                    <w:bidi w:val="0"/>
                    <w:spacing w:line="280" w:lineRule="exact"/>
                    <w:jc w:val="center"/>
                    <w:textAlignment w:val="auto"/>
                    <w:rPr>
                      <w:rFonts w:cs="Times New Roman"/>
                      <w:color w:val="auto"/>
                      <w:szCs w:val="21"/>
                      <w:highlight w:val="none"/>
                    </w:rPr>
                  </w:pPr>
                  <w:r>
                    <w:rPr>
                      <w:rFonts w:cs="Times New Roman"/>
                      <w:color w:val="auto"/>
                      <w:szCs w:val="21"/>
                      <w:highlight w:val="none"/>
                    </w:rPr>
                    <w:t>废气治理</w:t>
                  </w:r>
                </w:p>
              </w:tc>
              <w:tc>
                <w:tcPr>
                  <w:tcW w:w="494" w:type="pct"/>
                  <w:tcBorders>
                    <w:tl2br w:val="nil"/>
                    <w:tr2bl w:val="nil"/>
                  </w:tcBorders>
                  <w:vAlign w:val="center"/>
                </w:tcPr>
                <w:p w14:paraId="67E55874">
                  <w:pPr>
                    <w:keepNext w:val="0"/>
                    <w:keepLines w:val="0"/>
                    <w:pageBreakBefore w:val="0"/>
                    <w:widowControl w:val="0"/>
                    <w:kinsoku/>
                    <w:wordWrap/>
                    <w:overflowPunct/>
                    <w:topLinePunct w:val="0"/>
                    <w:autoSpaceDE/>
                    <w:autoSpaceDN/>
                    <w:bidi w:val="0"/>
                    <w:spacing w:line="280" w:lineRule="exact"/>
                    <w:jc w:val="center"/>
                    <w:textAlignment w:val="auto"/>
                    <w:rPr>
                      <w:rFonts w:cs="Times New Roman"/>
                      <w:color w:val="auto"/>
                      <w:szCs w:val="21"/>
                      <w:highlight w:val="none"/>
                    </w:rPr>
                  </w:pPr>
                  <w:r>
                    <w:rPr>
                      <w:rFonts w:cs="Times New Roman"/>
                      <w:color w:val="auto"/>
                      <w:szCs w:val="21"/>
                      <w:highlight w:val="none"/>
                    </w:rPr>
                    <w:t>施工期</w:t>
                  </w:r>
                </w:p>
              </w:tc>
              <w:tc>
                <w:tcPr>
                  <w:tcW w:w="2659" w:type="pct"/>
                  <w:tcBorders>
                    <w:tl2br w:val="nil"/>
                    <w:tr2bl w:val="nil"/>
                  </w:tcBorders>
                  <w:vAlign w:val="center"/>
                </w:tcPr>
                <w:p w14:paraId="2468E4F8">
                  <w:pPr>
                    <w:pStyle w:val="49"/>
                    <w:keepNext w:val="0"/>
                    <w:keepLines w:val="0"/>
                    <w:pageBreakBefore w:val="0"/>
                    <w:widowControl w:val="0"/>
                    <w:kinsoku/>
                    <w:wordWrap/>
                    <w:overflowPunct/>
                    <w:topLinePunct w:val="0"/>
                    <w:autoSpaceDE/>
                    <w:autoSpaceDN/>
                    <w:bidi w:val="0"/>
                    <w:spacing w:line="280" w:lineRule="exact"/>
                    <w:jc w:val="left"/>
                    <w:textAlignment w:val="auto"/>
                    <w:rPr>
                      <w:rFonts w:eastAsia="宋体"/>
                      <w:color w:val="auto"/>
                      <w:sz w:val="21"/>
                      <w:highlight w:val="none"/>
                    </w:rPr>
                  </w:pPr>
                  <w:r>
                    <w:rPr>
                      <w:rFonts w:eastAsia="宋体"/>
                      <w:color w:val="auto"/>
                      <w:sz w:val="21"/>
                      <w:highlight w:val="none"/>
                    </w:rPr>
                    <w:t>封闭施工，主要洒水抑尘，设置喷淋、冲洗等降尘措施</w:t>
                  </w:r>
                </w:p>
              </w:tc>
              <w:tc>
                <w:tcPr>
                  <w:tcW w:w="769" w:type="pct"/>
                  <w:tcBorders>
                    <w:tl2br w:val="nil"/>
                    <w:tr2bl w:val="nil"/>
                  </w:tcBorders>
                  <w:vAlign w:val="center"/>
                </w:tcPr>
                <w:p w14:paraId="7E5E98D2">
                  <w:pPr>
                    <w:keepNext w:val="0"/>
                    <w:keepLines w:val="0"/>
                    <w:pageBreakBefore w:val="0"/>
                    <w:widowControl w:val="0"/>
                    <w:kinsoku/>
                    <w:wordWrap/>
                    <w:overflowPunct/>
                    <w:topLinePunct w:val="0"/>
                    <w:autoSpaceDE/>
                    <w:autoSpaceDN/>
                    <w:bidi w:val="0"/>
                    <w:spacing w:line="280" w:lineRule="exact"/>
                    <w:jc w:val="center"/>
                    <w:textAlignment w:val="auto"/>
                    <w:rPr>
                      <w:rFonts w:cs="Times New Roman"/>
                      <w:color w:val="auto"/>
                      <w:szCs w:val="21"/>
                      <w:highlight w:val="none"/>
                    </w:rPr>
                  </w:pPr>
                  <w:r>
                    <w:rPr>
                      <w:rFonts w:cs="Times New Roman"/>
                      <w:color w:val="auto"/>
                      <w:szCs w:val="21"/>
                      <w:highlight w:val="none"/>
                    </w:rPr>
                    <w:t>1.0</w:t>
                  </w:r>
                </w:p>
              </w:tc>
              <w:tc>
                <w:tcPr>
                  <w:tcW w:w="530" w:type="pct"/>
                  <w:tcBorders>
                    <w:tl2br w:val="nil"/>
                    <w:tr2bl w:val="nil"/>
                  </w:tcBorders>
                  <w:vAlign w:val="center"/>
                </w:tcPr>
                <w:p w14:paraId="590957C5">
                  <w:pPr>
                    <w:keepNext w:val="0"/>
                    <w:keepLines w:val="0"/>
                    <w:pageBreakBefore w:val="0"/>
                    <w:widowControl w:val="0"/>
                    <w:kinsoku/>
                    <w:wordWrap/>
                    <w:overflowPunct/>
                    <w:topLinePunct w:val="0"/>
                    <w:autoSpaceDE/>
                    <w:autoSpaceDN/>
                    <w:bidi w:val="0"/>
                    <w:spacing w:line="280" w:lineRule="exact"/>
                    <w:jc w:val="center"/>
                    <w:textAlignment w:val="auto"/>
                    <w:rPr>
                      <w:rFonts w:cs="Times New Roman"/>
                      <w:color w:val="auto"/>
                      <w:szCs w:val="21"/>
                      <w:highlight w:val="none"/>
                    </w:rPr>
                  </w:pPr>
                  <w:r>
                    <w:rPr>
                      <w:rFonts w:cs="Times New Roman"/>
                      <w:color w:val="auto"/>
                      <w:szCs w:val="21"/>
                      <w:highlight w:val="none"/>
                    </w:rPr>
                    <w:t>新</w:t>
                  </w:r>
                  <w:r>
                    <w:rPr>
                      <w:rFonts w:hint="eastAsia" w:cs="Times New Roman"/>
                      <w:color w:val="auto"/>
                      <w:szCs w:val="21"/>
                      <w:highlight w:val="none"/>
                      <w:lang w:eastAsia="zh-CN"/>
                    </w:rPr>
                    <w:t>建</w:t>
                  </w:r>
                </w:p>
              </w:tc>
            </w:tr>
            <w:tr w14:paraId="616F5BE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70" w:hRule="atLeast"/>
                <w:jc w:val="center"/>
              </w:trPr>
              <w:tc>
                <w:tcPr>
                  <w:tcW w:w="546" w:type="pct"/>
                  <w:vMerge w:val="continue"/>
                  <w:tcBorders>
                    <w:tl2br w:val="nil"/>
                    <w:tr2bl w:val="nil"/>
                  </w:tcBorders>
                  <w:vAlign w:val="center"/>
                </w:tcPr>
                <w:p w14:paraId="213B207F">
                  <w:pPr>
                    <w:keepNext w:val="0"/>
                    <w:keepLines w:val="0"/>
                    <w:pageBreakBefore w:val="0"/>
                    <w:widowControl w:val="0"/>
                    <w:kinsoku/>
                    <w:wordWrap/>
                    <w:overflowPunct/>
                    <w:topLinePunct w:val="0"/>
                    <w:autoSpaceDE/>
                    <w:autoSpaceDN/>
                    <w:bidi w:val="0"/>
                    <w:spacing w:line="280" w:lineRule="exact"/>
                    <w:jc w:val="center"/>
                    <w:textAlignment w:val="auto"/>
                    <w:rPr>
                      <w:rFonts w:cs="Times New Roman"/>
                      <w:color w:val="auto"/>
                      <w:szCs w:val="21"/>
                      <w:highlight w:val="none"/>
                    </w:rPr>
                  </w:pPr>
                </w:p>
              </w:tc>
              <w:tc>
                <w:tcPr>
                  <w:tcW w:w="494" w:type="pct"/>
                  <w:vMerge w:val="restart"/>
                  <w:tcBorders>
                    <w:tl2br w:val="nil"/>
                    <w:tr2bl w:val="nil"/>
                  </w:tcBorders>
                  <w:vAlign w:val="center"/>
                </w:tcPr>
                <w:p w14:paraId="7BDC5439">
                  <w:pPr>
                    <w:keepNext w:val="0"/>
                    <w:keepLines w:val="0"/>
                    <w:pageBreakBefore w:val="0"/>
                    <w:widowControl w:val="0"/>
                    <w:kinsoku/>
                    <w:wordWrap/>
                    <w:overflowPunct/>
                    <w:topLinePunct w:val="0"/>
                    <w:autoSpaceDE/>
                    <w:autoSpaceDN/>
                    <w:bidi w:val="0"/>
                    <w:spacing w:line="280" w:lineRule="exact"/>
                    <w:jc w:val="center"/>
                    <w:textAlignment w:val="auto"/>
                    <w:rPr>
                      <w:rFonts w:cs="Times New Roman"/>
                      <w:color w:val="auto"/>
                      <w:szCs w:val="21"/>
                      <w:highlight w:val="none"/>
                    </w:rPr>
                  </w:pPr>
                  <w:r>
                    <w:rPr>
                      <w:rFonts w:cs="Times New Roman"/>
                      <w:color w:val="auto"/>
                      <w:szCs w:val="21"/>
                      <w:highlight w:val="none"/>
                    </w:rPr>
                    <w:t>营运期</w:t>
                  </w:r>
                </w:p>
              </w:tc>
              <w:tc>
                <w:tcPr>
                  <w:tcW w:w="2659" w:type="pct"/>
                  <w:tcBorders>
                    <w:tl2br w:val="nil"/>
                    <w:tr2bl w:val="nil"/>
                  </w:tcBorders>
                  <w:vAlign w:val="center"/>
                </w:tcPr>
                <w:p w14:paraId="2F18FD9C">
                  <w:pPr>
                    <w:keepNext w:val="0"/>
                    <w:keepLines w:val="0"/>
                    <w:pageBreakBefore w:val="0"/>
                    <w:widowControl w:val="0"/>
                    <w:kinsoku/>
                    <w:wordWrap/>
                    <w:overflowPunct/>
                    <w:topLinePunct w:val="0"/>
                    <w:autoSpaceDE/>
                    <w:autoSpaceDN/>
                    <w:bidi w:val="0"/>
                    <w:spacing w:line="280" w:lineRule="exact"/>
                    <w:jc w:val="left"/>
                    <w:textAlignment w:val="auto"/>
                    <w:rPr>
                      <w:rFonts w:cs="Times New Roman"/>
                      <w:color w:val="auto"/>
                      <w:szCs w:val="21"/>
                      <w:highlight w:val="none"/>
                    </w:rPr>
                  </w:pPr>
                  <w:r>
                    <w:rPr>
                      <w:rFonts w:hint="eastAsia" w:cs="Times New Roman"/>
                      <w:bCs/>
                      <w:color w:val="auto"/>
                      <w:kern w:val="0"/>
                      <w:szCs w:val="21"/>
                      <w:highlight w:val="none"/>
                      <w:lang w:eastAsia="zh-CN"/>
                    </w:rPr>
                    <w:t>石材</w:t>
                  </w:r>
                  <w:r>
                    <w:rPr>
                      <w:rFonts w:cs="Times New Roman"/>
                      <w:bCs/>
                      <w:color w:val="auto"/>
                      <w:kern w:val="0"/>
                      <w:szCs w:val="21"/>
                      <w:highlight w:val="none"/>
                    </w:rPr>
                    <w:t>加工粉尘：</w:t>
                  </w:r>
                  <w:r>
                    <w:rPr>
                      <w:rFonts w:hint="eastAsia" w:cs="Times New Roman"/>
                      <w:bCs/>
                      <w:color w:val="auto"/>
                      <w:kern w:val="0"/>
                      <w:szCs w:val="21"/>
                      <w:highlight w:val="none"/>
                      <w:lang w:eastAsia="zh-CN"/>
                    </w:rPr>
                    <w:t>生产</w:t>
                  </w:r>
                  <w:r>
                    <w:rPr>
                      <w:rFonts w:cs="Times New Roman"/>
                      <w:bCs/>
                      <w:color w:val="auto"/>
                      <w:kern w:val="0"/>
                      <w:szCs w:val="21"/>
                      <w:highlight w:val="none"/>
                    </w:rPr>
                    <w:t>车间为全封闭</w:t>
                  </w:r>
                  <w:r>
                    <w:rPr>
                      <w:rFonts w:hint="eastAsia" w:cs="Times New Roman"/>
                      <w:bCs/>
                      <w:color w:val="auto"/>
                      <w:kern w:val="0"/>
                      <w:szCs w:val="21"/>
                      <w:highlight w:val="none"/>
                      <w:lang w:eastAsia="zh-CN"/>
                    </w:rPr>
                    <w:t>钢结构厂房</w:t>
                  </w:r>
                  <w:r>
                    <w:rPr>
                      <w:rFonts w:cs="Times New Roman"/>
                      <w:bCs/>
                      <w:color w:val="auto"/>
                      <w:kern w:val="0"/>
                      <w:szCs w:val="21"/>
                      <w:highlight w:val="none"/>
                    </w:rPr>
                    <w:t>（只留车辆出入口），各</w:t>
                  </w:r>
                  <w:r>
                    <w:rPr>
                      <w:rFonts w:hint="eastAsia" w:cs="Times New Roman"/>
                      <w:bCs/>
                      <w:color w:val="auto"/>
                      <w:kern w:val="0"/>
                      <w:szCs w:val="21"/>
                      <w:highlight w:val="none"/>
                      <w:lang w:eastAsia="zh-CN"/>
                    </w:rPr>
                    <w:t>生产</w:t>
                  </w:r>
                  <w:r>
                    <w:rPr>
                      <w:rFonts w:cs="Times New Roman"/>
                      <w:color w:val="auto"/>
                      <w:szCs w:val="21"/>
                      <w:highlight w:val="none"/>
                    </w:rPr>
                    <w:t>设备均布置于厂房内。切割、雕刻、</w:t>
                  </w:r>
                  <w:r>
                    <w:rPr>
                      <w:rFonts w:hint="eastAsia" w:cs="Times New Roman"/>
                      <w:color w:val="auto"/>
                      <w:szCs w:val="21"/>
                      <w:highlight w:val="none"/>
                      <w:lang w:eastAsia="zh-CN"/>
                    </w:rPr>
                    <w:t>抛磨</w:t>
                  </w:r>
                  <w:r>
                    <w:rPr>
                      <w:rFonts w:cs="Times New Roman"/>
                      <w:color w:val="auto"/>
                      <w:szCs w:val="21"/>
                      <w:highlight w:val="none"/>
                    </w:rPr>
                    <w:t>处理工序均采取设置自动喷水设施，采取湿法作业</w:t>
                  </w:r>
                </w:p>
              </w:tc>
              <w:tc>
                <w:tcPr>
                  <w:tcW w:w="769" w:type="pct"/>
                  <w:tcBorders>
                    <w:tl2br w:val="nil"/>
                    <w:tr2bl w:val="nil"/>
                  </w:tcBorders>
                  <w:vAlign w:val="center"/>
                </w:tcPr>
                <w:p w14:paraId="0E7288ED">
                  <w:pPr>
                    <w:keepNext w:val="0"/>
                    <w:keepLines w:val="0"/>
                    <w:pageBreakBefore w:val="0"/>
                    <w:widowControl w:val="0"/>
                    <w:kinsoku/>
                    <w:wordWrap/>
                    <w:overflowPunct/>
                    <w:topLinePunct w:val="0"/>
                    <w:autoSpaceDE/>
                    <w:autoSpaceDN/>
                    <w:bidi w:val="0"/>
                    <w:spacing w:line="280" w:lineRule="exact"/>
                    <w:jc w:val="center"/>
                    <w:textAlignment w:val="auto"/>
                    <w:rPr>
                      <w:rFonts w:cs="Times New Roman"/>
                      <w:color w:val="auto"/>
                      <w:szCs w:val="21"/>
                      <w:highlight w:val="none"/>
                    </w:rPr>
                  </w:pPr>
                  <w:r>
                    <w:rPr>
                      <w:rFonts w:hint="eastAsia" w:cs="Times New Roman"/>
                      <w:color w:val="auto"/>
                      <w:szCs w:val="21"/>
                      <w:highlight w:val="none"/>
                      <w:lang w:val="en-US" w:eastAsia="zh-CN"/>
                    </w:rPr>
                    <w:t>10</w:t>
                  </w:r>
                  <w:r>
                    <w:rPr>
                      <w:rFonts w:cs="Times New Roman"/>
                      <w:color w:val="auto"/>
                      <w:szCs w:val="21"/>
                      <w:highlight w:val="none"/>
                    </w:rPr>
                    <w:t>.0</w:t>
                  </w:r>
                </w:p>
              </w:tc>
              <w:tc>
                <w:tcPr>
                  <w:tcW w:w="530" w:type="pct"/>
                  <w:tcBorders>
                    <w:tl2br w:val="nil"/>
                    <w:tr2bl w:val="nil"/>
                  </w:tcBorders>
                  <w:vAlign w:val="center"/>
                </w:tcPr>
                <w:p w14:paraId="1D0CD6A9">
                  <w:pPr>
                    <w:keepNext w:val="0"/>
                    <w:keepLines w:val="0"/>
                    <w:pageBreakBefore w:val="0"/>
                    <w:widowControl w:val="0"/>
                    <w:kinsoku/>
                    <w:wordWrap/>
                    <w:overflowPunct/>
                    <w:topLinePunct w:val="0"/>
                    <w:autoSpaceDE/>
                    <w:autoSpaceDN/>
                    <w:bidi w:val="0"/>
                    <w:spacing w:line="280" w:lineRule="exact"/>
                    <w:jc w:val="center"/>
                    <w:textAlignment w:val="auto"/>
                    <w:rPr>
                      <w:rFonts w:cs="Times New Roman"/>
                      <w:color w:val="auto"/>
                      <w:szCs w:val="21"/>
                      <w:highlight w:val="none"/>
                    </w:rPr>
                  </w:pPr>
                  <w:r>
                    <w:rPr>
                      <w:rFonts w:cs="Times New Roman"/>
                      <w:color w:val="auto"/>
                      <w:szCs w:val="21"/>
                      <w:highlight w:val="none"/>
                    </w:rPr>
                    <w:t>利旧+改建</w:t>
                  </w:r>
                </w:p>
              </w:tc>
            </w:tr>
            <w:tr w14:paraId="503FB51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45" w:hRule="atLeast"/>
                <w:jc w:val="center"/>
              </w:trPr>
              <w:tc>
                <w:tcPr>
                  <w:tcW w:w="546" w:type="pct"/>
                  <w:vMerge w:val="continue"/>
                  <w:tcBorders>
                    <w:tl2br w:val="nil"/>
                    <w:tr2bl w:val="nil"/>
                  </w:tcBorders>
                  <w:vAlign w:val="center"/>
                </w:tcPr>
                <w:p w14:paraId="415BD4C3">
                  <w:pPr>
                    <w:keepNext w:val="0"/>
                    <w:keepLines w:val="0"/>
                    <w:pageBreakBefore w:val="0"/>
                    <w:widowControl w:val="0"/>
                    <w:kinsoku/>
                    <w:wordWrap/>
                    <w:overflowPunct/>
                    <w:topLinePunct w:val="0"/>
                    <w:autoSpaceDE/>
                    <w:autoSpaceDN/>
                    <w:bidi w:val="0"/>
                    <w:spacing w:line="280" w:lineRule="exact"/>
                    <w:jc w:val="center"/>
                    <w:textAlignment w:val="auto"/>
                    <w:rPr>
                      <w:rFonts w:cs="Times New Roman"/>
                      <w:color w:val="auto"/>
                      <w:szCs w:val="21"/>
                      <w:highlight w:val="none"/>
                    </w:rPr>
                  </w:pPr>
                </w:p>
              </w:tc>
              <w:tc>
                <w:tcPr>
                  <w:tcW w:w="494" w:type="pct"/>
                  <w:vMerge w:val="continue"/>
                  <w:tcBorders>
                    <w:tl2br w:val="nil"/>
                    <w:tr2bl w:val="nil"/>
                  </w:tcBorders>
                  <w:vAlign w:val="center"/>
                </w:tcPr>
                <w:p w14:paraId="1D045367">
                  <w:pPr>
                    <w:keepNext w:val="0"/>
                    <w:keepLines w:val="0"/>
                    <w:pageBreakBefore w:val="0"/>
                    <w:widowControl w:val="0"/>
                    <w:kinsoku/>
                    <w:wordWrap/>
                    <w:overflowPunct/>
                    <w:topLinePunct w:val="0"/>
                    <w:autoSpaceDE/>
                    <w:autoSpaceDN/>
                    <w:bidi w:val="0"/>
                    <w:spacing w:line="280" w:lineRule="exact"/>
                    <w:jc w:val="center"/>
                    <w:textAlignment w:val="auto"/>
                    <w:rPr>
                      <w:rFonts w:cs="Times New Roman"/>
                      <w:color w:val="auto"/>
                      <w:szCs w:val="21"/>
                      <w:highlight w:val="none"/>
                    </w:rPr>
                  </w:pPr>
                </w:p>
              </w:tc>
              <w:tc>
                <w:tcPr>
                  <w:tcW w:w="2659" w:type="pct"/>
                  <w:tcBorders>
                    <w:tl2br w:val="nil"/>
                    <w:tr2bl w:val="nil"/>
                  </w:tcBorders>
                  <w:vAlign w:val="center"/>
                </w:tcPr>
                <w:p w14:paraId="498A21E8">
                  <w:pPr>
                    <w:keepNext w:val="0"/>
                    <w:keepLines w:val="0"/>
                    <w:pageBreakBefore w:val="0"/>
                    <w:widowControl w:val="0"/>
                    <w:kinsoku/>
                    <w:wordWrap/>
                    <w:overflowPunct/>
                    <w:topLinePunct w:val="0"/>
                    <w:autoSpaceDE/>
                    <w:autoSpaceDN/>
                    <w:bidi w:val="0"/>
                    <w:spacing w:line="280" w:lineRule="exact"/>
                    <w:jc w:val="left"/>
                    <w:textAlignment w:val="auto"/>
                    <w:rPr>
                      <w:rFonts w:cs="Times New Roman"/>
                      <w:bCs/>
                      <w:color w:val="auto"/>
                      <w:kern w:val="0"/>
                      <w:szCs w:val="21"/>
                      <w:highlight w:val="none"/>
                    </w:rPr>
                  </w:pPr>
                  <w:r>
                    <w:rPr>
                      <w:rFonts w:hint="eastAsia" w:cs="Times New Roman"/>
                      <w:bCs/>
                      <w:color w:val="auto"/>
                      <w:kern w:val="0"/>
                      <w:szCs w:val="21"/>
                      <w:highlight w:val="none"/>
                    </w:rPr>
                    <w:t>石材喷砂粉尘：采取布袋除尘器收集处理后，经车间阻隔无组织排放。</w:t>
                  </w:r>
                </w:p>
              </w:tc>
              <w:tc>
                <w:tcPr>
                  <w:tcW w:w="769" w:type="pct"/>
                  <w:tcBorders>
                    <w:tl2br w:val="nil"/>
                    <w:tr2bl w:val="nil"/>
                  </w:tcBorders>
                  <w:vAlign w:val="center"/>
                </w:tcPr>
                <w:p w14:paraId="4A6633B8">
                  <w:pPr>
                    <w:keepNext w:val="0"/>
                    <w:keepLines w:val="0"/>
                    <w:pageBreakBefore w:val="0"/>
                    <w:widowControl w:val="0"/>
                    <w:kinsoku/>
                    <w:wordWrap/>
                    <w:overflowPunct/>
                    <w:topLinePunct w:val="0"/>
                    <w:autoSpaceDE/>
                    <w:autoSpaceDN/>
                    <w:bidi w:val="0"/>
                    <w:spacing w:line="280" w:lineRule="exact"/>
                    <w:jc w:val="center"/>
                    <w:textAlignment w:val="auto"/>
                    <w:rPr>
                      <w:rFonts w:hint="eastAsia" w:eastAsia="宋体" w:cs="Times New Roman"/>
                      <w:color w:val="auto"/>
                      <w:szCs w:val="21"/>
                      <w:highlight w:val="none"/>
                      <w:lang w:eastAsia="zh-CN"/>
                    </w:rPr>
                  </w:pPr>
                  <w:r>
                    <w:rPr>
                      <w:rFonts w:hint="eastAsia" w:cs="Times New Roman"/>
                      <w:color w:val="auto"/>
                      <w:szCs w:val="21"/>
                      <w:highlight w:val="none"/>
                      <w:lang w:val="en-US" w:eastAsia="zh-CN"/>
                    </w:rPr>
                    <w:t>0</w:t>
                  </w:r>
                  <w:r>
                    <w:rPr>
                      <w:rFonts w:hint="eastAsia" w:cs="Times New Roman"/>
                      <w:color w:val="auto"/>
                      <w:szCs w:val="21"/>
                      <w:highlight w:val="none"/>
                    </w:rPr>
                    <w:t>.</w:t>
                  </w:r>
                  <w:r>
                    <w:rPr>
                      <w:rFonts w:hint="eastAsia" w:cs="Times New Roman"/>
                      <w:color w:val="auto"/>
                      <w:szCs w:val="21"/>
                      <w:highlight w:val="none"/>
                      <w:lang w:val="en-US" w:eastAsia="zh-CN"/>
                    </w:rPr>
                    <w:t>5</w:t>
                  </w:r>
                </w:p>
              </w:tc>
              <w:tc>
                <w:tcPr>
                  <w:tcW w:w="530" w:type="pct"/>
                  <w:tcBorders>
                    <w:tl2br w:val="nil"/>
                    <w:tr2bl w:val="nil"/>
                  </w:tcBorders>
                  <w:vAlign w:val="center"/>
                </w:tcPr>
                <w:p w14:paraId="5A95CF27">
                  <w:pPr>
                    <w:keepNext w:val="0"/>
                    <w:keepLines w:val="0"/>
                    <w:pageBreakBefore w:val="0"/>
                    <w:widowControl w:val="0"/>
                    <w:kinsoku/>
                    <w:wordWrap/>
                    <w:overflowPunct/>
                    <w:topLinePunct w:val="0"/>
                    <w:autoSpaceDE/>
                    <w:autoSpaceDN/>
                    <w:bidi w:val="0"/>
                    <w:spacing w:line="280" w:lineRule="exact"/>
                    <w:jc w:val="center"/>
                    <w:textAlignment w:val="auto"/>
                    <w:rPr>
                      <w:rFonts w:cs="Times New Roman"/>
                      <w:color w:val="auto"/>
                      <w:szCs w:val="21"/>
                      <w:highlight w:val="none"/>
                    </w:rPr>
                  </w:pPr>
                  <w:r>
                    <w:rPr>
                      <w:rFonts w:cs="Times New Roman"/>
                      <w:color w:val="auto"/>
                      <w:szCs w:val="21"/>
                      <w:highlight w:val="none"/>
                    </w:rPr>
                    <w:t>新</w:t>
                  </w:r>
                  <w:r>
                    <w:rPr>
                      <w:rFonts w:hint="eastAsia" w:cs="Times New Roman"/>
                      <w:color w:val="auto"/>
                      <w:szCs w:val="21"/>
                      <w:highlight w:val="none"/>
                      <w:lang w:eastAsia="zh-CN"/>
                    </w:rPr>
                    <w:t>建</w:t>
                  </w:r>
                </w:p>
              </w:tc>
            </w:tr>
            <w:tr w14:paraId="5039CF5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45" w:hRule="atLeast"/>
                <w:jc w:val="center"/>
              </w:trPr>
              <w:tc>
                <w:tcPr>
                  <w:tcW w:w="546" w:type="pct"/>
                  <w:vMerge w:val="continue"/>
                  <w:tcBorders>
                    <w:tl2br w:val="nil"/>
                    <w:tr2bl w:val="nil"/>
                  </w:tcBorders>
                  <w:vAlign w:val="center"/>
                </w:tcPr>
                <w:p w14:paraId="0E0A673C">
                  <w:pPr>
                    <w:keepNext w:val="0"/>
                    <w:keepLines w:val="0"/>
                    <w:pageBreakBefore w:val="0"/>
                    <w:widowControl w:val="0"/>
                    <w:kinsoku/>
                    <w:wordWrap/>
                    <w:overflowPunct/>
                    <w:topLinePunct w:val="0"/>
                    <w:autoSpaceDE/>
                    <w:autoSpaceDN/>
                    <w:bidi w:val="0"/>
                    <w:spacing w:line="280" w:lineRule="exact"/>
                    <w:jc w:val="center"/>
                    <w:textAlignment w:val="auto"/>
                    <w:rPr>
                      <w:rFonts w:cs="Times New Roman"/>
                      <w:color w:val="auto"/>
                      <w:szCs w:val="21"/>
                      <w:highlight w:val="none"/>
                    </w:rPr>
                  </w:pPr>
                </w:p>
              </w:tc>
              <w:tc>
                <w:tcPr>
                  <w:tcW w:w="494" w:type="pct"/>
                  <w:vMerge w:val="continue"/>
                  <w:tcBorders>
                    <w:tl2br w:val="nil"/>
                    <w:tr2bl w:val="nil"/>
                  </w:tcBorders>
                  <w:vAlign w:val="center"/>
                </w:tcPr>
                <w:p w14:paraId="4C412011">
                  <w:pPr>
                    <w:keepNext w:val="0"/>
                    <w:keepLines w:val="0"/>
                    <w:pageBreakBefore w:val="0"/>
                    <w:widowControl w:val="0"/>
                    <w:kinsoku/>
                    <w:wordWrap/>
                    <w:overflowPunct/>
                    <w:topLinePunct w:val="0"/>
                    <w:autoSpaceDE/>
                    <w:autoSpaceDN/>
                    <w:bidi w:val="0"/>
                    <w:spacing w:line="280" w:lineRule="exact"/>
                    <w:jc w:val="center"/>
                    <w:textAlignment w:val="auto"/>
                    <w:rPr>
                      <w:rFonts w:cs="Times New Roman"/>
                      <w:color w:val="auto"/>
                      <w:szCs w:val="21"/>
                      <w:highlight w:val="none"/>
                    </w:rPr>
                  </w:pPr>
                </w:p>
              </w:tc>
              <w:tc>
                <w:tcPr>
                  <w:tcW w:w="2659" w:type="pct"/>
                  <w:tcBorders>
                    <w:tl2br w:val="nil"/>
                    <w:tr2bl w:val="nil"/>
                  </w:tcBorders>
                  <w:vAlign w:val="center"/>
                </w:tcPr>
                <w:p w14:paraId="6CD686D1">
                  <w:pPr>
                    <w:keepNext w:val="0"/>
                    <w:keepLines w:val="0"/>
                    <w:pageBreakBefore w:val="0"/>
                    <w:widowControl w:val="0"/>
                    <w:kinsoku/>
                    <w:wordWrap/>
                    <w:overflowPunct/>
                    <w:topLinePunct w:val="0"/>
                    <w:autoSpaceDE/>
                    <w:autoSpaceDN/>
                    <w:bidi w:val="0"/>
                    <w:spacing w:line="280" w:lineRule="exact"/>
                    <w:jc w:val="left"/>
                    <w:textAlignment w:val="auto"/>
                    <w:rPr>
                      <w:rFonts w:cs="Times New Roman"/>
                      <w:color w:val="auto"/>
                      <w:szCs w:val="21"/>
                      <w:highlight w:val="none"/>
                    </w:rPr>
                  </w:pPr>
                  <w:r>
                    <w:rPr>
                      <w:rFonts w:cs="Times New Roman"/>
                      <w:bCs/>
                      <w:color w:val="auto"/>
                      <w:szCs w:val="21"/>
                      <w:highlight w:val="none"/>
                    </w:rPr>
                    <w:t>车辆运输起尘：厂区路面硬化，洒水降尘，</w:t>
                  </w:r>
                  <w:r>
                    <w:rPr>
                      <w:rFonts w:hint="eastAsia" w:cs="Times New Roman"/>
                      <w:bCs/>
                      <w:color w:val="auto"/>
                      <w:szCs w:val="21"/>
                      <w:highlight w:val="none"/>
                      <w:lang w:eastAsia="zh-CN"/>
                    </w:rPr>
                    <w:t>安排专人定期清扫、</w:t>
                  </w:r>
                  <w:r>
                    <w:rPr>
                      <w:rFonts w:cs="Times New Roman"/>
                      <w:bCs/>
                      <w:color w:val="auto"/>
                      <w:szCs w:val="21"/>
                      <w:highlight w:val="none"/>
                    </w:rPr>
                    <w:t>洒水降尘。</w:t>
                  </w:r>
                </w:p>
              </w:tc>
              <w:tc>
                <w:tcPr>
                  <w:tcW w:w="769" w:type="pct"/>
                  <w:tcBorders>
                    <w:tl2br w:val="nil"/>
                    <w:tr2bl w:val="nil"/>
                  </w:tcBorders>
                  <w:vAlign w:val="center"/>
                </w:tcPr>
                <w:p w14:paraId="7C051E5D">
                  <w:pPr>
                    <w:keepNext w:val="0"/>
                    <w:keepLines w:val="0"/>
                    <w:pageBreakBefore w:val="0"/>
                    <w:widowControl w:val="0"/>
                    <w:kinsoku/>
                    <w:wordWrap/>
                    <w:overflowPunct/>
                    <w:topLinePunct w:val="0"/>
                    <w:autoSpaceDE/>
                    <w:autoSpaceDN/>
                    <w:bidi w:val="0"/>
                    <w:spacing w:line="280" w:lineRule="exact"/>
                    <w:jc w:val="center"/>
                    <w:textAlignment w:val="auto"/>
                    <w:rPr>
                      <w:rFonts w:hint="default" w:cs="Times New Roman"/>
                      <w:color w:val="auto"/>
                      <w:szCs w:val="21"/>
                      <w:highlight w:val="none"/>
                      <w:lang w:val="en-US"/>
                    </w:rPr>
                  </w:pPr>
                  <w:r>
                    <w:rPr>
                      <w:rFonts w:hint="eastAsia" w:cs="Times New Roman"/>
                      <w:color w:val="auto"/>
                      <w:szCs w:val="21"/>
                      <w:highlight w:val="none"/>
                      <w:lang w:val="en-US" w:eastAsia="zh-CN"/>
                    </w:rPr>
                    <w:t>1.0</w:t>
                  </w:r>
                </w:p>
              </w:tc>
              <w:tc>
                <w:tcPr>
                  <w:tcW w:w="530" w:type="pct"/>
                  <w:tcBorders>
                    <w:tl2br w:val="nil"/>
                    <w:tr2bl w:val="nil"/>
                  </w:tcBorders>
                  <w:vAlign w:val="center"/>
                </w:tcPr>
                <w:p w14:paraId="3298D792">
                  <w:pPr>
                    <w:keepNext w:val="0"/>
                    <w:keepLines w:val="0"/>
                    <w:pageBreakBefore w:val="0"/>
                    <w:widowControl w:val="0"/>
                    <w:kinsoku/>
                    <w:wordWrap/>
                    <w:overflowPunct/>
                    <w:topLinePunct w:val="0"/>
                    <w:autoSpaceDE/>
                    <w:autoSpaceDN/>
                    <w:bidi w:val="0"/>
                    <w:spacing w:line="280" w:lineRule="exact"/>
                    <w:jc w:val="center"/>
                    <w:textAlignment w:val="auto"/>
                    <w:rPr>
                      <w:rFonts w:cs="Times New Roman"/>
                      <w:color w:val="auto"/>
                      <w:szCs w:val="21"/>
                      <w:highlight w:val="none"/>
                    </w:rPr>
                  </w:pPr>
                  <w:r>
                    <w:rPr>
                      <w:rFonts w:hint="eastAsia" w:cs="Times New Roman"/>
                      <w:color w:val="auto"/>
                      <w:szCs w:val="21"/>
                      <w:highlight w:val="none"/>
                      <w:lang w:eastAsia="zh-CN"/>
                    </w:rPr>
                    <w:t>依托</w:t>
                  </w:r>
                  <w:r>
                    <w:rPr>
                      <w:rFonts w:cs="Times New Roman"/>
                      <w:color w:val="auto"/>
                      <w:szCs w:val="21"/>
                      <w:highlight w:val="none"/>
                    </w:rPr>
                    <w:t>+新</w:t>
                  </w:r>
                  <w:r>
                    <w:rPr>
                      <w:rFonts w:hint="eastAsia" w:cs="Times New Roman"/>
                      <w:color w:val="auto"/>
                      <w:szCs w:val="21"/>
                      <w:highlight w:val="none"/>
                      <w:lang w:eastAsia="zh-CN"/>
                    </w:rPr>
                    <w:t>建</w:t>
                  </w:r>
                </w:p>
              </w:tc>
            </w:tr>
            <w:tr w14:paraId="691DA14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45" w:hRule="atLeast"/>
                <w:jc w:val="center"/>
              </w:trPr>
              <w:tc>
                <w:tcPr>
                  <w:tcW w:w="546" w:type="pct"/>
                  <w:vMerge w:val="continue"/>
                  <w:tcBorders>
                    <w:tl2br w:val="nil"/>
                    <w:tr2bl w:val="nil"/>
                  </w:tcBorders>
                  <w:vAlign w:val="center"/>
                </w:tcPr>
                <w:p w14:paraId="4D0E945F">
                  <w:pPr>
                    <w:keepNext w:val="0"/>
                    <w:keepLines w:val="0"/>
                    <w:pageBreakBefore w:val="0"/>
                    <w:widowControl w:val="0"/>
                    <w:kinsoku/>
                    <w:wordWrap/>
                    <w:overflowPunct/>
                    <w:topLinePunct w:val="0"/>
                    <w:autoSpaceDE/>
                    <w:autoSpaceDN/>
                    <w:bidi w:val="0"/>
                    <w:spacing w:line="280" w:lineRule="exact"/>
                    <w:jc w:val="center"/>
                    <w:textAlignment w:val="auto"/>
                    <w:rPr>
                      <w:rFonts w:cs="Times New Roman"/>
                      <w:color w:val="auto"/>
                      <w:szCs w:val="21"/>
                      <w:highlight w:val="none"/>
                    </w:rPr>
                  </w:pPr>
                </w:p>
              </w:tc>
              <w:tc>
                <w:tcPr>
                  <w:tcW w:w="494" w:type="pct"/>
                  <w:vMerge w:val="continue"/>
                  <w:tcBorders>
                    <w:tl2br w:val="nil"/>
                    <w:tr2bl w:val="nil"/>
                  </w:tcBorders>
                  <w:vAlign w:val="center"/>
                </w:tcPr>
                <w:p w14:paraId="3F653475">
                  <w:pPr>
                    <w:keepNext w:val="0"/>
                    <w:keepLines w:val="0"/>
                    <w:pageBreakBefore w:val="0"/>
                    <w:widowControl w:val="0"/>
                    <w:kinsoku/>
                    <w:wordWrap/>
                    <w:overflowPunct/>
                    <w:topLinePunct w:val="0"/>
                    <w:autoSpaceDE/>
                    <w:autoSpaceDN/>
                    <w:bidi w:val="0"/>
                    <w:spacing w:line="280" w:lineRule="exact"/>
                    <w:jc w:val="center"/>
                    <w:textAlignment w:val="auto"/>
                    <w:rPr>
                      <w:rFonts w:cs="Times New Roman"/>
                      <w:color w:val="auto"/>
                      <w:szCs w:val="21"/>
                      <w:highlight w:val="none"/>
                    </w:rPr>
                  </w:pPr>
                </w:p>
              </w:tc>
              <w:tc>
                <w:tcPr>
                  <w:tcW w:w="2659" w:type="pct"/>
                  <w:tcBorders>
                    <w:tl2br w:val="nil"/>
                    <w:tr2bl w:val="nil"/>
                  </w:tcBorders>
                  <w:vAlign w:val="center"/>
                </w:tcPr>
                <w:p w14:paraId="6B29BF2E">
                  <w:pPr>
                    <w:keepNext w:val="0"/>
                    <w:keepLines w:val="0"/>
                    <w:pageBreakBefore w:val="0"/>
                    <w:widowControl w:val="0"/>
                    <w:kinsoku/>
                    <w:wordWrap/>
                    <w:overflowPunct/>
                    <w:topLinePunct w:val="0"/>
                    <w:autoSpaceDE/>
                    <w:autoSpaceDN/>
                    <w:bidi w:val="0"/>
                    <w:spacing w:line="280" w:lineRule="exact"/>
                    <w:jc w:val="left"/>
                    <w:textAlignment w:val="auto"/>
                    <w:rPr>
                      <w:rFonts w:cs="Times New Roman"/>
                      <w:color w:val="auto"/>
                      <w:szCs w:val="21"/>
                      <w:highlight w:val="none"/>
                    </w:rPr>
                  </w:pPr>
                  <w:r>
                    <w:rPr>
                      <w:rFonts w:cs="Times New Roman"/>
                      <w:color w:val="auto"/>
                      <w:szCs w:val="21"/>
                      <w:highlight w:val="none"/>
                      <w:lang w:bidi="ar"/>
                    </w:rPr>
                    <w:t>食堂油烟：安装1台自带油烟净化功能的抽油烟机</w:t>
                  </w:r>
                  <w:r>
                    <w:rPr>
                      <w:rFonts w:cs="Times New Roman"/>
                      <w:bCs/>
                      <w:color w:val="auto"/>
                      <w:szCs w:val="21"/>
                      <w:highlight w:val="none"/>
                    </w:rPr>
                    <w:t>处理食堂油烟</w:t>
                  </w:r>
                </w:p>
              </w:tc>
              <w:tc>
                <w:tcPr>
                  <w:tcW w:w="769" w:type="pct"/>
                  <w:tcBorders>
                    <w:tl2br w:val="nil"/>
                    <w:tr2bl w:val="nil"/>
                  </w:tcBorders>
                  <w:vAlign w:val="center"/>
                </w:tcPr>
                <w:p w14:paraId="62851926">
                  <w:pPr>
                    <w:keepNext w:val="0"/>
                    <w:keepLines w:val="0"/>
                    <w:pageBreakBefore w:val="0"/>
                    <w:widowControl w:val="0"/>
                    <w:kinsoku/>
                    <w:wordWrap/>
                    <w:overflowPunct/>
                    <w:topLinePunct w:val="0"/>
                    <w:autoSpaceDE/>
                    <w:autoSpaceDN/>
                    <w:bidi w:val="0"/>
                    <w:spacing w:line="280" w:lineRule="exact"/>
                    <w:jc w:val="center"/>
                    <w:textAlignment w:val="auto"/>
                    <w:rPr>
                      <w:rFonts w:hint="eastAsia" w:eastAsia="宋体" w:cs="Times New Roman"/>
                      <w:color w:val="auto"/>
                      <w:szCs w:val="21"/>
                      <w:highlight w:val="none"/>
                      <w:lang w:eastAsia="zh-CN"/>
                    </w:rPr>
                  </w:pPr>
                  <w:r>
                    <w:rPr>
                      <w:rFonts w:cs="Times New Roman"/>
                      <w:color w:val="auto"/>
                      <w:szCs w:val="21"/>
                      <w:highlight w:val="none"/>
                    </w:rPr>
                    <w:t>0.</w:t>
                  </w:r>
                  <w:r>
                    <w:rPr>
                      <w:rFonts w:hint="eastAsia" w:cs="Times New Roman"/>
                      <w:color w:val="auto"/>
                      <w:szCs w:val="21"/>
                      <w:highlight w:val="none"/>
                      <w:lang w:val="en-US" w:eastAsia="zh-CN"/>
                    </w:rPr>
                    <w:t>2</w:t>
                  </w:r>
                </w:p>
              </w:tc>
              <w:tc>
                <w:tcPr>
                  <w:tcW w:w="530" w:type="pct"/>
                  <w:tcBorders>
                    <w:tl2br w:val="nil"/>
                    <w:tr2bl w:val="nil"/>
                  </w:tcBorders>
                  <w:vAlign w:val="center"/>
                </w:tcPr>
                <w:p w14:paraId="27E3EBD1">
                  <w:pPr>
                    <w:keepNext w:val="0"/>
                    <w:keepLines w:val="0"/>
                    <w:pageBreakBefore w:val="0"/>
                    <w:widowControl w:val="0"/>
                    <w:kinsoku/>
                    <w:wordWrap/>
                    <w:overflowPunct/>
                    <w:topLinePunct w:val="0"/>
                    <w:autoSpaceDE/>
                    <w:autoSpaceDN/>
                    <w:bidi w:val="0"/>
                    <w:spacing w:line="280" w:lineRule="exact"/>
                    <w:jc w:val="center"/>
                    <w:textAlignment w:val="auto"/>
                    <w:rPr>
                      <w:rFonts w:cs="Times New Roman"/>
                      <w:color w:val="auto"/>
                      <w:szCs w:val="21"/>
                      <w:highlight w:val="none"/>
                    </w:rPr>
                  </w:pPr>
                  <w:r>
                    <w:rPr>
                      <w:rFonts w:cs="Times New Roman"/>
                      <w:color w:val="auto"/>
                      <w:szCs w:val="21"/>
                      <w:highlight w:val="none"/>
                    </w:rPr>
                    <w:t>新</w:t>
                  </w:r>
                  <w:r>
                    <w:rPr>
                      <w:rFonts w:hint="eastAsia" w:cs="Times New Roman"/>
                      <w:color w:val="auto"/>
                      <w:szCs w:val="21"/>
                      <w:highlight w:val="none"/>
                      <w:lang w:eastAsia="zh-CN"/>
                    </w:rPr>
                    <w:t>建</w:t>
                  </w:r>
                </w:p>
              </w:tc>
            </w:tr>
            <w:tr w14:paraId="31B7C1C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3" w:hRule="atLeast"/>
                <w:jc w:val="center"/>
              </w:trPr>
              <w:tc>
                <w:tcPr>
                  <w:tcW w:w="546" w:type="pct"/>
                  <w:vMerge w:val="restart"/>
                  <w:tcBorders>
                    <w:tl2br w:val="nil"/>
                    <w:tr2bl w:val="nil"/>
                  </w:tcBorders>
                  <w:vAlign w:val="center"/>
                </w:tcPr>
                <w:p w14:paraId="678941DB">
                  <w:pPr>
                    <w:keepNext w:val="0"/>
                    <w:keepLines w:val="0"/>
                    <w:pageBreakBefore w:val="0"/>
                    <w:widowControl w:val="0"/>
                    <w:kinsoku/>
                    <w:wordWrap/>
                    <w:overflowPunct/>
                    <w:topLinePunct w:val="0"/>
                    <w:autoSpaceDE/>
                    <w:autoSpaceDN/>
                    <w:bidi w:val="0"/>
                    <w:spacing w:line="280" w:lineRule="exact"/>
                    <w:jc w:val="center"/>
                    <w:textAlignment w:val="auto"/>
                    <w:rPr>
                      <w:rFonts w:cs="Times New Roman"/>
                      <w:color w:val="auto"/>
                      <w:szCs w:val="21"/>
                      <w:highlight w:val="none"/>
                    </w:rPr>
                  </w:pPr>
                  <w:r>
                    <w:rPr>
                      <w:rFonts w:cs="Times New Roman"/>
                      <w:color w:val="auto"/>
                      <w:szCs w:val="21"/>
                      <w:highlight w:val="none"/>
                    </w:rPr>
                    <w:t>废水治理</w:t>
                  </w:r>
                </w:p>
              </w:tc>
              <w:tc>
                <w:tcPr>
                  <w:tcW w:w="494" w:type="pct"/>
                  <w:vMerge w:val="restart"/>
                  <w:tcBorders>
                    <w:tl2br w:val="nil"/>
                    <w:tr2bl w:val="nil"/>
                  </w:tcBorders>
                  <w:vAlign w:val="center"/>
                </w:tcPr>
                <w:p w14:paraId="5DD12836">
                  <w:pPr>
                    <w:keepNext w:val="0"/>
                    <w:keepLines w:val="0"/>
                    <w:pageBreakBefore w:val="0"/>
                    <w:widowControl w:val="0"/>
                    <w:kinsoku/>
                    <w:wordWrap/>
                    <w:overflowPunct/>
                    <w:topLinePunct w:val="0"/>
                    <w:autoSpaceDE/>
                    <w:autoSpaceDN/>
                    <w:bidi w:val="0"/>
                    <w:spacing w:line="280" w:lineRule="exact"/>
                    <w:jc w:val="center"/>
                    <w:textAlignment w:val="auto"/>
                    <w:rPr>
                      <w:rFonts w:cs="Times New Roman"/>
                      <w:color w:val="auto"/>
                      <w:szCs w:val="21"/>
                      <w:highlight w:val="none"/>
                    </w:rPr>
                  </w:pPr>
                  <w:r>
                    <w:rPr>
                      <w:rFonts w:cs="Times New Roman"/>
                      <w:color w:val="auto"/>
                      <w:szCs w:val="21"/>
                      <w:highlight w:val="none"/>
                    </w:rPr>
                    <w:t>施工期</w:t>
                  </w:r>
                </w:p>
              </w:tc>
              <w:tc>
                <w:tcPr>
                  <w:tcW w:w="2659" w:type="pct"/>
                  <w:tcBorders>
                    <w:tl2br w:val="nil"/>
                    <w:tr2bl w:val="nil"/>
                  </w:tcBorders>
                  <w:vAlign w:val="center"/>
                </w:tcPr>
                <w:p w14:paraId="71F67636">
                  <w:pPr>
                    <w:keepNext w:val="0"/>
                    <w:keepLines w:val="0"/>
                    <w:pageBreakBefore w:val="0"/>
                    <w:widowControl w:val="0"/>
                    <w:kinsoku/>
                    <w:wordWrap/>
                    <w:overflowPunct/>
                    <w:topLinePunct w:val="0"/>
                    <w:autoSpaceDE/>
                    <w:autoSpaceDN/>
                    <w:bidi w:val="0"/>
                    <w:spacing w:line="280" w:lineRule="exact"/>
                    <w:jc w:val="left"/>
                    <w:textAlignment w:val="auto"/>
                    <w:rPr>
                      <w:rFonts w:cs="Times New Roman"/>
                      <w:color w:val="auto"/>
                      <w:szCs w:val="21"/>
                      <w:highlight w:val="none"/>
                    </w:rPr>
                  </w:pPr>
                  <w:r>
                    <w:rPr>
                      <w:rFonts w:cs="Times New Roman"/>
                      <w:color w:val="auto"/>
                      <w:szCs w:val="21"/>
                      <w:highlight w:val="none"/>
                    </w:rPr>
                    <w:t>生活污水经现有化粪池处理</w:t>
                  </w:r>
                </w:p>
              </w:tc>
              <w:tc>
                <w:tcPr>
                  <w:tcW w:w="769" w:type="pct"/>
                  <w:tcBorders>
                    <w:tl2br w:val="nil"/>
                    <w:tr2bl w:val="nil"/>
                  </w:tcBorders>
                  <w:vAlign w:val="center"/>
                </w:tcPr>
                <w:p w14:paraId="7E2775B9">
                  <w:pPr>
                    <w:keepNext w:val="0"/>
                    <w:keepLines w:val="0"/>
                    <w:pageBreakBefore w:val="0"/>
                    <w:widowControl w:val="0"/>
                    <w:kinsoku/>
                    <w:wordWrap/>
                    <w:overflowPunct/>
                    <w:topLinePunct w:val="0"/>
                    <w:autoSpaceDE/>
                    <w:autoSpaceDN/>
                    <w:bidi w:val="0"/>
                    <w:spacing w:line="280" w:lineRule="exact"/>
                    <w:jc w:val="center"/>
                    <w:textAlignment w:val="auto"/>
                    <w:rPr>
                      <w:rFonts w:cs="Times New Roman"/>
                      <w:color w:val="auto"/>
                      <w:szCs w:val="21"/>
                      <w:highlight w:val="none"/>
                    </w:rPr>
                  </w:pPr>
                  <w:r>
                    <w:rPr>
                      <w:rFonts w:cs="Times New Roman"/>
                      <w:color w:val="auto"/>
                      <w:szCs w:val="21"/>
                      <w:highlight w:val="none"/>
                    </w:rPr>
                    <w:t>/</w:t>
                  </w:r>
                </w:p>
              </w:tc>
              <w:tc>
                <w:tcPr>
                  <w:tcW w:w="530" w:type="pct"/>
                  <w:tcBorders>
                    <w:tl2br w:val="nil"/>
                    <w:tr2bl w:val="nil"/>
                  </w:tcBorders>
                  <w:vAlign w:val="center"/>
                </w:tcPr>
                <w:p w14:paraId="2EF1A8D2">
                  <w:pPr>
                    <w:keepNext w:val="0"/>
                    <w:keepLines w:val="0"/>
                    <w:pageBreakBefore w:val="0"/>
                    <w:widowControl w:val="0"/>
                    <w:kinsoku/>
                    <w:wordWrap/>
                    <w:overflowPunct/>
                    <w:topLinePunct w:val="0"/>
                    <w:autoSpaceDE/>
                    <w:autoSpaceDN/>
                    <w:bidi w:val="0"/>
                    <w:spacing w:line="280" w:lineRule="exact"/>
                    <w:jc w:val="center"/>
                    <w:textAlignment w:val="auto"/>
                    <w:rPr>
                      <w:rFonts w:cs="Times New Roman"/>
                      <w:color w:val="auto"/>
                      <w:szCs w:val="21"/>
                      <w:highlight w:val="none"/>
                    </w:rPr>
                  </w:pPr>
                  <w:r>
                    <w:rPr>
                      <w:rFonts w:hint="eastAsia" w:cs="Times New Roman"/>
                      <w:color w:val="auto"/>
                      <w:szCs w:val="21"/>
                      <w:highlight w:val="none"/>
                    </w:rPr>
                    <w:t>依托</w:t>
                  </w:r>
                </w:p>
              </w:tc>
            </w:tr>
            <w:tr w14:paraId="36A6869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3" w:hRule="atLeast"/>
                <w:jc w:val="center"/>
              </w:trPr>
              <w:tc>
                <w:tcPr>
                  <w:tcW w:w="546" w:type="pct"/>
                  <w:vMerge w:val="continue"/>
                  <w:tcBorders>
                    <w:tl2br w:val="nil"/>
                    <w:tr2bl w:val="nil"/>
                  </w:tcBorders>
                  <w:vAlign w:val="center"/>
                </w:tcPr>
                <w:p w14:paraId="71044A70">
                  <w:pPr>
                    <w:keepNext w:val="0"/>
                    <w:keepLines w:val="0"/>
                    <w:pageBreakBefore w:val="0"/>
                    <w:widowControl w:val="0"/>
                    <w:kinsoku/>
                    <w:wordWrap/>
                    <w:overflowPunct/>
                    <w:topLinePunct w:val="0"/>
                    <w:autoSpaceDE/>
                    <w:autoSpaceDN/>
                    <w:bidi w:val="0"/>
                    <w:spacing w:line="280" w:lineRule="exact"/>
                    <w:jc w:val="center"/>
                    <w:textAlignment w:val="auto"/>
                    <w:rPr>
                      <w:rFonts w:cs="Times New Roman"/>
                      <w:color w:val="auto"/>
                      <w:szCs w:val="21"/>
                      <w:highlight w:val="none"/>
                    </w:rPr>
                  </w:pPr>
                </w:p>
              </w:tc>
              <w:tc>
                <w:tcPr>
                  <w:tcW w:w="494" w:type="pct"/>
                  <w:vMerge w:val="continue"/>
                  <w:tcBorders>
                    <w:tl2br w:val="nil"/>
                    <w:tr2bl w:val="nil"/>
                  </w:tcBorders>
                  <w:vAlign w:val="center"/>
                </w:tcPr>
                <w:p w14:paraId="1E10E59D">
                  <w:pPr>
                    <w:keepNext w:val="0"/>
                    <w:keepLines w:val="0"/>
                    <w:pageBreakBefore w:val="0"/>
                    <w:widowControl w:val="0"/>
                    <w:kinsoku/>
                    <w:wordWrap/>
                    <w:overflowPunct/>
                    <w:topLinePunct w:val="0"/>
                    <w:autoSpaceDE/>
                    <w:autoSpaceDN/>
                    <w:bidi w:val="0"/>
                    <w:spacing w:line="280" w:lineRule="exact"/>
                    <w:jc w:val="center"/>
                    <w:textAlignment w:val="auto"/>
                    <w:rPr>
                      <w:rFonts w:cs="Times New Roman"/>
                      <w:color w:val="auto"/>
                      <w:szCs w:val="21"/>
                      <w:highlight w:val="none"/>
                    </w:rPr>
                  </w:pPr>
                </w:p>
              </w:tc>
              <w:tc>
                <w:tcPr>
                  <w:tcW w:w="2659" w:type="pct"/>
                  <w:tcBorders>
                    <w:tl2br w:val="nil"/>
                    <w:tr2bl w:val="nil"/>
                  </w:tcBorders>
                  <w:vAlign w:val="center"/>
                </w:tcPr>
                <w:p w14:paraId="6D62061F">
                  <w:pPr>
                    <w:keepNext w:val="0"/>
                    <w:keepLines w:val="0"/>
                    <w:pageBreakBefore w:val="0"/>
                    <w:widowControl w:val="0"/>
                    <w:kinsoku/>
                    <w:wordWrap/>
                    <w:overflowPunct/>
                    <w:topLinePunct w:val="0"/>
                    <w:autoSpaceDE/>
                    <w:autoSpaceDN/>
                    <w:bidi w:val="0"/>
                    <w:spacing w:line="280" w:lineRule="exact"/>
                    <w:jc w:val="left"/>
                    <w:textAlignment w:val="auto"/>
                    <w:rPr>
                      <w:rFonts w:cs="Times New Roman"/>
                      <w:color w:val="auto"/>
                      <w:szCs w:val="21"/>
                      <w:highlight w:val="none"/>
                    </w:rPr>
                  </w:pPr>
                  <w:r>
                    <w:rPr>
                      <w:rFonts w:cs="Times New Roman"/>
                      <w:color w:val="auto"/>
                      <w:szCs w:val="21"/>
                      <w:highlight w:val="none"/>
                    </w:rPr>
                    <w:t>经现有沉淀池处理后回用</w:t>
                  </w:r>
                </w:p>
              </w:tc>
              <w:tc>
                <w:tcPr>
                  <w:tcW w:w="769" w:type="pct"/>
                  <w:tcBorders>
                    <w:tl2br w:val="nil"/>
                    <w:tr2bl w:val="nil"/>
                  </w:tcBorders>
                  <w:vAlign w:val="center"/>
                </w:tcPr>
                <w:p w14:paraId="27FDE7BB">
                  <w:pPr>
                    <w:keepNext w:val="0"/>
                    <w:keepLines w:val="0"/>
                    <w:pageBreakBefore w:val="0"/>
                    <w:widowControl w:val="0"/>
                    <w:kinsoku/>
                    <w:wordWrap/>
                    <w:overflowPunct/>
                    <w:topLinePunct w:val="0"/>
                    <w:autoSpaceDE/>
                    <w:autoSpaceDN/>
                    <w:bidi w:val="0"/>
                    <w:spacing w:line="280" w:lineRule="exact"/>
                    <w:jc w:val="center"/>
                    <w:textAlignment w:val="auto"/>
                    <w:rPr>
                      <w:rFonts w:cs="Times New Roman"/>
                      <w:color w:val="auto"/>
                      <w:szCs w:val="21"/>
                      <w:highlight w:val="none"/>
                    </w:rPr>
                  </w:pPr>
                  <w:r>
                    <w:rPr>
                      <w:rFonts w:cs="Times New Roman"/>
                      <w:color w:val="auto"/>
                      <w:szCs w:val="21"/>
                      <w:highlight w:val="none"/>
                    </w:rPr>
                    <w:t>/</w:t>
                  </w:r>
                </w:p>
              </w:tc>
              <w:tc>
                <w:tcPr>
                  <w:tcW w:w="530" w:type="pct"/>
                  <w:tcBorders>
                    <w:tl2br w:val="nil"/>
                    <w:tr2bl w:val="nil"/>
                  </w:tcBorders>
                  <w:vAlign w:val="center"/>
                </w:tcPr>
                <w:p w14:paraId="423A763A">
                  <w:pPr>
                    <w:keepNext w:val="0"/>
                    <w:keepLines w:val="0"/>
                    <w:pageBreakBefore w:val="0"/>
                    <w:widowControl w:val="0"/>
                    <w:kinsoku/>
                    <w:wordWrap/>
                    <w:overflowPunct/>
                    <w:topLinePunct w:val="0"/>
                    <w:autoSpaceDE/>
                    <w:autoSpaceDN/>
                    <w:bidi w:val="0"/>
                    <w:spacing w:line="280" w:lineRule="exact"/>
                    <w:jc w:val="center"/>
                    <w:textAlignment w:val="auto"/>
                    <w:rPr>
                      <w:rFonts w:cs="Times New Roman"/>
                      <w:color w:val="auto"/>
                      <w:szCs w:val="21"/>
                      <w:highlight w:val="none"/>
                    </w:rPr>
                  </w:pPr>
                  <w:r>
                    <w:rPr>
                      <w:rFonts w:hint="eastAsia" w:cs="Times New Roman"/>
                      <w:color w:val="auto"/>
                      <w:szCs w:val="21"/>
                      <w:highlight w:val="none"/>
                    </w:rPr>
                    <w:t>依托</w:t>
                  </w:r>
                </w:p>
              </w:tc>
            </w:tr>
            <w:tr w14:paraId="54B5371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895" w:hRule="atLeast"/>
                <w:jc w:val="center"/>
              </w:trPr>
              <w:tc>
                <w:tcPr>
                  <w:tcW w:w="546" w:type="pct"/>
                  <w:vMerge w:val="continue"/>
                  <w:tcBorders>
                    <w:tl2br w:val="nil"/>
                    <w:tr2bl w:val="nil"/>
                  </w:tcBorders>
                  <w:vAlign w:val="center"/>
                </w:tcPr>
                <w:p w14:paraId="3D218B12">
                  <w:pPr>
                    <w:keepNext w:val="0"/>
                    <w:keepLines w:val="0"/>
                    <w:pageBreakBefore w:val="0"/>
                    <w:widowControl w:val="0"/>
                    <w:kinsoku/>
                    <w:wordWrap/>
                    <w:overflowPunct/>
                    <w:topLinePunct w:val="0"/>
                    <w:autoSpaceDE/>
                    <w:autoSpaceDN/>
                    <w:bidi w:val="0"/>
                    <w:spacing w:line="280" w:lineRule="exact"/>
                    <w:jc w:val="center"/>
                    <w:textAlignment w:val="auto"/>
                    <w:rPr>
                      <w:rFonts w:cs="Times New Roman"/>
                      <w:color w:val="auto"/>
                      <w:szCs w:val="21"/>
                      <w:highlight w:val="none"/>
                    </w:rPr>
                  </w:pPr>
                </w:p>
              </w:tc>
              <w:tc>
                <w:tcPr>
                  <w:tcW w:w="494" w:type="pct"/>
                  <w:vMerge w:val="restart"/>
                  <w:tcBorders>
                    <w:tl2br w:val="nil"/>
                    <w:tr2bl w:val="nil"/>
                  </w:tcBorders>
                  <w:vAlign w:val="center"/>
                </w:tcPr>
                <w:p w14:paraId="3B50DF87">
                  <w:pPr>
                    <w:keepNext w:val="0"/>
                    <w:keepLines w:val="0"/>
                    <w:pageBreakBefore w:val="0"/>
                    <w:widowControl w:val="0"/>
                    <w:kinsoku/>
                    <w:wordWrap/>
                    <w:overflowPunct/>
                    <w:topLinePunct w:val="0"/>
                    <w:autoSpaceDE/>
                    <w:autoSpaceDN/>
                    <w:bidi w:val="0"/>
                    <w:spacing w:line="280" w:lineRule="exact"/>
                    <w:jc w:val="center"/>
                    <w:textAlignment w:val="auto"/>
                    <w:rPr>
                      <w:rFonts w:cs="Times New Roman"/>
                      <w:color w:val="auto"/>
                      <w:szCs w:val="21"/>
                      <w:highlight w:val="none"/>
                    </w:rPr>
                  </w:pPr>
                  <w:r>
                    <w:rPr>
                      <w:rFonts w:cs="Times New Roman"/>
                      <w:color w:val="auto"/>
                      <w:szCs w:val="21"/>
                      <w:highlight w:val="none"/>
                    </w:rPr>
                    <w:t>营运期</w:t>
                  </w:r>
                </w:p>
              </w:tc>
              <w:tc>
                <w:tcPr>
                  <w:tcW w:w="2659" w:type="pct"/>
                  <w:tcBorders>
                    <w:tl2br w:val="nil"/>
                    <w:tr2bl w:val="nil"/>
                  </w:tcBorders>
                  <w:vAlign w:val="center"/>
                </w:tcPr>
                <w:p w14:paraId="216D0A8D">
                  <w:pPr>
                    <w:keepNext w:val="0"/>
                    <w:keepLines w:val="0"/>
                    <w:pageBreakBefore w:val="0"/>
                    <w:widowControl w:val="0"/>
                    <w:kinsoku/>
                    <w:wordWrap/>
                    <w:overflowPunct/>
                    <w:topLinePunct w:val="0"/>
                    <w:autoSpaceDE/>
                    <w:autoSpaceDN/>
                    <w:bidi w:val="0"/>
                    <w:adjustRightInd w:val="0"/>
                    <w:snapToGrid w:val="0"/>
                    <w:spacing w:line="280" w:lineRule="exact"/>
                    <w:ind w:left="-48" w:leftChars="-23" w:right="-36" w:rightChars="-17"/>
                    <w:jc w:val="left"/>
                    <w:textAlignment w:val="auto"/>
                    <w:rPr>
                      <w:rFonts w:cs="Times New Roman"/>
                      <w:snapToGrid w:val="0"/>
                      <w:color w:val="auto"/>
                      <w:kern w:val="0"/>
                      <w:szCs w:val="21"/>
                      <w:highlight w:val="none"/>
                    </w:rPr>
                  </w:pPr>
                  <w:r>
                    <w:rPr>
                      <w:rFonts w:cs="Times New Roman"/>
                      <w:snapToGrid w:val="0"/>
                      <w:color w:val="auto"/>
                      <w:kern w:val="0"/>
                      <w:szCs w:val="21"/>
                      <w:highlight w:val="none"/>
                    </w:rPr>
                    <w:t>生产废水：</w:t>
                  </w:r>
                  <w:r>
                    <w:rPr>
                      <w:rFonts w:hint="eastAsia" w:cs="Times New Roman"/>
                      <w:snapToGrid w:val="0"/>
                      <w:color w:val="auto"/>
                      <w:kern w:val="0"/>
                      <w:szCs w:val="21"/>
                      <w:highlight w:val="none"/>
                      <w:lang w:eastAsia="zh-CN"/>
                    </w:rPr>
                    <w:t>生产车间</w:t>
                  </w:r>
                  <w:r>
                    <w:rPr>
                      <w:rFonts w:cs="Times New Roman"/>
                      <w:color w:val="auto"/>
                      <w:szCs w:val="21"/>
                      <w:highlight w:val="none"/>
                    </w:rPr>
                    <w:t>东侧设置一套污水循环处理系统，废水经排水沟收集至沉砂池</w:t>
                  </w:r>
                  <w:r>
                    <w:rPr>
                      <w:rFonts w:cs="Times New Roman"/>
                      <w:color w:val="auto"/>
                      <w:kern w:val="0"/>
                      <w:szCs w:val="21"/>
                      <w:highlight w:val="none"/>
                      <w:lang w:bidi="ar"/>
                    </w:rPr>
                    <w:t>（</w:t>
                  </w:r>
                  <w:r>
                    <w:rPr>
                      <w:rFonts w:hint="eastAsia" w:cs="Times New Roman"/>
                      <w:color w:val="auto"/>
                      <w:kern w:val="0"/>
                      <w:szCs w:val="21"/>
                      <w:highlight w:val="none"/>
                      <w:lang w:val="en-US" w:eastAsia="zh-CN" w:bidi="ar"/>
                    </w:rPr>
                    <w:t>1</w:t>
                  </w:r>
                  <w:r>
                    <w:rPr>
                      <w:rFonts w:cs="Times New Roman"/>
                      <w:color w:val="auto"/>
                      <w:kern w:val="0"/>
                      <w:szCs w:val="21"/>
                      <w:highlight w:val="none"/>
                      <w:lang w:bidi="ar"/>
                    </w:rPr>
                    <w:t>个</w:t>
                  </w:r>
                  <w:r>
                    <w:rPr>
                      <w:rFonts w:hint="eastAsia" w:cs="Times New Roman"/>
                      <w:color w:val="auto"/>
                      <w:kern w:val="0"/>
                      <w:szCs w:val="21"/>
                      <w:highlight w:val="none"/>
                      <w:lang w:val="en-US" w:eastAsia="zh-CN" w:bidi="ar"/>
                    </w:rPr>
                    <w:t>1</w:t>
                  </w:r>
                  <w:r>
                    <w:rPr>
                      <w:rFonts w:cs="Times New Roman"/>
                      <w:color w:val="auto"/>
                      <w:kern w:val="0"/>
                      <w:szCs w:val="21"/>
                      <w:highlight w:val="none"/>
                      <w:lang w:bidi="ar"/>
                    </w:rPr>
                    <w:t>0m</w:t>
                  </w:r>
                  <w:r>
                    <w:rPr>
                      <w:rFonts w:cs="Times New Roman"/>
                      <w:color w:val="auto"/>
                      <w:kern w:val="0"/>
                      <w:szCs w:val="21"/>
                      <w:highlight w:val="none"/>
                      <w:vertAlign w:val="superscript"/>
                      <w:lang w:bidi="ar"/>
                    </w:rPr>
                    <w:t>3</w:t>
                  </w:r>
                  <w:r>
                    <w:rPr>
                      <w:rFonts w:cs="Times New Roman"/>
                      <w:color w:val="auto"/>
                      <w:kern w:val="0"/>
                      <w:szCs w:val="21"/>
                      <w:highlight w:val="none"/>
                      <w:lang w:bidi="ar"/>
                    </w:rPr>
                    <w:t>）+螺旋绞砂机（</w:t>
                  </w:r>
                  <w:r>
                    <w:rPr>
                      <w:rFonts w:hint="eastAsia" w:cs="Times New Roman"/>
                      <w:color w:val="auto"/>
                      <w:kern w:val="0"/>
                      <w:szCs w:val="21"/>
                      <w:highlight w:val="none"/>
                      <w:lang w:val="en-US" w:eastAsia="zh-CN" w:bidi="ar"/>
                    </w:rPr>
                    <w:t>1</w:t>
                  </w:r>
                  <w:r>
                    <w:rPr>
                      <w:rFonts w:cs="Times New Roman"/>
                      <w:color w:val="auto"/>
                      <w:kern w:val="0"/>
                      <w:szCs w:val="21"/>
                      <w:highlight w:val="none"/>
                      <w:lang w:bidi="ar"/>
                    </w:rPr>
                    <w:t>台）+</w:t>
                  </w:r>
                  <w:r>
                    <w:rPr>
                      <w:rFonts w:hint="eastAsia" w:cs="Times New Roman"/>
                      <w:color w:val="auto"/>
                      <w:kern w:val="0"/>
                      <w:szCs w:val="21"/>
                      <w:highlight w:val="none"/>
                      <w:lang w:eastAsia="zh-CN" w:bidi="ar"/>
                    </w:rPr>
                    <w:t>三</w:t>
                  </w:r>
                  <w:r>
                    <w:rPr>
                      <w:rFonts w:cs="Times New Roman"/>
                      <w:color w:val="auto"/>
                      <w:kern w:val="0"/>
                      <w:szCs w:val="21"/>
                      <w:highlight w:val="none"/>
                      <w:lang w:bidi="ar"/>
                    </w:rPr>
                    <w:t>级沉淀池（</w:t>
                  </w:r>
                  <w:r>
                    <w:rPr>
                      <w:rFonts w:hint="eastAsia" w:cs="Times New Roman"/>
                      <w:color w:val="auto"/>
                      <w:kern w:val="0"/>
                      <w:szCs w:val="21"/>
                      <w:highlight w:val="none"/>
                      <w:lang w:val="en-US" w:eastAsia="zh-CN" w:bidi="ar"/>
                    </w:rPr>
                    <w:t>3</w:t>
                  </w:r>
                  <w:r>
                    <w:rPr>
                      <w:rFonts w:cs="Times New Roman"/>
                      <w:color w:val="auto"/>
                      <w:kern w:val="0"/>
                      <w:szCs w:val="21"/>
                      <w:highlight w:val="none"/>
                      <w:lang w:bidi="ar"/>
                    </w:rPr>
                    <w:t>个共</w:t>
                  </w:r>
                  <w:r>
                    <w:rPr>
                      <w:rFonts w:hint="eastAsia" w:cs="Times New Roman"/>
                      <w:color w:val="auto"/>
                      <w:kern w:val="0"/>
                      <w:szCs w:val="21"/>
                      <w:highlight w:val="none"/>
                      <w:lang w:val="en-US" w:eastAsia="zh-CN" w:bidi="ar"/>
                    </w:rPr>
                    <w:t>405</w:t>
                  </w:r>
                  <w:r>
                    <w:rPr>
                      <w:rFonts w:cs="Times New Roman"/>
                      <w:color w:val="auto"/>
                      <w:kern w:val="0"/>
                      <w:szCs w:val="21"/>
                      <w:highlight w:val="none"/>
                      <w:lang w:bidi="ar"/>
                    </w:rPr>
                    <w:t>m</w:t>
                  </w:r>
                  <w:r>
                    <w:rPr>
                      <w:rFonts w:cs="Times New Roman"/>
                      <w:color w:val="auto"/>
                      <w:kern w:val="0"/>
                      <w:szCs w:val="21"/>
                      <w:highlight w:val="none"/>
                      <w:vertAlign w:val="superscript"/>
                      <w:lang w:bidi="ar"/>
                    </w:rPr>
                    <w:t>3</w:t>
                  </w:r>
                  <w:r>
                    <w:rPr>
                      <w:rFonts w:cs="Times New Roman"/>
                      <w:color w:val="auto"/>
                      <w:kern w:val="0"/>
                      <w:szCs w:val="21"/>
                      <w:highlight w:val="none"/>
                      <w:lang w:bidi="ar"/>
                    </w:rPr>
                    <w:t>）+</w:t>
                  </w:r>
                  <w:r>
                    <w:rPr>
                      <w:rFonts w:hint="eastAsia" w:cs="Times New Roman"/>
                      <w:color w:val="auto"/>
                      <w:kern w:val="0"/>
                      <w:szCs w:val="21"/>
                      <w:highlight w:val="none"/>
                      <w:lang w:eastAsia="zh-CN" w:bidi="ar"/>
                    </w:rPr>
                    <w:t>絮凝剂</w:t>
                  </w:r>
                  <w:r>
                    <w:rPr>
                      <w:rFonts w:cs="Times New Roman"/>
                      <w:color w:val="auto"/>
                      <w:kern w:val="0"/>
                      <w:szCs w:val="21"/>
                      <w:highlight w:val="none"/>
                      <w:lang w:bidi="ar"/>
                    </w:rPr>
                    <w:t>+板框压滤机（1台）处理后回用于生产，不外排。</w:t>
                  </w:r>
                  <w:r>
                    <w:rPr>
                      <w:rFonts w:cs="Times New Roman"/>
                      <w:color w:val="auto"/>
                      <w:szCs w:val="21"/>
                      <w:highlight w:val="none"/>
                    </w:rPr>
                    <w:t>各排水沟及池体均采取混凝土结构，并设置顶棚。</w:t>
                  </w:r>
                </w:p>
              </w:tc>
              <w:tc>
                <w:tcPr>
                  <w:tcW w:w="769" w:type="pct"/>
                  <w:tcBorders>
                    <w:tl2br w:val="nil"/>
                    <w:tr2bl w:val="nil"/>
                  </w:tcBorders>
                  <w:vAlign w:val="center"/>
                </w:tcPr>
                <w:p w14:paraId="0E58B9A7">
                  <w:pPr>
                    <w:keepNext w:val="0"/>
                    <w:keepLines w:val="0"/>
                    <w:pageBreakBefore w:val="0"/>
                    <w:widowControl w:val="0"/>
                    <w:kinsoku/>
                    <w:wordWrap/>
                    <w:overflowPunct/>
                    <w:topLinePunct w:val="0"/>
                    <w:autoSpaceDE/>
                    <w:autoSpaceDN/>
                    <w:bidi w:val="0"/>
                    <w:spacing w:line="280" w:lineRule="exact"/>
                    <w:jc w:val="center"/>
                    <w:textAlignment w:val="auto"/>
                    <w:rPr>
                      <w:rFonts w:hint="default" w:eastAsia="宋体" w:cs="Times New Roman"/>
                      <w:color w:val="auto"/>
                      <w:szCs w:val="21"/>
                      <w:highlight w:val="none"/>
                      <w:lang w:val="en-US" w:eastAsia="zh-CN"/>
                    </w:rPr>
                  </w:pPr>
                  <w:r>
                    <w:rPr>
                      <w:rFonts w:hint="eastAsia" w:cs="Times New Roman"/>
                      <w:color w:val="auto"/>
                      <w:szCs w:val="21"/>
                      <w:highlight w:val="none"/>
                      <w:lang w:val="en-US" w:eastAsia="zh-CN"/>
                    </w:rPr>
                    <w:t>18.0</w:t>
                  </w:r>
                </w:p>
              </w:tc>
              <w:tc>
                <w:tcPr>
                  <w:tcW w:w="530" w:type="pct"/>
                  <w:tcBorders>
                    <w:tl2br w:val="nil"/>
                    <w:tr2bl w:val="nil"/>
                  </w:tcBorders>
                  <w:vAlign w:val="center"/>
                </w:tcPr>
                <w:p w14:paraId="213D6E76">
                  <w:pPr>
                    <w:keepNext w:val="0"/>
                    <w:keepLines w:val="0"/>
                    <w:pageBreakBefore w:val="0"/>
                    <w:widowControl w:val="0"/>
                    <w:kinsoku/>
                    <w:wordWrap/>
                    <w:overflowPunct/>
                    <w:topLinePunct w:val="0"/>
                    <w:autoSpaceDE/>
                    <w:autoSpaceDN/>
                    <w:bidi w:val="0"/>
                    <w:spacing w:line="280" w:lineRule="exact"/>
                    <w:jc w:val="center"/>
                    <w:textAlignment w:val="auto"/>
                    <w:rPr>
                      <w:rFonts w:hint="eastAsia" w:eastAsia="宋体" w:cs="Times New Roman"/>
                      <w:color w:val="auto"/>
                      <w:szCs w:val="21"/>
                      <w:highlight w:val="none"/>
                      <w:lang w:eastAsia="zh-CN"/>
                    </w:rPr>
                  </w:pPr>
                  <w:r>
                    <w:rPr>
                      <w:rFonts w:hint="eastAsia" w:cs="Times New Roman"/>
                      <w:color w:val="auto"/>
                      <w:szCs w:val="21"/>
                      <w:highlight w:val="none"/>
                      <w:lang w:eastAsia="zh-CN"/>
                    </w:rPr>
                    <w:t>新建</w:t>
                  </w:r>
                </w:p>
              </w:tc>
            </w:tr>
            <w:tr w14:paraId="26F3E3F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91" w:hRule="atLeast"/>
                <w:jc w:val="center"/>
              </w:trPr>
              <w:tc>
                <w:tcPr>
                  <w:tcW w:w="546" w:type="pct"/>
                  <w:vMerge w:val="continue"/>
                  <w:tcBorders>
                    <w:tl2br w:val="nil"/>
                    <w:tr2bl w:val="nil"/>
                  </w:tcBorders>
                  <w:vAlign w:val="center"/>
                </w:tcPr>
                <w:p w14:paraId="6FF68671">
                  <w:pPr>
                    <w:keepNext w:val="0"/>
                    <w:keepLines w:val="0"/>
                    <w:pageBreakBefore w:val="0"/>
                    <w:widowControl w:val="0"/>
                    <w:kinsoku/>
                    <w:wordWrap/>
                    <w:overflowPunct/>
                    <w:topLinePunct w:val="0"/>
                    <w:autoSpaceDE/>
                    <w:autoSpaceDN/>
                    <w:bidi w:val="0"/>
                    <w:spacing w:line="280" w:lineRule="exact"/>
                    <w:jc w:val="center"/>
                    <w:textAlignment w:val="auto"/>
                    <w:rPr>
                      <w:rFonts w:cs="Times New Roman"/>
                      <w:color w:val="auto"/>
                      <w:szCs w:val="21"/>
                      <w:highlight w:val="none"/>
                    </w:rPr>
                  </w:pPr>
                </w:p>
              </w:tc>
              <w:tc>
                <w:tcPr>
                  <w:tcW w:w="494" w:type="pct"/>
                  <w:vMerge w:val="continue"/>
                  <w:tcBorders>
                    <w:tl2br w:val="nil"/>
                    <w:tr2bl w:val="nil"/>
                  </w:tcBorders>
                  <w:vAlign w:val="center"/>
                </w:tcPr>
                <w:p w14:paraId="7C37EDA3">
                  <w:pPr>
                    <w:keepNext w:val="0"/>
                    <w:keepLines w:val="0"/>
                    <w:pageBreakBefore w:val="0"/>
                    <w:widowControl w:val="0"/>
                    <w:kinsoku/>
                    <w:wordWrap/>
                    <w:overflowPunct/>
                    <w:topLinePunct w:val="0"/>
                    <w:autoSpaceDE/>
                    <w:autoSpaceDN/>
                    <w:bidi w:val="0"/>
                    <w:spacing w:line="280" w:lineRule="exact"/>
                    <w:jc w:val="center"/>
                    <w:textAlignment w:val="auto"/>
                    <w:rPr>
                      <w:rFonts w:cs="Times New Roman"/>
                      <w:color w:val="auto"/>
                      <w:szCs w:val="21"/>
                      <w:highlight w:val="none"/>
                    </w:rPr>
                  </w:pPr>
                </w:p>
              </w:tc>
              <w:tc>
                <w:tcPr>
                  <w:tcW w:w="2659" w:type="pct"/>
                  <w:tcBorders>
                    <w:tl2br w:val="nil"/>
                    <w:tr2bl w:val="nil"/>
                  </w:tcBorders>
                  <w:vAlign w:val="center"/>
                </w:tcPr>
                <w:p w14:paraId="410F950A">
                  <w:pPr>
                    <w:keepNext w:val="0"/>
                    <w:keepLines w:val="0"/>
                    <w:pageBreakBefore w:val="0"/>
                    <w:widowControl w:val="0"/>
                    <w:kinsoku/>
                    <w:wordWrap/>
                    <w:overflowPunct/>
                    <w:topLinePunct w:val="0"/>
                    <w:autoSpaceDE/>
                    <w:autoSpaceDN/>
                    <w:bidi w:val="0"/>
                    <w:adjustRightInd w:val="0"/>
                    <w:snapToGrid w:val="0"/>
                    <w:spacing w:line="280" w:lineRule="exact"/>
                    <w:ind w:left="-48" w:leftChars="-23" w:right="-36" w:rightChars="-17"/>
                    <w:jc w:val="left"/>
                    <w:textAlignment w:val="auto"/>
                    <w:rPr>
                      <w:rFonts w:cs="Times New Roman"/>
                      <w:snapToGrid w:val="0"/>
                      <w:color w:val="auto"/>
                      <w:kern w:val="0"/>
                      <w:szCs w:val="21"/>
                      <w:highlight w:val="none"/>
                    </w:rPr>
                  </w:pPr>
                  <w:r>
                    <w:rPr>
                      <w:rFonts w:cs="Times New Roman"/>
                      <w:snapToGrid w:val="0"/>
                      <w:color w:val="auto"/>
                      <w:kern w:val="0"/>
                      <w:szCs w:val="21"/>
                      <w:highlight w:val="none"/>
                    </w:rPr>
                    <w:t>生活污水：食堂废水经隔油处理后同生活污水一同排入半挂车项目</w:t>
                  </w:r>
                  <w:r>
                    <w:rPr>
                      <w:rFonts w:hint="eastAsia" w:cs="Times New Roman"/>
                      <w:snapToGrid w:val="0"/>
                      <w:color w:val="auto"/>
                      <w:kern w:val="0"/>
                      <w:szCs w:val="21"/>
                      <w:highlight w:val="none"/>
                      <w:lang w:val="en-US" w:eastAsia="zh-CN"/>
                    </w:rPr>
                    <w:t>1号车间</w:t>
                  </w:r>
                  <w:r>
                    <w:rPr>
                      <w:rFonts w:hint="eastAsia" w:cs="Times New Roman"/>
                      <w:snapToGrid w:val="0"/>
                      <w:color w:val="auto"/>
                      <w:kern w:val="0"/>
                      <w:szCs w:val="21"/>
                      <w:highlight w:val="none"/>
                      <w:lang w:eastAsia="zh-CN"/>
                    </w:rPr>
                    <w:t>已建</w:t>
                  </w:r>
                  <w:r>
                    <w:rPr>
                      <w:rFonts w:cs="Times New Roman"/>
                      <w:snapToGrid w:val="0"/>
                      <w:color w:val="auto"/>
                      <w:kern w:val="0"/>
                      <w:szCs w:val="21"/>
                      <w:highlight w:val="none"/>
                    </w:rPr>
                    <w:t>的化粪池处理后，</w:t>
                  </w:r>
                  <w:r>
                    <w:rPr>
                      <w:rFonts w:hint="default" w:cs="Times New Roman"/>
                      <w:snapToGrid w:val="0"/>
                      <w:color w:val="auto"/>
                      <w:kern w:val="0"/>
                      <w:szCs w:val="21"/>
                      <w:highlight w:val="none"/>
                      <w:lang w:val="en-US" w:eastAsia="zh-CN"/>
                    </w:rPr>
                    <w:t>定期经罐车拉运至东岳镇生活污水处理厂处理达《城镇污水处理厂污染物排放标准》（GB18918-2002）一级 A 标准后通过污水管网排入双龙河，待东岳镇污水处理厂及配套管网建成后，通过市政污水管网排入东岳镇工业园区污水处理厂处理</w:t>
                  </w:r>
                  <w:r>
                    <w:rPr>
                      <w:rFonts w:hint="eastAsia" w:cs="Times New Roman"/>
                      <w:snapToGrid w:val="0"/>
                      <w:color w:val="auto"/>
                      <w:kern w:val="0"/>
                      <w:szCs w:val="21"/>
                      <w:highlight w:val="none"/>
                      <w:lang w:val="en-US" w:eastAsia="zh-CN"/>
                    </w:rPr>
                    <w:t>。</w:t>
                  </w:r>
                </w:p>
              </w:tc>
              <w:tc>
                <w:tcPr>
                  <w:tcW w:w="769" w:type="pct"/>
                  <w:tcBorders>
                    <w:tl2br w:val="nil"/>
                    <w:tr2bl w:val="nil"/>
                  </w:tcBorders>
                  <w:vAlign w:val="center"/>
                </w:tcPr>
                <w:p w14:paraId="3D1FE6A1">
                  <w:pPr>
                    <w:keepNext w:val="0"/>
                    <w:keepLines w:val="0"/>
                    <w:pageBreakBefore w:val="0"/>
                    <w:widowControl w:val="0"/>
                    <w:kinsoku/>
                    <w:wordWrap/>
                    <w:overflowPunct/>
                    <w:topLinePunct w:val="0"/>
                    <w:autoSpaceDE/>
                    <w:autoSpaceDN/>
                    <w:bidi w:val="0"/>
                    <w:spacing w:line="280" w:lineRule="exact"/>
                    <w:jc w:val="center"/>
                    <w:textAlignment w:val="auto"/>
                    <w:rPr>
                      <w:rFonts w:hint="default" w:eastAsia="宋体" w:cs="Times New Roman"/>
                      <w:color w:val="auto"/>
                      <w:szCs w:val="21"/>
                      <w:highlight w:val="none"/>
                      <w:lang w:val="en-US" w:eastAsia="zh-CN"/>
                    </w:rPr>
                  </w:pPr>
                  <w:r>
                    <w:rPr>
                      <w:rFonts w:hint="eastAsia" w:cs="Times New Roman"/>
                      <w:color w:val="auto"/>
                      <w:szCs w:val="21"/>
                      <w:highlight w:val="none"/>
                      <w:lang w:val="en-US" w:eastAsia="zh-CN"/>
                    </w:rPr>
                    <w:t>0.5</w:t>
                  </w:r>
                </w:p>
              </w:tc>
              <w:tc>
                <w:tcPr>
                  <w:tcW w:w="530" w:type="pct"/>
                  <w:tcBorders>
                    <w:tl2br w:val="nil"/>
                    <w:tr2bl w:val="nil"/>
                  </w:tcBorders>
                  <w:vAlign w:val="center"/>
                </w:tcPr>
                <w:p w14:paraId="3B0C146A">
                  <w:pPr>
                    <w:keepNext w:val="0"/>
                    <w:keepLines w:val="0"/>
                    <w:pageBreakBefore w:val="0"/>
                    <w:widowControl w:val="0"/>
                    <w:kinsoku/>
                    <w:wordWrap/>
                    <w:overflowPunct/>
                    <w:topLinePunct w:val="0"/>
                    <w:autoSpaceDE/>
                    <w:autoSpaceDN/>
                    <w:bidi w:val="0"/>
                    <w:spacing w:line="280" w:lineRule="exact"/>
                    <w:jc w:val="center"/>
                    <w:textAlignment w:val="auto"/>
                    <w:rPr>
                      <w:rFonts w:hint="eastAsia" w:eastAsia="宋体" w:cs="Times New Roman"/>
                      <w:color w:val="auto"/>
                      <w:szCs w:val="21"/>
                      <w:highlight w:val="none"/>
                      <w:lang w:eastAsia="zh-CN"/>
                    </w:rPr>
                  </w:pPr>
                  <w:r>
                    <w:rPr>
                      <w:rFonts w:hint="eastAsia" w:cs="Times New Roman"/>
                      <w:color w:val="auto"/>
                      <w:szCs w:val="21"/>
                      <w:highlight w:val="none"/>
                      <w:lang w:eastAsia="zh-CN"/>
                    </w:rPr>
                    <w:t>依托</w:t>
                  </w:r>
                </w:p>
              </w:tc>
            </w:tr>
            <w:tr w14:paraId="4825021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546" w:type="pct"/>
                  <w:vMerge w:val="restart"/>
                  <w:tcBorders>
                    <w:tl2br w:val="nil"/>
                    <w:tr2bl w:val="nil"/>
                  </w:tcBorders>
                  <w:vAlign w:val="center"/>
                </w:tcPr>
                <w:p w14:paraId="53594BD6">
                  <w:pPr>
                    <w:keepNext w:val="0"/>
                    <w:keepLines w:val="0"/>
                    <w:pageBreakBefore w:val="0"/>
                    <w:widowControl w:val="0"/>
                    <w:kinsoku/>
                    <w:wordWrap/>
                    <w:overflowPunct/>
                    <w:topLinePunct w:val="0"/>
                    <w:autoSpaceDE/>
                    <w:autoSpaceDN/>
                    <w:bidi w:val="0"/>
                    <w:spacing w:line="280" w:lineRule="exact"/>
                    <w:jc w:val="center"/>
                    <w:textAlignment w:val="auto"/>
                    <w:rPr>
                      <w:rFonts w:cs="Times New Roman"/>
                      <w:color w:val="auto"/>
                      <w:szCs w:val="21"/>
                      <w:highlight w:val="none"/>
                    </w:rPr>
                  </w:pPr>
                  <w:r>
                    <w:rPr>
                      <w:rFonts w:cs="Times New Roman"/>
                      <w:color w:val="auto"/>
                      <w:szCs w:val="21"/>
                      <w:highlight w:val="none"/>
                    </w:rPr>
                    <w:t>噪声治理</w:t>
                  </w:r>
                </w:p>
              </w:tc>
              <w:tc>
                <w:tcPr>
                  <w:tcW w:w="494" w:type="pct"/>
                  <w:tcBorders>
                    <w:tl2br w:val="nil"/>
                    <w:tr2bl w:val="nil"/>
                  </w:tcBorders>
                  <w:vAlign w:val="center"/>
                </w:tcPr>
                <w:p w14:paraId="1DEDFD9F">
                  <w:pPr>
                    <w:keepNext w:val="0"/>
                    <w:keepLines w:val="0"/>
                    <w:pageBreakBefore w:val="0"/>
                    <w:widowControl w:val="0"/>
                    <w:kinsoku/>
                    <w:wordWrap/>
                    <w:overflowPunct/>
                    <w:topLinePunct w:val="0"/>
                    <w:autoSpaceDE/>
                    <w:autoSpaceDN/>
                    <w:bidi w:val="0"/>
                    <w:spacing w:line="280" w:lineRule="exact"/>
                    <w:jc w:val="center"/>
                    <w:textAlignment w:val="auto"/>
                    <w:rPr>
                      <w:rFonts w:cs="Times New Roman"/>
                      <w:color w:val="auto"/>
                      <w:szCs w:val="21"/>
                      <w:highlight w:val="none"/>
                    </w:rPr>
                  </w:pPr>
                  <w:r>
                    <w:rPr>
                      <w:rFonts w:cs="Times New Roman"/>
                      <w:color w:val="auto"/>
                      <w:szCs w:val="21"/>
                      <w:highlight w:val="none"/>
                    </w:rPr>
                    <w:t>施工期</w:t>
                  </w:r>
                </w:p>
              </w:tc>
              <w:tc>
                <w:tcPr>
                  <w:tcW w:w="2659" w:type="pct"/>
                  <w:tcBorders>
                    <w:tl2br w:val="nil"/>
                    <w:tr2bl w:val="nil"/>
                  </w:tcBorders>
                  <w:vAlign w:val="center"/>
                </w:tcPr>
                <w:p w14:paraId="303D3153">
                  <w:pPr>
                    <w:pStyle w:val="49"/>
                    <w:keepNext w:val="0"/>
                    <w:keepLines w:val="0"/>
                    <w:pageBreakBefore w:val="0"/>
                    <w:widowControl w:val="0"/>
                    <w:kinsoku/>
                    <w:wordWrap/>
                    <w:overflowPunct/>
                    <w:topLinePunct w:val="0"/>
                    <w:autoSpaceDE/>
                    <w:autoSpaceDN/>
                    <w:bidi w:val="0"/>
                    <w:spacing w:line="280" w:lineRule="exact"/>
                    <w:jc w:val="left"/>
                    <w:textAlignment w:val="auto"/>
                    <w:rPr>
                      <w:rFonts w:eastAsia="宋体"/>
                      <w:color w:val="auto"/>
                      <w:sz w:val="21"/>
                      <w:highlight w:val="none"/>
                    </w:rPr>
                  </w:pPr>
                  <w:r>
                    <w:rPr>
                      <w:rFonts w:eastAsia="宋体"/>
                      <w:color w:val="auto"/>
                      <w:sz w:val="21"/>
                      <w:highlight w:val="none"/>
                    </w:rPr>
                    <w:t>选低噪声设备，合理安排施工时间，文明施工，合理布置施工平面，车辆限速、禁鸣等</w:t>
                  </w:r>
                </w:p>
              </w:tc>
              <w:tc>
                <w:tcPr>
                  <w:tcW w:w="769" w:type="pct"/>
                  <w:tcBorders>
                    <w:tl2br w:val="nil"/>
                    <w:tr2bl w:val="nil"/>
                  </w:tcBorders>
                  <w:vAlign w:val="center"/>
                </w:tcPr>
                <w:p w14:paraId="3A10C0F8">
                  <w:pPr>
                    <w:keepNext w:val="0"/>
                    <w:keepLines w:val="0"/>
                    <w:pageBreakBefore w:val="0"/>
                    <w:widowControl w:val="0"/>
                    <w:kinsoku/>
                    <w:wordWrap/>
                    <w:overflowPunct/>
                    <w:topLinePunct w:val="0"/>
                    <w:autoSpaceDE/>
                    <w:autoSpaceDN/>
                    <w:bidi w:val="0"/>
                    <w:spacing w:line="280" w:lineRule="exact"/>
                    <w:jc w:val="center"/>
                    <w:textAlignment w:val="auto"/>
                    <w:rPr>
                      <w:rFonts w:hint="eastAsia" w:eastAsia="宋体" w:cs="Times New Roman"/>
                      <w:color w:val="auto"/>
                      <w:szCs w:val="21"/>
                      <w:highlight w:val="none"/>
                      <w:lang w:eastAsia="zh-CN"/>
                    </w:rPr>
                  </w:pPr>
                  <w:r>
                    <w:rPr>
                      <w:rFonts w:cs="Times New Roman"/>
                      <w:color w:val="auto"/>
                      <w:szCs w:val="21"/>
                      <w:highlight w:val="none"/>
                    </w:rPr>
                    <w:t>0.</w:t>
                  </w:r>
                  <w:r>
                    <w:rPr>
                      <w:rFonts w:hint="eastAsia" w:cs="Times New Roman"/>
                      <w:color w:val="auto"/>
                      <w:szCs w:val="21"/>
                      <w:highlight w:val="none"/>
                      <w:lang w:val="en-US" w:eastAsia="zh-CN"/>
                    </w:rPr>
                    <w:t>3</w:t>
                  </w:r>
                </w:p>
              </w:tc>
              <w:tc>
                <w:tcPr>
                  <w:tcW w:w="530" w:type="pct"/>
                  <w:tcBorders>
                    <w:tl2br w:val="nil"/>
                    <w:tr2bl w:val="nil"/>
                  </w:tcBorders>
                  <w:vAlign w:val="center"/>
                </w:tcPr>
                <w:p w14:paraId="72C51874">
                  <w:pPr>
                    <w:keepNext w:val="0"/>
                    <w:keepLines w:val="0"/>
                    <w:pageBreakBefore w:val="0"/>
                    <w:widowControl w:val="0"/>
                    <w:kinsoku/>
                    <w:wordWrap/>
                    <w:overflowPunct/>
                    <w:topLinePunct w:val="0"/>
                    <w:autoSpaceDE/>
                    <w:autoSpaceDN/>
                    <w:bidi w:val="0"/>
                    <w:spacing w:line="280" w:lineRule="exact"/>
                    <w:jc w:val="center"/>
                    <w:textAlignment w:val="auto"/>
                    <w:rPr>
                      <w:rFonts w:cs="Times New Roman"/>
                      <w:color w:val="auto"/>
                      <w:szCs w:val="21"/>
                      <w:highlight w:val="none"/>
                    </w:rPr>
                  </w:pPr>
                  <w:r>
                    <w:rPr>
                      <w:rFonts w:cs="Times New Roman"/>
                      <w:color w:val="auto"/>
                      <w:szCs w:val="21"/>
                      <w:highlight w:val="none"/>
                    </w:rPr>
                    <w:t>新</w:t>
                  </w:r>
                  <w:r>
                    <w:rPr>
                      <w:rFonts w:hint="eastAsia" w:cs="Times New Roman"/>
                      <w:color w:val="auto"/>
                      <w:szCs w:val="21"/>
                      <w:highlight w:val="none"/>
                      <w:lang w:eastAsia="zh-CN"/>
                    </w:rPr>
                    <w:t>建</w:t>
                  </w:r>
                </w:p>
              </w:tc>
            </w:tr>
            <w:tr w14:paraId="452AF2F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45" w:hRule="atLeast"/>
                <w:jc w:val="center"/>
              </w:trPr>
              <w:tc>
                <w:tcPr>
                  <w:tcW w:w="546" w:type="pct"/>
                  <w:vMerge w:val="continue"/>
                  <w:tcBorders>
                    <w:tl2br w:val="nil"/>
                    <w:tr2bl w:val="nil"/>
                  </w:tcBorders>
                  <w:vAlign w:val="center"/>
                </w:tcPr>
                <w:p w14:paraId="66DBC498">
                  <w:pPr>
                    <w:keepNext w:val="0"/>
                    <w:keepLines w:val="0"/>
                    <w:pageBreakBefore w:val="0"/>
                    <w:widowControl w:val="0"/>
                    <w:kinsoku/>
                    <w:wordWrap/>
                    <w:overflowPunct/>
                    <w:topLinePunct w:val="0"/>
                    <w:autoSpaceDE/>
                    <w:autoSpaceDN/>
                    <w:bidi w:val="0"/>
                    <w:spacing w:line="280" w:lineRule="exact"/>
                    <w:jc w:val="center"/>
                    <w:textAlignment w:val="auto"/>
                    <w:rPr>
                      <w:rFonts w:cs="Times New Roman"/>
                      <w:color w:val="auto"/>
                      <w:szCs w:val="21"/>
                      <w:highlight w:val="none"/>
                    </w:rPr>
                  </w:pPr>
                </w:p>
              </w:tc>
              <w:tc>
                <w:tcPr>
                  <w:tcW w:w="494" w:type="pct"/>
                  <w:vMerge w:val="restart"/>
                  <w:tcBorders>
                    <w:tl2br w:val="nil"/>
                    <w:tr2bl w:val="nil"/>
                  </w:tcBorders>
                  <w:vAlign w:val="center"/>
                </w:tcPr>
                <w:p w14:paraId="13B865B2">
                  <w:pPr>
                    <w:keepNext w:val="0"/>
                    <w:keepLines w:val="0"/>
                    <w:pageBreakBefore w:val="0"/>
                    <w:widowControl w:val="0"/>
                    <w:kinsoku/>
                    <w:wordWrap/>
                    <w:overflowPunct/>
                    <w:topLinePunct w:val="0"/>
                    <w:autoSpaceDE/>
                    <w:autoSpaceDN/>
                    <w:bidi w:val="0"/>
                    <w:spacing w:line="280" w:lineRule="exact"/>
                    <w:jc w:val="center"/>
                    <w:textAlignment w:val="auto"/>
                    <w:rPr>
                      <w:rFonts w:cs="Times New Roman"/>
                      <w:color w:val="auto"/>
                      <w:szCs w:val="21"/>
                      <w:highlight w:val="none"/>
                    </w:rPr>
                  </w:pPr>
                  <w:r>
                    <w:rPr>
                      <w:rFonts w:cs="Times New Roman"/>
                      <w:color w:val="auto"/>
                      <w:szCs w:val="21"/>
                      <w:highlight w:val="none"/>
                    </w:rPr>
                    <w:t>营运期</w:t>
                  </w:r>
                </w:p>
              </w:tc>
              <w:tc>
                <w:tcPr>
                  <w:tcW w:w="2659" w:type="pct"/>
                  <w:tcBorders>
                    <w:tl2br w:val="nil"/>
                    <w:tr2bl w:val="nil"/>
                  </w:tcBorders>
                  <w:vAlign w:val="center"/>
                </w:tcPr>
                <w:p w14:paraId="662C9473">
                  <w:pPr>
                    <w:keepNext w:val="0"/>
                    <w:keepLines w:val="0"/>
                    <w:pageBreakBefore w:val="0"/>
                    <w:widowControl w:val="0"/>
                    <w:kinsoku/>
                    <w:wordWrap/>
                    <w:overflowPunct/>
                    <w:topLinePunct w:val="0"/>
                    <w:autoSpaceDE/>
                    <w:autoSpaceDN/>
                    <w:bidi w:val="0"/>
                    <w:spacing w:line="280" w:lineRule="exact"/>
                    <w:jc w:val="left"/>
                    <w:textAlignment w:val="auto"/>
                    <w:rPr>
                      <w:rFonts w:cs="Times New Roman"/>
                      <w:color w:val="auto"/>
                      <w:szCs w:val="21"/>
                      <w:highlight w:val="none"/>
                    </w:rPr>
                  </w:pPr>
                  <w:r>
                    <w:rPr>
                      <w:rFonts w:cs="Times New Roman"/>
                      <w:color w:val="auto"/>
                      <w:szCs w:val="21"/>
                      <w:highlight w:val="none"/>
                    </w:rPr>
                    <w:t>选用低噪声设备，合理布局、采取</w:t>
                  </w:r>
                  <w:r>
                    <w:rPr>
                      <w:rFonts w:hint="eastAsia" w:cs="Times New Roman"/>
                      <w:color w:val="auto"/>
                      <w:szCs w:val="21"/>
                      <w:highlight w:val="none"/>
                      <w:lang w:eastAsia="zh-CN"/>
                    </w:rPr>
                    <w:t>减振</w:t>
                  </w:r>
                  <w:r>
                    <w:rPr>
                      <w:rFonts w:cs="Times New Roman"/>
                      <w:color w:val="auto"/>
                      <w:szCs w:val="21"/>
                      <w:highlight w:val="none"/>
                    </w:rPr>
                    <w:t>措施，厂房隔声</w:t>
                  </w:r>
                </w:p>
              </w:tc>
              <w:tc>
                <w:tcPr>
                  <w:tcW w:w="769" w:type="pct"/>
                  <w:tcBorders>
                    <w:tl2br w:val="nil"/>
                    <w:tr2bl w:val="nil"/>
                  </w:tcBorders>
                  <w:vAlign w:val="center"/>
                </w:tcPr>
                <w:p w14:paraId="5E484BF7">
                  <w:pPr>
                    <w:keepNext w:val="0"/>
                    <w:keepLines w:val="0"/>
                    <w:pageBreakBefore w:val="0"/>
                    <w:widowControl w:val="0"/>
                    <w:kinsoku/>
                    <w:wordWrap/>
                    <w:overflowPunct/>
                    <w:topLinePunct w:val="0"/>
                    <w:autoSpaceDE/>
                    <w:autoSpaceDN/>
                    <w:bidi w:val="0"/>
                    <w:spacing w:line="280" w:lineRule="exact"/>
                    <w:jc w:val="center"/>
                    <w:textAlignment w:val="auto"/>
                    <w:rPr>
                      <w:rFonts w:cs="Times New Roman"/>
                      <w:color w:val="auto"/>
                      <w:szCs w:val="21"/>
                      <w:highlight w:val="none"/>
                    </w:rPr>
                  </w:pPr>
                  <w:r>
                    <w:rPr>
                      <w:rFonts w:cs="Times New Roman"/>
                      <w:color w:val="auto"/>
                      <w:szCs w:val="21"/>
                      <w:highlight w:val="none"/>
                    </w:rPr>
                    <w:t>/</w:t>
                  </w:r>
                </w:p>
              </w:tc>
              <w:tc>
                <w:tcPr>
                  <w:tcW w:w="530" w:type="pct"/>
                  <w:tcBorders>
                    <w:tl2br w:val="nil"/>
                    <w:tr2bl w:val="nil"/>
                  </w:tcBorders>
                  <w:vAlign w:val="center"/>
                </w:tcPr>
                <w:p w14:paraId="3709D58F">
                  <w:pPr>
                    <w:keepNext w:val="0"/>
                    <w:keepLines w:val="0"/>
                    <w:pageBreakBefore w:val="0"/>
                    <w:widowControl w:val="0"/>
                    <w:kinsoku/>
                    <w:wordWrap/>
                    <w:overflowPunct/>
                    <w:topLinePunct w:val="0"/>
                    <w:autoSpaceDE/>
                    <w:autoSpaceDN/>
                    <w:bidi w:val="0"/>
                    <w:spacing w:line="280" w:lineRule="exact"/>
                    <w:jc w:val="center"/>
                    <w:textAlignment w:val="auto"/>
                    <w:rPr>
                      <w:rFonts w:hint="eastAsia" w:eastAsia="宋体" w:cs="Times New Roman"/>
                      <w:color w:val="auto"/>
                      <w:szCs w:val="21"/>
                      <w:highlight w:val="none"/>
                      <w:lang w:eastAsia="zh-CN"/>
                    </w:rPr>
                  </w:pPr>
                  <w:r>
                    <w:rPr>
                      <w:rFonts w:hint="eastAsia" w:cs="Times New Roman"/>
                      <w:color w:val="auto"/>
                      <w:szCs w:val="21"/>
                      <w:highlight w:val="none"/>
                      <w:lang w:eastAsia="zh-CN"/>
                    </w:rPr>
                    <w:t>新建</w:t>
                  </w:r>
                </w:p>
              </w:tc>
            </w:tr>
            <w:tr w14:paraId="5FD9FA3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3" w:hRule="atLeast"/>
                <w:jc w:val="center"/>
              </w:trPr>
              <w:tc>
                <w:tcPr>
                  <w:tcW w:w="546" w:type="pct"/>
                  <w:vMerge w:val="continue"/>
                  <w:tcBorders>
                    <w:tl2br w:val="nil"/>
                    <w:tr2bl w:val="nil"/>
                  </w:tcBorders>
                  <w:vAlign w:val="center"/>
                </w:tcPr>
                <w:p w14:paraId="49F59F00">
                  <w:pPr>
                    <w:keepNext w:val="0"/>
                    <w:keepLines w:val="0"/>
                    <w:pageBreakBefore w:val="0"/>
                    <w:widowControl w:val="0"/>
                    <w:kinsoku/>
                    <w:wordWrap/>
                    <w:overflowPunct/>
                    <w:topLinePunct w:val="0"/>
                    <w:autoSpaceDE/>
                    <w:autoSpaceDN/>
                    <w:bidi w:val="0"/>
                    <w:spacing w:line="280" w:lineRule="exact"/>
                    <w:jc w:val="center"/>
                    <w:textAlignment w:val="auto"/>
                    <w:rPr>
                      <w:rFonts w:cs="Times New Roman"/>
                      <w:color w:val="auto"/>
                      <w:szCs w:val="21"/>
                      <w:highlight w:val="none"/>
                    </w:rPr>
                  </w:pPr>
                </w:p>
              </w:tc>
              <w:tc>
                <w:tcPr>
                  <w:tcW w:w="494" w:type="pct"/>
                  <w:vMerge w:val="continue"/>
                  <w:tcBorders>
                    <w:tl2br w:val="nil"/>
                    <w:tr2bl w:val="nil"/>
                  </w:tcBorders>
                  <w:vAlign w:val="center"/>
                </w:tcPr>
                <w:p w14:paraId="24576016">
                  <w:pPr>
                    <w:keepNext w:val="0"/>
                    <w:keepLines w:val="0"/>
                    <w:pageBreakBefore w:val="0"/>
                    <w:widowControl w:val="0"/>
                    <w:kinsoku/>
                    <w:wordWrap/>
                    <w:overflowPunct/>
                    <w:topLinePunct w:val="0"/>
                    <w:autoSpaceDE/>
                    <w:autoSpaceDN/>
                    <w:bidi w:val="0"/>
                    <w:spacing w:line="280" w:lineRule="exact"/>
                    <w:jc w:val="center"/>
                    <w:textAlignment w:val="auto"/>
                    <w:rPr>
                      <w:rFonts w:cs="Times New Roman"/>
                      <w:color w:val="auto"/>
                      <w:szCs w:val="21"/>
                      <w:highlight w:val="none"/>
                    </w:rPr>
                  </w:pPr>
                </w:p>
              </w:tc>
              <w:tc>
                <w:tcPr>
                  <w:tcW w:w="2659" w:type="pct"/>
                  <w:tcBorders>
                    <w:tl2br w:val="nil"/>
                    <w:tr2bl w:val="nil"/>
                  </w:tcBorders>
                  <w:vAlign w:val="center"/>
                </w:tcPr>
                <w:p w14:paraId="3EAD8951">
                  <w:pPr>
                    <w:keepNext w:val="0"/>
                    <w:keepLines w:val="0"/>
                    <w:pageBreakBefore w:val="0"/>
                    <w:widowControl w:val="0"/>
                    <w:kinsoku/>
                    <w:wordWrap/>
                    <w:overflowPunct/>
                    <w:topLinePunct w:val="0"/>
                    <w:autoSpaceDE/>
                    <w:autoSpaceDN/>
                    <w:bidi w:val="0"/>
                    <w:spacing w:line="280" w:lineRule="exact"/>
                    <w:jc w:val="left"/>
                    <w:textAlignment w:val="auto"/>
                    <w:rPr>
                      <w:rFonts w:cs="Times New Roman"/>
                      <w:color w:val="auto"/>
                      <w:szCs w:val="21"/>
                      <w:highlight w:val="none"/>
                    </w:rPr>
                  </w:pPr>
                  <w:r>
                    <w:rPr>
                      <w:rFonts w:cs="Times New Roman"/>
                      <w:color w:val="auto"/>
                      <w:szCs w:val="21"/>
                      <w:highlight w:val="none"/>
                    </w:rPr>
                    <w:t>加强车辆进出管理</w:t>
                  </w:r>
                </w:p>
              </w:tc>
              <w:tc>
                <w:tcPr>
                  <w:tcW w:w="769" w:type="pct"/>
                  <w:tcBorders>
                    <w:tl2br w:val="nil"/>
                    <w:tr2bl w:val="nil"/>
                  </w:tcBorders>
                  <w:vAlign w:val="center"/>
                </w:tcPr>
                <w:p w14:paraId="1FFE5CD8">
                  <w:pPr>
                    <w:keepNext w:val="0"/>
                    <w:keepLines w:val="0"/>
                    <w:pageBreakBefore w:val="0"/>
                    <w:widowControl w:val="0"/>
                    <w:kinsoku/>
                    <w:wordWrap/>
                    <w:overflowPunct/>
                    <w:topLinePunct w:val="0"/>
                    <w:autoSpaceDE/>
                    <w:autoSpaceDN/>
                    <w:bidi w:val="0"/>
                    <w:spacing w:line="280" w:lineRule="exact"/>
                    <w:jc w:val="center"/>
                    <w:textAlignment w:val="auto"/>
                    <w:rPr>
                      <w:rFonts w:cs="Times New Roman"/>
                      <w:color w:val="auto"/>
                      <w:szCs w:val="21"/>
                      <w:highlight w:val="none"/>
                    </w:rPr>
                  </w:pPr>
                  <w:r>
                    <w:rPr>
                      <w:rFonts w:cs="Times New Roman"/>
                      <w:color w:val="auto"/>
                      <w:szCs w:val="21"/>
                      <w:highlight w:val="none"/>
                    </w:rPr>
                    <w:t>/</w:t>
                  </w:r>
                </w:p>
              </w:tc>
              <w:tc>
                <w:tcPr>
                  <w:tcW w:w="530" w:type="pct"/>
                  <w:tcBorders>
                    <w:tl2br w:val="nil"/>
                    <w:tr2bl w:val="nil"/>
                  </w:tcBorders>
                  <w:vAlign w:val="center"/>
                </w:tcPr>
                <w:p w14:paraId="40B096EA">
                  <w:pPr>
                    <w:keepNext w:val="0"/>
                    <w:keepLines w:val="0"/>
                    <w:pageBreakBefore w:val="0"/>
                    <w:widowControl w:val="0"/>
                    <w:kinsoku/>
                    <w:wordWrap/>
                    <w:overflowPunct/>
                    <w:topLinePunct w:val="0"/>
                    <w:autoSpaceDE/>
                    <w:autoSpaceDN/>
                    <w:bidi w:val="0"/>
                    <w:spacing w:line="280" w:lineRule="exact"/>
                    <w:jc w:val="center"/>
                    <w:textAlignment w:val="auto"/>
                    <w:rPr>
                      <w:rFonts w:cs="Times New Roman"/>
                      <w:color w:val="auto"/>
                      <w:szCs w:val="21"/>
                      <w:highlight w:val="none"/>
                    </w:rPr>
                  </w:pPr>
                  <w:r>
                    <w:rPr>
                      <w:rFonts w:cs="Times New Roman"/>
                      <w:color w:val="auto"/>
                      <w:szCs w:val="21"/>
                      <w:highlight w:val="none"/>
                    </w:rPr>
                    <w:t>/</w:t>
                  </w:r>
                </w:p>
              </w:tc>
            </w:tr>
            <w:tr w14:paraId="37C1888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3" w:hRule="atLeast"/>
                <w:jc w:val="center"/>
              </w:trPr>
              <w:tc>
                <w:tcPr>
                  <w:tcW w:w="546" w:type="pct"/>
                  <w:vMerge w:val="restart"/>
                  <w:tcBorders>
                    <w:tl2br w:val="nil"/>
                    <w:tr2bl w:val="nil"/>
                  </w:tcBorders>
                  <w:vAlign w:val="center"/>
                </w:tcPr>
                <w:p w14:paraId="428C47BA">
                  <w:pPr>
                    <w:keepNext w:val="0"/>
                    <w:keepLines w:val="0"/>
                    <w:pageBreakBefore w:val="0"/>
                    <w:widowControl w:val="0"/>
                    <w:kinsoku/>
                    <w:wordWrap/>
                    <w:overflowPunct/>
                    <w:topLinePunct w:val="0"/>
                    <w:autoSpaceDE/>
                    <w:autoSpaceDN/>
                    <w:bidi w:val="0"/>
                    <w:spacing w:line="280" w:lineRule="exact"/>
                    <w:jc w:val="center"/>
                    <w:textAlignment w:val="auto"/>
                    <w:rPr>
                      <w:rFonts w:cs="Times New Roman"/>
                      <w:color w:val="auto"/>
                      <w:szCs w:val="21"/>
                      <w:highlight w:val="none"/>
                    </w:rPr>
                  </w:pPr>
                  <w:r>
                    <w:rPr>
                      <w:rFonts w:cs="Times New Roman"/>
                      <w:color w:val="auto"/>
                      <w:szCs w:val="21"/>
                      <w:highlight w:val="none"/>
                    </w:rPr>
                    <w:t>固体废物</w:t>
                  </w:r>
                </w:p>
              </w:tc>
              <w:tc>
                <w:tcPr>
                  <w:tcW w:w="494" w:type="pct"/>
                  <w:tcBorders>
                    <w:tl2br w:val="nil"/>
                    <w:tr2bl w:val="nil"/>
                  </w:tcBorders>
                  <w:vAlign w:val="center"/>
                </w:tcPr>
                <w:p w14:paraId="0F22AFBC">
                  <w:pPr>
                    <w:keepNext w:val="0"/>
                    <w:keepLines w:val="0"/>
                    <w:pageBreakBefore w:val="0"/>
                    <w:widowControl w:val="0"/>
                    <w:kinsoku/>
                    <w:wordWrap/>
                    <w:overflowPunct/>
                    <w:topLinePunct w:val="0"/>
                    <w:autoSpaceDE/>
                    <w:autoSpaceDN/>
                    <w:bidi w:val="0"/>
                    <w:spacing w:line="280" w:lineRule="exact"/>
                    <w:jc w:val="center"/>
                    <w:textAlignment w:val="auto"/>
                    <w:rPr>
                      <w:rFonts w:cs="Times New Roman"/>
                      <w:color w:val="auto"/>
                      <w:szCs w:val="21"/>
                      <w:highlight w:val="none"/>
                    </w:rPr>
                  </w:pPr>
                  <w:r>
                    <w:rPr>
                      <w:rFonts w:cs="Times New Roman"/>
                      <w:color w:val="auto"/>
                      <w:szCs w:val="21"/>
                      <w:highlight w:val="none"/>
                    </w:rPr>
                    <w:t>施工期</w:t>
                  </w:r>
                </w:p>
              </w:tc>
              <w:tc>
                <w:tcPr>
                  <w:tcW w:w="2659" w:type="pct"/>
                  <w:tcBorders>
                    <w:tl2br w:val="nil"/>
                    <w:tr2bl w:val="nil"/>
                  </w:tcBorders>
                  <w:vAlign w:val="center"/>
                </w:tcPr>
                <w:p w14:paraId="08EA0141">
                  <w:pPr>
                    <w:keepNext w:val="0"/>
                    <w:keepLines w:val="0"/>
                    <w:pageBreakBefore w:val="0"/>
                    <w:widowControl w:val="0"/>
                    <w:kinsoku/>
                    <w:wordWrap/>
                    <w:overflowPunct/>
                    <w:topLinePunct w:val="0"/>
                    <w:autoSpaceDE/>
                    <w:autoSpaceDN/>
                    <w:bidi w:val="0"/>
                    <w:spacing w:line="280" w:lineRule="exact"/>
                    <w:jc w:val="left"/>
                    <w:textAlignment w:val="auto"/>
                    <w:rPr>
                      <w:rFonts w:cs="Times New Roman"/>
                      <w:color w:val="auto"/>
                      <w:szCs w:val="21"/>
                      <w:highlight w:val="none"/>
                    </w:rPr>
                  </w:pPr>
                  <w:r>
                    <w:rPr>
                      <w:rFonts w:cs="Times New Roman"/>
                      <w:color w:val="auto"/>
                      <w:szCs w:val="21"/>
                      <w:highlight w:val="none"/>
                    </w:rPr>
                    <w:t>建筑废物分类处置，生活垃圾日产日清</w:t>
                  </w:r>
                </w:p>
              </w:tc>
              <w:tc>
                <w:tcPr>
                  <w:tcW w:w="769" w:type="pct"/>
                  <w:tcBorders>
                    <w:tl2br w:val="nil"/>
                    <w:tr2bl w:val="nil"/>
                  </w:tcBorders>
                  <w:vAlign w:val="center"/>
                </w:tcPr>
                <w:p w14:paraId="01F4CCF9">
                  <w:pPr>
                    <w:keepNext w:val="0"/>
                    <w:keepLines w:val="0"/>
                    <w:pageBreakBefore w:val="0"/>
                    <w:widowControl w:val="0"/>
                    <w:kinsoku/>
                    <w:wordWrap/>
                    <w:overflowPunct/>
                    <w:topLinePunct w:val="0"/>
                    <w:autoSpaceDE/>
                    <w:autoSpaceDN/>
                    <w:bidi w:val="0"/>
                    <w:spacing w:line="280" w:lineRule="exact"/>
                    <w:jc w:val="center"/>
                    <w:textAlignment w:val="auto"/>
                    <w:rPr>
                      <w:rFonts w:cs="Times New Roman"/>
                      <w:color w:val="auto"/>
                      <w:szCs w:val="21"/>
                      <w:highlight w:val="none"/>
                    </w:rPr>
                  </w:pPr>
                  <w:r>
                    <w:rPr>
                      <w:rFonts w:cs="Times New Roman"/>
                      <w:color w:val="auto"/>
                      <w:szCs w:val="21"/>
                      <w:highlight w:val="none"/>
                    </w:rPr>
                    <w:t>0.</w:t>
                  </w:r>
                  <w:r>
                    <w:rPr>
                      <w:rFonts w:hint="eastAsia" w:cs="Times New Roman"/>
                      <w:color w:val="auto"/>
                      <w:szCs w:val="21"/>
                      <w:highlight w:val="none"/>
                    </w:rPr>
                    <w:t>2</w:t>
                  </w:r>
                </w:p>
              </w:tc>
              <w:tc>
                <w:tcPr>
                  <w:tcW w:w="530" w:type="pct"/>
                  <w:tcBorders>
                    <w:tl2br w:val="nil"/>
                    <w:tr2bl w:val="nil"/>
                  </w:tcBorders>
                  <w:vAlign w:val="center"/>
                </w:tcPr>
                <w:p w14:paraId="148314E0">
                  <w:pPr>
                    <w:keepNext w:val="0"/>
                    <w:keepLines w:val="0"/>
                    <w:pageBreakBefore w:val="0"/>
                    <w:widowControl w:val="0"/>
                    <w:kinsoku/>
                    <w:wordWrap/>
                    <w:overflowPunct/>
                    <w:topLinePunct w:val="0"/>
                    <w:autoSpaceDE/>
                    <w:autoSpaceDN/>
                    <w:bidi w:val="0"/>
                    <w:spacing w:line="280" w:lineRule="exact"/>
                    <w:jc w:val="center"/>
                    <w:textAlignment w:val="auto"/>
                    <w:rPr>
                      <w:rFonts w:cs="Times New Roman"/>
                      <w:color w:val="auto"/>
                      <w:szCs w:val="21"/>
                      <w:highlight w:val="none"/>
                    </w:rPr>
                  </w:pPr>
                  <w:r>
                    <w:rPr>
                      <w:rFonts w:cs="Times New Roman"/>
                      <w:color w:val="auto"/>
                      <w:szCs w:val="21"/>
                      <w:highlight w:val="none"/>
                    </w:rPr>
                    <w:t>新</w:t>
                  </w:r>
                  <w:r>
                    <w:rPr>
                      <w:rFonts w:hint="eastAsia" w:cs="Times New Roman"/>
                      <w:color w:val="auto"/>
                      <w:szCs w:val="21"/>
                      <w:highlight w:val="none"/>
                      <w:lang w:eastAsia="zh-CN"/>
                    </w:rPr>
                    <w:t>建</w:t>
                  </w:r>
                </w:p>
              </w:tc>
            </w:tr>
            <w:tr w14:paraId="03EA7CC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45" w:hRule="atLeast"/>
                <w:jc w:val="center"/>
              </w:trPr>
              <w:tc>
                <w:tcPr>
                  <w:tcW w:w="546" w:type="pct"/>
                  <w:vMerge w:val="continue"/>
                  <w:tcBorders>
                    <w:tl2br w:val="nil"/>
                    <w:tr2bl w:val="nil"/>
                  </w:tcBorders>
                  <w:vAlign w:val="center"/>
                </w:tcPr>
                <w:p w14:paraId="364AFDF6">
                  <w:pPr>
                    <w:keepNext w:val="0"/>
                    <w:keepLines w:val="0"/>
                    <w:pageBreakBefore w:val="0"/>
                    <w:widowControl w:val="0"/>
                    <w:kinsoku/>
                    <w:wordWrap/>
                    <w:overflowPunct/>
                    <w:topLinePunct w:val="0"/>
                    <w:autoSpaceDE/>
                    <w:autoSpaceDN/>
                    <w:bidi w:val="0"/>
                    <w:spacing w:line="280" w:lineRule="exact"/>
                    <w:jc w:val="center"/>
                    <w:textAlignment w:val="auto"/>
                    <w:rPr>
                      <w:rFonts w:cs="Times New Roman"/>
                      <w:color w:val="auto"/>
                      <w:szCs w:val="21"/>
                      <w:highlight w:val="none"/>
                    </w:rPr>
                  </w:pPr>
                </w:p>
              </w:tc>
              <w:tc>
                <w:tcPr>
                  <w:tcW w:w="494" w:type="pct"/>
                  <w:vMerge w:val="restart"/>
                  <w:tcBorders>
                    <w:tl2br w:val="nil"/>
                    <w:tr2bl w:val="nil"/>
                  </w:tcBorders>
                  <w:vAlign w:val="center"/>
                </w:tcPr>
                <w:p w14:paraId="170BEBE4">
                  <w:pPr>
                    <w:keepNext w:val="0"/>
                    <w:keepLines w:val="0"/>
                    <w:pageBreakBefore w:val="0"/>
                    <w:widowControl w:val="0"/>
                    <w:kinsoku/>
                    <w:wordWrap/>
                    <w:overflowPunct/>
                    <w:topLinePunct w:val="0"/>
                    <w:autoSpaceDE/>
                    <w:autoSpaceDN/>
                    <w:bidi w:val="0"/>
                    <w:spacing w:line="280" w:lineRule="exact"/>
                    <w:jc w:val="center"/>
                    <w:textAlignment w:val="auto"/>
                    <w:rPr>
                      <w:rFonts w:cs="Times New Roman"/>
                      <w:color w:val="auto"/>
                      <w:szCs w:val="21"/>
                      <w:highlight w:val="none"/>
                    </w:rPr>
                  </w:pPr>
                  <w:r>
                    <w:rPr>
                      <w:rFonts w:cs="Times New Roman"/>
                      <w:color w:val="auto"/>
                      <w:szCs w:val="21"/>
                      <w:highlight w:val="none"/>
                    </w:rPr>
                    <w:t>营运期</w:t>
                  </w:r>
                </w:p>
              </w:tc>
              <w:tc>
                <w:tcPr>
                  <w:tcW w:w="2659" w:type="pct"/>
                  <w:tcBorders>
                    <w:tl2br w:val="nil"/>
                    <w:tr2bl w:val="nil"/>
                  </w:tcBorders>
                  <w:vAlign w:val="center"/>
                </w:tcPr>
                <w:p w14:paraId="426F9C45">
                  <w:pPr>
                    <w:keepNext w:val="0"/>
                    <w:keepLines w:val="0"/>
                    <w:pageBreakBefore w:val="0"/>
                    <w:widowControl w:val="0"/>
                    <w:kinsoku/>
                    <w:wordWrap/>
                    <w:overflowPunct/>
                    <w:topLinePunct w:val="0"/>
                    <w:autoSpaceDE/>
                    <w:autoSpaceDN/>
                    <w:bidi w:val="0"/>
                    <w:spacing w:line="280" w:lineRule="exact"/>
                    <w:jc w:val="left"/>
                    <w:textAlignment w:val="auto"/>
                    <w:rPr>
                      <w:rFonts w:cs="Times New Roman"/>
                      <w:color w:val="auto"/>
                      <w:szCs w:val="21"/>
                      <w:highlight w:val="none"/>
                    </w:rPr>
                  </w:pPr>
                  <w:r>
                    <w:rPr>
                      <w:rFonts w:cs="Times New Roman"/>
                      <w:color w:val="auto"/>
                      <w:szCs w:val="21"/>
                      <w:highlight w:val="none"/>
                    </w:rPr>
                    <w:t>生活垃圾：经袋装收集后定期交由环卫部门统一清运。</w:t>
                  </w:r>
                </w:p>
              </w:tc>
              <w:tc>
                <w:tcPr>
                  <w:tcW w:w="769" w:type="pct"/>
                  <w:tcBorders>
                    <w:tl2br w:val="nil"/>
                    <w:tr2bl w:val="nil"/>
                  </w:tcBorders>
                  <w:vAlign w:val="center"/>
                </w:tcPr>
                <w:p w14:paraId="133B37BF">
                  <w:pPr>
                    <w:keepNext w:val="0"/>
                    <w:keepLines w:val="0"/>
                    <w:pageBreakBefore w:val="0"/>
                    <w:widowControl w:val="0"/>
                    <w:kinsoku/>
                    <w:wordWrap/>
                    <w:overflowPunct/>
                    <w:topLinePunct w:val="0"/>
                    <w:autoSpaceDE/>
                    <w:autoSpaceDN/>
                    <w:bidi w:val="0"/>
                    <w:spacing w:line="280" w:lineRule="exact"/>
                    <w:jc w:val="center"/>
                    <w:textAlignment w:val="auto"/>
                    <w:rPr>
                      <w:rFonts w:cs="Times New Roman"/>
                      <w:color w:val="auto"/>
                      <w:szCs w:val="21"/>
                      <w:highlight w:val="none"/>
                    </w:rPr>
                  </w:pPr>
                  <w:r>
                    <w:rPr>
                      <w:rFonts w:cs="Times New Roman"/>
                      <w:color w:val="auto"/>
                      <w:szCs w:val="21"/>
                      <w:highlight w:val="none"/>
                    </w:rPr>
                    <w:t>/</w:t>
                  </w:r>
                </w:p>
              </w:tc>
              <w:tc>
                <w:tcPr>
                  <w:tcW w:w="530" w:type="pct"/>
                  <w:tcBorders>
                    <w:tl2br w:val="nil"/>
                    <w:tr2bl w:val="nil"/>
                  </w:tcBorders>
                  <w:vAlign w:val="center"/>
                </w:tcPr>
                <w:p w14:paraId="27BE806E">
                  <w:pPr>
                    <w:keepNext w:val="0"/>
                    <w:keepLines w:val="0"/>
                    <w:pageBreakBefore w:val="0"/>
                    <w:widowControl w:val="0"/>
                    <w:kinsoku/>
                    <w:wordWrap/>
                    <w:overflowPunct/>
                    <w:topLinePunct w:val="0"/>
                    <w:autoSpaceDE/>
                    <w:autoSpaceDN/>
                    <w:bidi w:val="0"/>
                    <w:spacing w:line="280" w:lineRule="exact"/>
                    <w:jc w:val="center"/>
                    <w:textAlignment w:val="auto"/>
                    <w:rPr>
                      <w:rFonts w:hint="eastAsia" w:eastAsia="宋体" w:cs="Times New Roman"/>
                      <w:color w:val="auto"/>
                      <w:szCs w:val="21"/>
                      <w:highlight w:val="none"/>
                      <w:lang w:eastAsia="zh-CN"/>
                    </w:rPr>
                  </w:pPr>
                  <w:r>
                    <w:rPr>
                      <w:rFonts w:hint="eastAsia" w:cs="Times New Roman"/>
                      <w:color w:val="auto"/>
                      <w:szCs w:val="21"/>
                      <w:highlight w:val="none"/>
                      <w:lang w:eastAsia="zh-CN"/>
                    </w:rPr>
                    <w:t>依托</w:t>
                  </w:r>
                </w:p>
              </w:tc>
            </w:tr>
            <w:tr w14:paraId="29144B0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472" w:hRule="atLeast"/>
                <w:jc w:val="center"/>
              </w:trPr>
              <w:tc>
                <w:tcPr>
                  <w:tcW w:w="546" w:type="pct"/>
                  <w:vMerge w:val="continue"/>
                  <w:tcBorders>
                    <w:tl2br w:val="nil"/>
                    <w:tr2bl w:val="nil"/>
                  </w:tcBorders>
                  <w:vAlign w:val="center"/>
                </w:tcPr>
                <w:p w14:paraId="49AC3F08">
                  <w:pPr>
                    <w:keepNext w:val="0"/>
                    <w:keepLines w:val="0"/>
                    <w:pageBreakBefore w:val="0"/>
                    <w:widowControl w:val="0"/>
                    <w:kinsoku/>
                    <w:wordWrap/>
                    <w:overflowPunct/>
                    <w:topLinePunct w:val="0"/>
                    <w:autoSpaceDE/>
                    <w:autoSpaceDN/>
                    <w:bidi w:val="0"/>
                    <w:spacing w:line="280" w:lineRule="exact"/>
                    <w:jc w:val="center"/>
                    <w:textAlignment w:val="auto"/>
                    <w:rPr>
                      <w:rFonts w:cs="Times New Roman"/>
                      <w:color w:val="auto"/>
                      <w:szCs w:val="21"/>
                      <w:highlight w:val="none"/>
                    </w:rPr>
                  </w:pPr>
                </w:p>
              </w:tc>
              <w:tc>
                <w:tcPr>
                  <w:tcW w:w="494" w:type="pct"/>
                  <w:vMerge w:val="continue"/>
                  <w:tcBorders>
                    <w:tl2br w:val="nil"/>
                    <w:tr2bl w:val="nil"/>
                  </w:tcBorders>
                  <w:vAlign w:val="center"/>
                </w:tcPr>
                <w:p w14:paraId="7F675F8D">
                  <w:pPr>
                    <w:keepNext w:val="0"/>
                    <w:keepLines w:val="0"/>
                    <w:pageBreakBefore w:val="0"/>
                    <w:widowControl w:val="0"/>
                    <w:kinsoku/>
                    <w:wordWrap/>
                    <w:overflowPunct/>
                    <w:topLinePunct w:val="0"/>
                    <w:autoSpaceDE/>
                    <w:autoSpaceDN/>
                    <w:bidi w:val="0"/>
                    <w:spacing w:line="280" w:lineRule="exact"/>
                    <w:jc w:val="center"/>
                    <w:textAlignment w:val="auto"/>
                    <w:rPr>
                      <w:rFonts w:cs="Times New Roman"/>
                      <w:color w:val="auto"/>
                      <w:szCs w:val="21"/>
                      <w:highlight w:val="none"/>
                    </w:rPr>
                  </w:pPr>
                </w:p>
              </w:tc>
              <w:tc>
                <w:tcPr>
                  <w:tcW w:w="2659" w:type="pct"/>
                  <w:tcBorders>
                    <w:tl2br w:val="nil"/>
                    <w:tr2bl w:val="nil"/>
                  </w:tcBorders>
                  <w:vAlign w:val="center"/>
                </w:tcPr>
                <w:p w14:paraId="1789F30C">
                  <w:pPr>
                    <w:keepNext w:val="0"/>
                    <w:keepLines w:val="0"/>
                    <w:pageBreakBefore w:val="0"/>
                    <w:widowControl w:val="0"/>
                    <w:tabs>
                      <w:tab w:val="left" w:pos="993"/>
                      <w:tab w:val="left" w:pos="1134"/>
                    </w:tabs>
                    <w:kinsoku/>
                    <w:wordWrap/>
                    <w:overflowPunct/>
                    <w:topLinePunct w:val="0"/>
                    <w:autoSpaceDE/>
                    <w:autoSpaceDN/>
                    <w:bidi w:val="0"/>
                    <w:spacing w:line="280" w:lineRule="exact"/>
                    <w:jc w:val="left"/>
                    <w:textAlignment w:val="auto"/>
                    <w:rPr>
                      <w:rFonts w:cs="Times New Roman"/>
                      <w:color w:val="auto"/>
                      <w:szCs w:val="21"/>
                      <w:highlight w:val="none"/>
                    </w:rPr>
                  </w:pPr>
                  <w:r>
                    <w:rPr>
                      <w:rFonts w:cs="Times New Roman"/>
                      <w:color w:val="auto"/>
                      <w:szCs w:val="21"/>
                      <w:highlight w:val="none"/>
                    </w:rPr>
                    <w:t>沉淀池</w:t>
                  </w:r>
                  <w:r>
                    <w:rPr>
                      <w:rFonts w:hint="eastAsia" w:cs="Times New Roman"/>
                      <w:color w:val="auto"/>
                      <w:szCs w:val="21"/>
                      <w:highlight w:val="none"/>
                      <w:lang w:eastAsia="zh-CN"/>
                    </w:rPr>
                    <w:t>泥沙</w:t>
                  </w:r>
                  <w:r>
                    <w:rPr>
                      <w:rFonts w:cs="Times New Roman"/>
                      <w:color w:val="auto"/>
                      <w:szCs w:val="21"/>
                      <w:highlight w:val="none"/>
                    </w:rPr>
                    <w:t>：在压滤机下方设置1处三面墙体的泥饼暂存区（</w:t>
                  </w:r>
                  <w:r>
                    <w:rPr>
                      <w:rFonts w:cs="Times New Roman"/>
                      <w:color w:val="auto"/>
                      <w:szCs w:val="21"/>
                      <w:highlight w:val="none"/>
                      <w:lang w:bidi="ar"/>
                    </w:rPr>
                    <w:t>面积</w:t>
                  </w:r>
                  <w:r>
                    <w:rPr>
                      <w:rFonts w:hint="eastAsia" w:cs="Times New Roman"/>
                      <w:color w:val="auto"/>
                      <w:szCs w:val="21"/>
                      <w:highlight w:val="none"/>
                      <w:lang w:val="en-US" w:eastAsia="zh-CN" w:bidi="ar"/>
                    </w:rPr>
                    <w:t>1</w:t>
                  </w:r>
                  <w:r>
                    <w:rPr>
                      <w:rFonts w:cs="Times New Roman"/>
                      <w:color w:val="auto"/>
                      <w:szCs w:val="21"/>
                      <w:highlight w:val="none"/>
                      <w:lang w:bidi="ar"/>
                    </w:rPr>
                    <w:t>0m</w:t>
                  </w:r>
                  <w:r>
                    <w:rPr>
                      <w:rFonts w:cs="Times New Roman"/>
                      <w:color w:val="auto"/>
                      <w:szCs w:val="21"/>
                      <w:highlight w:val="none"/>
                      <w:vertAlign w:val="superscript"/>
                      <w:lang w:bidi="ar"/>
                    </w:rPr>
                    <w:t>2</w:t>
                  </w:r>
                  <w:r>
                    <w:rPr>
                      <w:rFonts w:cs="Times New Roman"/>
                      <w:color w:val="auto"/>
                      <w:szCs w:val="21"/>
                      <w:highlight w:val="none"/>
                    </w:rPr>
                    <w:t>），经压滤机压滤后的泥饼直接掉入下方暂存区后外售制砖</w:t>
                  </w:r>
                  <w:r>
                    <w:rPr>
                      <w:rFonts w:hint="eastAsia" w:cs="Times New Roman"/>
                      <w:color w:val="auto"/>
                      <w:szCs w:val="21"/>
                      <w:highlight w:val="none"/>
                      <w:lang w:eastAsia="zh-CN"/>
                    </w:rPr>
                    <w:t>，其</w:t>
                  </w:r>
                  <w:r>
                    <w:rPr>
                      <w:color w:val="auto"/>
                      <w:spacing w:val="9"/>
                      <w:highlight w:val="none"/>
                    </w:rPr>
                    <w:t>贮存过程应满足相应防渗漏、防雨淋、防扬尘</w:t>
                  </w:r>
                  <w:r>
                    <w:rPr>
                      <w:rFonts w:hint="eastAsia"/>
                      <w:color w:val="auto"/>
                      <w:spacing w:val="9"/>
                      <w:highlight w:val="none"/>
                      <w:lang w:eastAsia="zh-CN"/>
                    </w:rPr>
                    <w:t>等要求</w:t>
                  </w:r>
                  <w:r>
                    <w:rPr>
                      <w:rFonts w:cs="Times New Roman"/>
                      <w:color w:val="auto"/>
                      <w:szCs w:val="21"/>
                      <w:highlight w:val="none"/>
                    </w:rPr>
                    <w:t>。</w:t>
                  </w:r>
                </w:p>
              </w:tc>
              <w:tc>
                <w:tcPr>
                  <w:tcW w:w="769" w:type="pct"/>
                  <w:tcBorders>
                    <w:tl2br w:val="nil"/>
                    <w:tr2bl w:val="nil"/>
                  </w:tcBorders>
                  <w:vAlign w:val="center"/>
                </w:tcPr>
                <w:p w14:paraId="727B200B">
                  <w:pPr>
                    <w:keepNext w:val="0"/>
                    <w:keepLines w:val="0"/>
                    <w:pageBreakBefore w:val="0"/>
                    <w:widowControl w:val="0"/>
                    <w:kinsoku/>
                    <w:wordWrap/>
                    <w:overflowPunct/>
                    <w:topLinePunct w:val="0"/>
                    <w:autoSpaceDE/>
                    <w:autoSpaceDN/>
                    <w:bidi w:val="0"/>
                    <w:spacing w:line="280" w:lineRule="exact"/>
                    <w:jc w:val="center"/>
                    <w:textAlignment w:val="auto"/>
                    <w:rPr>
                      <w:rFonts w:hint="default" w:eastAsia="宋体" w:cs="Times New Roman"/>
                      <w:color w:val="auto"/>
                      <w:szCs w:val="21"/>
                      <w:highlight w:val="none"/>
                      <w:lang w:val="en-US" w:eastAsia="zh-CN"/>
                    </w:rPr>
                  </w:pPr>
                  <w:r>
                    <w:rPr>
                      <w:rFonts w:hint="eastAsia" w:cs="Times New Roman"/>
                      <w:color w:val="auto"/>
                      <w:szCs w:val="21"/>
                      <w:highlight w:val="none"/>
                      <w:lang w:val="en-US" w:eastAsia="zh-CN"/>
                    </w:rPr>
                    <w:t>2.0</w:t>
                  </w:r>
                </w:p>
              </w:tc>
              <w:tc>
                <w:tcPr>
                  <w:tcW w:w="530" w:type="pct"/>
                  <w:tcBorders>
                    <w:tl2br w:val="nil"/>
                    <w:tr2bl w:val="nil"/>
                  </w:tcBorders>
                  <w:vAlign w:val="center"/>
                </w:tcPr>
                <w:p w14:paraId="6E9E0EFB">
                  <w:pPr>
                    <w:keepNext w:val="0"/>
                    <w:keepLines w:val="0"/>
                    <w:pageBreakBefore w:val="0"/>
                    <w:widowControl w:val="0"/>
                    <w:kinsoku/>
                    <w:wordWrap/>
                    <w:overflowPunct/>
                    <w:topLinePunct w:val="0"/>
                    <w:autoSpaceDE/>
                    <w:autoSpaceDN/>
                    <w:bidi w:val="0"/>
                    <w:spacing w:line="280" w:lineRule="exact"/>
                    <w:jc w:val="center"/>
                    <w:textAlignment w:val="auto"/>
                    <w:rPr>
                      <w:rFonts w:hint="eastAsia" w:eastAsia="宋体" w:cs="Times New Roman"/>
                      <w:color w:val="auto"/>
                      <w:szCs w:val="21"/>
                      <w:highlight w:val="none"/>
                      <w:lang w:eastAsia="zh-CN"/>
                    </w:rPr>
                  </w:pPr>
                  <w:r>
                    <w:rPr>
                      <w:rFonts w:hint="eastAsia" w:cs="Times New Roman"/>
                      <w:color w:val="auto"/>
                      <w:szCs w:val="21"/>
                      <w:highlight w:val="none"/>
                      <w:lang w:eastAsia="zh-CN"/>
                    </w:rPr>
                    <w:t>新建</w:t>
                  </w:r>
                </w:p>
              </w:tc>
            </w:tr>
            <w:tr w14:paraId="79A382D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58" w:hRule="atLeast"/>
                <w:jc w:val="center"/>
              </w:trPr>
              <w:tc>
                <w:tcPr>
                  <w:tcW w:w="546" w:type="pct"/>
                  <w:vMerge w:val="continue"/>
                  <w:tcBorders>
                    <w:tl2br w:val="nil"/>
                    <w:tr2bl w:val="nil"/>
                  </w:tcBorders>
                  <w:vAlign w:val="center"/>
                </w:tcPr>
                <w:p w14:paraId="2FB0F35E">
                  <w:pPr>
                    <w:keepNext w:val="0"/>
                    <w:keepLines w:val="0"/>
                    <w:pageBreakBefore w:val="0"/>
                    <w:widowControl w:val="0"/>
                    <w:kinsoku/>
                    <w:wordWrap/>
                    <w:overflowPunct/>
                    <w:topLinePunct w:val="0"/>
                    <w:autoSpaceDE/>
                    <w:autoSpaceDN/>
                    <w:bidi w:val="0"/>
                    <w:spacing w:line="280" w:lineRule="exact"/>
                    <w:jc w:val="center"/>
                    <w:textAlignment w:val="auto"/>
                    <w:rPr>
                      <w:rFonts w:cs="Times New Roman"/>
                      <w:color w:val="auto"/>
                      <w:szCs w:val="21"/>
                      <w:highlight w:val="none"/>
                    </w:rPr>
                  </w:pPr>
                </w:p>
              </w:tc>
              <w:tc>
                <w:tcPr>
                  <w:tcW w:w="494" w:type="pct"/>
                  <w:vMerge w:val="continue"/>
                  <w:tcBorders>
                    <w:tl2br w:val="nil"/>
                    <w:tr2bl w:val="nil"/>
                  </w:tcBorders>
                  <w:vAlign w:val="center"/>
                </w:tcPr>
                <w:p w14:paraId="124A9D3D">
                  <w:pPr>
                    <w:keepNext w:val="0"/>
                    <w:keepLines w:val="0"/>
                    <w:pageBreakBefore w:val="0"/>
                    <w:widowControl w:val="0"/>
                    <w:kinsoku/>
                    <w:wordWrap/>
                    <w:overflowPunct/>
                    <w:topLinePunct w:val="0"/>
                    <w:autoSpaceDE/>
                    <w:autoSpaceDN/>
                    <w:bidi w:val="0"/>
                    <w:spacing w:line="280" w:lineRule="exact"/>
                    <w:jc w:val="center"/>
                    <w:textAlignment w:val="auto"/>
                    <w:rPr>
                      <w:rFonts w:cs="Times New Roman"/>
                      <w:color w:val="auto"/>
                      <w:szCs w:val="21"/>
                      <w:highlight w:val="none"/>
                    </w:rPr>
                  </w:pPr>
                </w:p>
              </w:tc>
              <w:tc>
                <w:tcPr>
                  <w:tcW w:w="2659" w:type="pct"/>
                  <w:tcBorders>
                    <w:tl2br w:val="nil"/>
                    <w:tr2bl w:val="nil"/>
                  </w:tcBorders>
                  <w:vAlign w:val="center"/>
                </w:tcPr>
                <w:p w14:paraId="541CA21D">
                  <w:pPr>
                    <w:keepNext w:val="0"/>
                    <w:keepLines w:val="0"/>
                    <w:pageBreakBefore w:val="0"/>
                    <w:widowControl w:val="0"/>
                    <w:tabs>
                      <w:tab w:val="left" w:pos="993"/>
                      <w:tab w:val="left" w:pos="1134"/>
                    </w:tabs>
                    <w:kinsoku/>
                    <w:wordWrap/>
                    <w:overflowPunct/>
                    <w:topLinePunct w:val="0"/>
                    <w:autoSpaceDE/>
                    <w:autoSpaceDN/>
                    <w:bidi w:val="0"/>
                    <w:spacing w:line="280" w:lineRule="exact"/>
                    <w:jc w:val="left"/>
                    <w:textAlignment w:val="auto"/>
                    <w:rPr>
                      <w:rFonts w:cs="Times New Roman"/>
                      <w:color w:val="auto"/>
                      <w:szCs w:val="21"/>
                      <w:highlight w:val="none"/>
                    </w:rPr>
                  </w:pPr>
                  <w:r>
                    <w:rPr>
                      <w:rFonts w:hint="eastAsia" w:cs="Times New Roman"/>
                      <w:color w:val="auto"/>
                      <w:szCs w:val="21"/>
                      <w:highlight w:val="none"/>
                    </w:rPr>
                    <w:t>废</w:t>
                  </w:r>
                  <w:r>
                    <w:rPr>
                      <w:rFonts w:cs="Times New Roman"/>
                      <w:color w:val="auto"/>
                      <w:szCs w:val="21"/>
                      <w:highlight w:val="none"/>
                    </w:rPr>
                    <w:t>边角料：在</w:t>
                  </w:r>
                  <w:r>
                    <w:rPr>
                      <w:rFonts w:hint="eastAsia" w:cs="Times New Roman"/>
                      <w:color w:val="auto"/>
                      <w:szCs w:val="21"/>
                      <w:highlight w:val="none"/>
                      <w:lang w:eastAsia="zh-CN"/>
                    </w:rPr>
                    <w:t>成品堆场西北侧</w:t>
                  </w:r>
                  <w:r>
                    <w:rPr>
                      <w:rFonts w:cs="Times New Roman"/>
                      <w:color w:val="auto"/>
                      <w:szCs w:val="21"/>
                      <w:highlight w:val="none"/>
                    </w:rPr>
                    <w:t>设置1个</w:t>
                  </w:r>
                  <w:r>
                    <w:rPr>
                      <w:rFonts w:hint="eastAsia" w:cs="Times New Roman"/>
                      <w:color w:val="auto"/>
                      <w:szCs w:val="21"/>
                      <w:highlight w:val="none"/>
                      <w:lang w:eastAsia="zh-CN"/>
                    </w:rPr>
                    <w:t>固废堆放区</w:t>
                  </w:r>
                  <w:r>
                    <w:rPr>
                      <w:rFonts w:cs="Times New Roman"/>
                      <w:color w:val="auto"/>
                      <w:szCs w:val="21"/>
                      <w:highlight w:val="none"/>
                    </w:rPr>
                    <w:t>（</w:t>
                  </w:r>
                  <w:r>
                    <w:rPr>
                      <w:rFonts w:cs="Times New Roman"/>
                      <w:color w:val="auto"/>
                      <w:szCs w:val="21"/>
                      <w:highlight w:val="none"/>
                      <w:lang w:bidi="ar"/>
                    </w:rPr>
                    <w:t>面积</w:t>
                  </w:r>
                  <w:r>
                    <w:rPr>
                      <w:rFonts w:hint="eastAsia" w:cs="Times New Roman"/>
                      <w:color w:val="auto"/>
                      <w:szCs w:val="21"/>
                      <w:highlight w:val="none"/>
                      <w:lang w:bidi="ar"/>
                    </w:rPr>
                    <w:t>5</w:t>
                  </w:r>
                  <w:r>
                    <w:rPr>
                      <w:rFonts w:cs="Times New Roman"/>
                      <w:color w:val="auto"/>
                      <w:szCs w:val="21"/>
                      <w:highlight w:val="none"/>
                      <w:lang w:bidi="ar"/>
                    </w:rPr>
                    <w:t>0m</w:t>
                  </w:r>
                  <w:r>
                    <w:rPr>
                      <w:rFonts w:cs="Times New Roman"/>
                      <w:color w:val="auto"/>
                      <w:szCs w:val="21"/>
                      <w:highlight w:val="none"/>
                      <w:vertAlign w:val="superscript"/>
                      <w:lang w:bidi="ar"/>
                    </w:rPr>
                    <w:t>2</w:t>
                  </w:r>
                  <w:r>
                    <w:rPr>
                      <w:rFonts w:cs="Times New Roman"/>
                      <w:color w:val="auto"/>
                      <w:szCs w:val="21"/>
                      <w:highlight w:val="none"/>
                    </w:rPr>
                    <w:t>），用于暂存生产过程产生的石材</w:t>
                  </w:r>
                  <w:r>
                    <w:rPr>
                      <w:rFonts w:hint="eastAsia" w:cs="Times New Roman"/>
                      <w:color w:val="auto"/>
                      <w:szCs w:val="21"/>
                      <w:highlight w:val="none"/>
                    </w:rPr>
                    <w:t>废</w:t>
                  </w:r>
                  <w:r>
                    <w:rPr>
                      <w:rFonts w:cs="Times New Roman"/>
                      <w:color w:val="auto"/>
                      <w:szCs w:val="21"/>
                      <w:highlight w:val="none"/>
                    </w:rPr>
                    <w:t>边角料，定期外运砂厂制砂。</w:t>
                  </w:r>
                </w:p>
              </w:tc>
              <w:tc>
                <w:tcPr>
                  <w:tcW w:w="769" w:type="pct"/>
                  <w:tcBorders>
                    <w:tl2br w:val="nil"/>
                    <w:tr2bl w:val="nil"/>
                  </w:tcBorders>
                  <w:vAlign w:val="center"/>
                </w:tcPr>
                <w:p w14:paraId="3683627B">
                  <w:pPr>
                    <w:keepNext w:val="0"/>
                    <w:keepLines w:val="0"/>
                    <w:pageBreakBefore w:val="0"/>
                    <w:widowControl w:val="0"/>
                    <w:kinsoku/>
                    <w:wordWrap/>
                    <w:overflowPunct/>
                    <w:topLinePunct w:val="0"/>
                    <w:autoSpaceDE/>
                    <w:autoSpaceDN/>
                    <w:bidi w:val="0"/>
                    <w:spacing w:line="280" w:lineRule="exact"/>
                    <w:jc w:val="center"/>
                    <w:textAlignment w:val="auto"/>
                    <w:rPr>
                      <w:rFonts w:hint="default" w:eastAsia="宋体" w:cs="Times New Roman"/>
                      <w:color w:val="auto"/>
                      <w:szCs w:val="21"/>
                      <w:highlight w:val="none"/>
                      <w:lang w:val="en-US" w:eastAsia="zh-CN"/>
                    </w:rPr>
                  </w:pPr>
                  <w:r>
                    <w:rPr>
                      <w:rFonts w:hint="eastAsia" w:cs="Times New Roman"/>
                      <w:color w:val="auto"/>
                      <w:szCs w:val="21"/>
                      <w:highlight w:val="none"/>
                      <w:lang w:val="en-US" w:eastAsia="zh-CN"/>
                    </w:rPr>
                    <w:t>0.5</w:t>
                  </w:r>
                </w:p>
              </w:tc>
              <w:tc>
                <w:tcPr>
                  <w:tcW w:w="530" w:type="pct"/>
                  <w:tcBorders>
                    <w:tl2br w:val="nil"/>
                    <w:tr2bl w:val="nil"/>
                  </w:tcBorders>
                  <w:vAlign w:val="center"/>
                </w:tcPr>
                <w:p w14:paraId="3AC387D6">
                  <w:pPr>
                    <w:keepNext w:val="0"/>
                    <w:keepLines w:val="0"/>
                    <w:pageBreakBefore w:val="0"/>
                    <w:widowControl w:val="0"/>
                    <w:kinsoku/>
                    <w:wordWrap/>
                    <w:overflowPunct/>
                    <w:topLinePunct w:val="0"/>
                    <w:autoSpaceDE/>
                    <w:autoSpaceDN/>
                    <w:bidi w:val="0"/>
                    <w:spacing w:line="280" w:lineRule="exact"/>
                    <w:jc w:val="center"/>
                    <w:textAlignment w:val="auto"/>
                    <w:rPr>
                      <w:rFonts w:hint="eastAsia" w:eastAsia="宋体" w:cs="Times New Roman"/>
                      <w:color w:val="auto"/>
                      <w:szCs w:val="21"/>
                      <w:highlight w:val="none"/>
                      <w:lang w:eastAsia="zh-CN"/>
                    </w:rPr>
                  </w:pPr>
                  <w:r>
                    <w:rPr>
                      <w:rFonts w:hint="eastAsia" w:cs="Times New Roman"/>
                      <w:color w:val="auto"/>
                      <w:szCs w:val="21"/>
                      <w:highlight w:val="none"/>
                      <w:lang w:eastAsia="zh-CN"/>
                    </w:rPr>
                    <w:t>新建</w:t>
                  </w:r>
                </w:p>
              </w:tc>
            </w:tr>
            <w:tr w14:paraId="07D3F6B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58" w:hRule="atLeast"/>
                <w:jc w:val="center"/>
              </w:trPr>
              <w:tc>
                <w:tcPr>
                  <w:tcW w:w="546" w:type="pct"/>
                  <w:vMerge w:val="continue"/>
                  <w:tcBorders>
                    <w:tl2br w:val="nil"/>
                    <w:tr2bl w:val="nil"/>
                  </w:tcBorders>
                  <w:vAlign w:val="center"/>
                </w:tcPr>
                <w:p w14:paraId="2C7E0D9A">
                  <w:pPr>
                    <w:keepNext w:val="0"/>
                    <w:keepLines w:val="0"/>
                    <w:pageBreakBefore w:val="0"/>
                    <w:widowControl w:val="0"/>
                    <w:kinsoku/>
                    <w:wordWrap/>
                    <w:overflowPunct/>
                    <w:topLinePunct w:val="0"/>
                    <w:autoSpaceDE/>
                    <w:autoSpaceDN/>
                    <w:bidi w:val="0"/>
                    <w:spacing w:line="280" w:lineRule="exact"/>
                    <w:jc w:val="center"/>
                    <w:textAlignment w:val="auto"/>
                    <w:rPr>
                      <w:rFonts w:cs="Times New Roman"/>
                      <w:color w:val="auto"/>
                      <w:szCs w:val="21"/>
                      <w:highlight w:val="none"/>
                    </w:rPr>
                  </w:pPr>
                </w:p>
              </w:tc>
              <w:tc>
                <w:tcPr>
                  <w:tcW w:w="494" w:type="pct"/>
                  <w:vMerge w:val="continue"/>
                  <w:tcBorders>
                    <w:tl2br w:val="nil"/>
                    <w:tr2bl w:val="nil"/>
                  </w:tcBorders>
                  <w:vAlign w:val="center"/>
                </w:tcPr>
                <w:p w14:paraId="47871186">
                  <w:pPr>
                    <w:keepNext w:val="0"/>
                    <w:keepLines w:val="0"/>
                    <w:pageBreakBefore w:val="0"/>
                    <w:widowControl w:val="0"/>
                    <w:kinsoku/>
                    <w:wordWrap/>
                    <w:overflowPunct/>
                    <w:topLinePunct w:val="0"/>
                    <w:autoSpaceDE/>
                    <w:autoSpaceDN/>
                    <w:bidi w:val="0"/>
                    <w:spacing w:line="280" w:lineRule="exact"/>
                    <w:jc w:val="center"/>
                    <w:textAlignment w:val="auto"/>
                    <w:rPr>
                      <w:rFonts w:cs="Times New Roman"/>
                      <w:color w:val="auto"/>
                      <w:szCs w:val="21"/>
                      <w:highlight w:val="none"/>
                    </w:rPr>
                  </w:pPr>
                </w:p>
              </w:tc>
              <w:tc>
                <w:tcPr>
                  <w:tcW w:w="2659" w:type="pct"/>
                  <w:tcBorders>
                    <w:tl2br w:val="nil"/>
                    <w:tr2bl w:val="nil"/>
                  </w:tcBorders>
                  <w:vAlign w:val="center"/>
                </w:tcPr>
                <w:p w14:paraId="3995C487">
                  <w:pPr>
                    <w:keepNext w:val="0"/>
                    <w:keepLines w:val="0"/>
                    <w:pageBreakBefore w:val="0"/>
                    <w:widowControl w:val="0"/>
                    <w:tabs>
                      <w:tab w:val="left" w:pos="993"/>
                      <w:tab w:val="left" w:pos="1134"/>
                    </w:tabs>
                    <w:kinsoku/>
                    <w:wordWrap/>
                    <w:overflowPunct/>
                    <w:topLinePunct w:val="0"/>
                    <w:autoSpaceDE/>
                    <w:autoSpaceDN/>
                    <w:bidi w:val="0"/>
                    <w:spacing w:line="280" w:lineRule="exact"/>
                    <w:jc w:val="left"/>
                    <w:textAlignment w:val="auto"/>
                    <w:rPr>
                      <w:rFonts w:cs="Times New Roman"/>
                      <w:color w:val="auto"/>
                      <w:szCs w:val="21"/>
                      <w:highlight w:val="none"/>
                    </w:rPr>
                  </w:pPr>
                  <w:r>
                    <w:rPr>
                      <w:rFonts w:cs="Times New Roman"/>
                      <w:color w:val="auto"/>
                      <w:szCs w:val="21"/>
                      <w:highlight w:val="none"/>
                    </w:rPr>
                    <w:t>粗砂：在</w:t>
                  </w:r>
                  <w:r>
                    <w:rPr>
                      <w:rFonts w:hint="eastAsia" w:cs="Times New Roman"/>
                      <w:color w:val="auto"/>
                      <w:szCs w:val="21"/>
                      <w:highlight w:val="none"/>
                      <w:lang w:eastAsia="zh-CN"/>
                    </w:rPr>
                    <w:t>生产车间外</w:t>
                  </w:r>
                  <w:r>
                    <w:rPr>
                      <w:rFonts w:cs="Times New Roman"/>
                      <w:color w:val="auto"/>
                      <w:szCs w:val="21"/>
                      <w:highlight w:val="none"/>
                    </w:rPr>
                    <w:t>设置1个沉砂池（容积</w:t>
                  </w:r>
                  <w:r>
                    <w:rPr>
                      <w:rFonts w:hint="eastAsia" w:cs="Times New Roman"/>
                      <w:color w:val="auto"/>
                      <w:szCs w:val="21"/>
                      <w:highlight w:val="none"/>
                      <w:lang w:val="en-US" w:eastAsia="zh-CN"/>
                    </w:rPr>
                    <w:t>1</w:t>
                  </w:r>
                  <w:r>
                    <w:rPr>
                      <w:rFonts w:cs="Times New Roman"/>
                      <w:color w:val="auto"/>
                      <w:szCs w:val="21"/>
                      <w:highlight w:val="none"/>
                    </w:rPr>
                    <w:t>0m</w:t>
                  </w:r>
                  <w:r>
                    <w:rPr>
                      <w:rFonts w:cs="Times New Roman"/>
                      <w:color w:val="auto"/>
                      <w:szCs w:val="21"/>
                      <w:highlight w:val="none"/>
                      <w:vertAlign w:val="superscript"/>
                    </w:rPr>
                    <w:t>3</w:t>
                  </w:r>
                  <w:r>
                    <w:rPr>
                      <w:rFonts w:cs="Times New Roman"/>
                      <w:color w:val="auto"/>
                      <w:szCs w:val="21"/>
                      <w:highlight w:val="none"/>
                    </w:rPr>
                    <w:t>）、1台螺旋绞砂机，将生产废水中粗砂用螺旋绞砂机筛选出后外售</w:t>
                  </w:r>
                </w:p>
              </w:tc>
              <w:tc>
                <w:tcPr>
                  <w:tcW w:w="769" w:type="pct"/>
                  <w:tcBorders>
                    <w:tl2br w:val="nil"/>
                    <w:tr2bl w:val="nil"/>
                  </w:tcBorders>
                  <w:vAlign w:val="center"/>
                </w:tcPr>
                <w:p w14:paraId="2AAFFB77">
                  <w:pPr>
                    <w:keepNext w:val="0"/>
                    <w:keepLines w:val="0"/>
                    <w:pageBreakBefore w:val="0"/>
                    <w:widowControl w:val="0"/>
                    <w:kinsoku/>
                    <w:wordWrap/>
                    <w:overflowPunct/>
                    <w:topLinePunct w:val="0"/>
                    <w:autoSpaceDE/>
                    <w:autoSpaceDN/>
                    <w:bidi w:val="0"/>
                    <w:spacing w:line="280" w:lineRule="exact"/>
                    <w:jc w:val="center"/>
                    <w:textAlignment w:val="auto"/>
                    <w:rPr>
                      <w:rFonts w:cs="Times New Roman"/>
                      <w:color w:val="auto"/>
                      <w:szCs w:val="21"/>
                      <w:highlight w:val="none"/>
                    </w:rPr>
                  </w:pPr>
                  <w:r>
                    <w:rPr>
                      <w:rFonts w:hint="eastAsia" w:cs="Times New Roman"/>
                      <w:color w:val="auto"/>
                      <w:szCs w:val="21"/>
                      <w:highlight w:val="none"/>
                      <w:lang w:val="en-US" w:eastAsia="zh-CN"/>
                    </w:rPr>
                    <w:t>2</w:t>
                  </w:r>
                  <w:r>
                    <w:rPr>
                      <w:rFonts w:cs="Times New Roman"/>
                      <w:color w:val="auto"/>
                      <w:szCs w:val="21"/>
                      <w:highlight w:val="none"/>
                    </w:rPr>
                    <w:t>.0</w:t>
                  </w:r>
                </w:p>
              </w:tc>
              <w:tc>
                <w:tcPr>
                  <w:tcW w:w="530" w:type="pct"/>
                  <w:tcBorders>
                    <w:tl2br w:val="nil"/>
                    <w:tr2bl w:val="nil"/>
                  </w:tcBorders>
                  <w:vAlign w:val="center"/>
                </w:tcPr>
                <w:p w14:paraId="274DA1C0">
                  <w:pPr>
                    <w:keepNext w:val="0"/>
                    <w:keepLines w:val="0"/>
                    <w:pageBreakBefore w:val="0"/>
                    <w:widowControl w:val="0"/>
                    <w:kinsoku/>
                    <w:wordWrap/>
                    <w:overflowPunct/>
                    <w:topLinePunct w:val="0"/>
                    <w:autoSpaceDE/>
                    <w:autoSpaceDN/>
                    <w:bidi w:val="0"/>
                    <w:spacing w:line="280" w:lineRule="exact"/>
                    <w:jc w:val="center"/>
                    <w:textAlignment w:val="auto"/>
                    <w:rPr>
                      <w:rFonts w:hint="eastAsia" w:eastAsia="宋体" w:cs="Times New Roman"/>
                      <w:color w:val="auto"/>
                      <w:szCs w:val="21"/>
                      <w:highlight w:val="none"/>
                      <w:lang w:eastAsia="zh-CN"/>
                    </w:rPr>
                  </w:pPr>
                  <w:r>
                    <w:rPr>
                      <w:rFonts w:hint="eastAsia" w:cs="Times New Roman"/>
                      <w:color w:val="auto"/>
                      <w:szCs w:val="21"/>
                      <w:highlight w:val="none"/>
                      <w:lang w:eastAsia="zh-CN"/>
                    </w:rPr>
                    <w:t>新建</w:t>
                  </w:r>
                </w:p>
              </w:tc>
            </w:tr>
            <w:tr w14:paraId="195758C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58" w:hRule="atLeast"/>
                <w:jc w:val="center"/>
              </w:trPr>
              <w:tc>
                <w:tcPr>
                  <w:tcW w:w="546" w:type="pct"/>
                  <w:vMerge w:val="continue"/>
                  <w:tcBorders>
                    <w:tl2br w:val="nil"/>
                    <w:tr2bl w:val="nil"/>
                  </w:tcBorders>
                  <w:vAlign w:val="center"/>
                </w:tcPr>
                <w:p w14:paraId="25C755F1">
                  <w:pPr>
                    <w:keepNext w:val="0"/>
                    <w:keepLines w:val="0"/>
                    <w:pageBreakBefore w:val="0"/>
                    <w:widowControl w:val="0"/>
                    <w:kinsoku/>
                    <w:wordWrap/>
                    <w:overflowPunct/>
                    <w:topLinePunct w:val="0"/>
                    <w:autoSpaceDE/>
                    <w:autoSpaceDN/>
                    <w:bidi w:val="0"/>
                    <w:spacing w:line="280" w:lineRule="exact"/>
                    <w:jc w:val="center"/>
                    <w:textAlignment w:val="auto"/>
                    <w:rPr>
                      <w:rFonts w:cs="Times New Roman"/>
                      <w:color w:val="auto"/>
                      <w:szCs w:val="21"/>
                      <w:highlight w:val="none"/>
                    </w:rPr>
                  </w:pPr>
                </w:p>
              </w:tc>
              <w:tc>
                <w:tcPr>
                  <w:tcW w:w="494" w:type="pct"/>
                  <w:vMerge w:val="continue"/>
                  <w:tcBorders>
                    <w:tl2br w:val="nil"/>
                    <w:tr2bl w:val="nil"/>
                  </w:tcBorders>
                  <w:vAlign w:val="center"/>
                </w:tcPr>
                <w:p w14:paraId="5E226073">
                  <w:pPr>
                    <w:keepNext w:val="0"/>
                    <w:keepLines w:val="0"/>
                    <w:pageBreakBefore w:val="0"/>
                    <w:widowControl w:val="0"/>
                    <w:kinsoku/>
                    <w:wordWrap/>
                    <w:overflowPunct/>
                    <w:topLinePunct w:val="0"/>
                    <w:autoSpaceDE/>
                    <w:autoSpaceDN/>
                    <w:bidi w:val="0"/>
                    <w:spacing w:line="280" w:lineRule="exact"/>
                    <w:jc w:val="center"/>
                    <w:textAlignment w:val="auto"/>
                    <w:rPr>
                      <w:rFonts w:cs="Times New Roman"/>
                      <w:color w:val="auto"/>
                      <w:szCs w:val="21"/>
                      <w:highlight w:val="none"/>
                    </w:rPr>
                  </w:pPr>
                </w:p>
              </w:tc>
              <w:tc>
                <w:tcPr>
                  <w:tcW w:w="2659" w:type="pct"/>
                  <w:tcBorders>
                    <w:tl2br w:val="nil"/>
                    <w:tr2bl w:val="nil"/>
                  </w:tcBorders>
                  <w:vAlign w:val="center"/>
                </w:tcPr>
                <w:p w14:paraId="0115D7D9">
                  <w:pPr>
                    <w:keepNext w:val="0"/>
                    <w:keepLines w:val="0"/>
                    <w:pageBreakBefore w:val="0"/>
                    <w:widowControl w:val="0"/>
                    <w:kinsoku/>
                    <w:wordWrap/>
                    <w:overflowPunct/>
                    <w:topLinePunct w:val="0"/>
                    <w:autoSpaceDE/>
                    <w:autoSpaceDN/>
                    <w:bidi w:val="0"/>
                    <w:spacing w:line="280" w:lineRule="exact"/>
                    <w:jc w:val="left"/>
                    <w:textAlignment w:val="auto"/>
                    <w:rPr>
                      <w:rFonts w:cs="Times New Roman"/>
                      <w:color w:val="auto"/>
                      <w:szCs w:val="21"/>
                      <w:highlight w:val="none"/>
                    </w:rPr>
                  </w:pPr>
                  <w:r>
                    <w:rPr>
                      <w:rFonts w:cs="Times New Roman"/>
                      <w:color w:val="auto"/>
                      <w:szCs w:val="21"/>
                      <w:highlight w:val="none"/>
                    </w:rPr>
                    <w:t>危废暂存间：</w:t>
                  </w:r>
                  <w:r>
                    <w:rPr>
                      <w:rFonts w:cs="Times New Roman"/>
                      <w:color w:val="auto"/>
                      <w:szCs w:val="21"/>
                      <w:highlight w:val="none"/>
                      <w:lang w:bidi="ar"/>
                    </w:rPr>
                    <w:t>设置1间建筑面积5m</w:t>
                  </w:r>
                  <w:r>
                    <w:rPr>
                      <w:rFonts w:cs="Times New Roman"/>
                      <w:color w:val="auto"/>
                      <w:szCs w:val="21"/>
                      <w:highlight w:val="none"/>
                      <w:vertAlign w:val="superscript"/>
                      <w:lang w:bidi="ar"/>
                    </w:rPr>
                    <w:t>2</w:t>
                  </w:r>
                  <w:r>
                    <w:rPr>
                      <w:rFonts w:cs="Times New Roman"/>
                      <w:color w:val="auto"/>
                      <w:szCs w:val="21"/>
                      <w:highlight w:val="none"/>
                      <w:lang w:bidi="ar"/>
                    </w:rPr>
                    <w:t>的危废暂存间，用于危险废物暂存。产生的废机油交由有资质的单位进行处理。</w:t>
                  </w:r>
                </w:p>
              </w:tc>
              <w:tc>
                <w:tcPr>
                  <w:tcW w:w="769" w:type="pct"/>
                  <w:tcBorders>
                    <w:tl2br w:val="nil"/>
                    <w:tr2bl w:val="nil"/>
                  </w:tcBorders>
                  <w:vAlign w:val="center"/>
                </w:tcPr>
                <w:p w14:paraId="0BEE62F3">
                  <w:pPr>
                    <w:keepNext w:val="0"/>
                    <w:keepLines w:val="0"/>
                    <w:pageBreakBefore w:val="0"/>
                    <w:widowControl w:val="0"/>
                    <w:kinsoku/>
                    <w:wordWrap/>
                    <w:overflowPunct/>
                    <w:topLinePunct w:val="0"/>
                    <w:autoSpaceDE/>
                    <w:autoSpaceDN/>
                    <w:bidi w:val="0"/>
                    <w:spacing w:line="280" w:lineRule="exact"/>
                    <w:jc w:val="center"/>
                    <w:textAlignment w:val="auto"/>
                    <w:rPr>
                      <w:rFonts w:cs="Times New Roman"/>
                      <w:color w:val="auto"/>
                      <w:szCs w:val="21"/>
                      <w:highlight w:val="none"/>
                    </w:rPr>
                  </w:pPr>
                  <w:r>
                    <w:rPr>
                      <w:rFonts w:hint="eastAsia" w:cs="Times New Roman"/>
                      <w:color w:val="auto"/>
                      <w:szCs w:val="21"/>
                      <w:highlight w:val="none"/>
                      <w:lang w:val="en-US" w:eastAsia="zh-CN"/>
                    </w:rPr>
                    <w:t>2</w:t>
                  </w:r>
                  <w:r>
                    <w:rPr>
                      <w:rFonts w:cs="Times New Roman"/>
                      <w:color w:val="auto"/>
                      <w:szCs w:val="21"/>
                      <w:highlight w:val="none"/>
                    </w:rPr>
                    <w:t>.0</w:t>
                  </w:r>
                </w:p>
              </w:tc>
              <w:tc>
                <w:tcPr>
                  <w:tcW w:w="530" w:type="pct"/>
                  <w:tcBorders>
                    <w:tl2br w:val="nil"/>
                    <w:tr2bl w:val="nil"/>
                  </w:tcBorders>
                  <w:vAlign w:val="center"/>
                </w:tcPr>
                <w:p w14:paraId="55C04380">
                  <w:pPr>
                    <w:keepNext w:val="0"/>
                    <w:keepLines w:val="0"/>
                    <w:pageBreakBefore w:val="0"/>
                    <w:widowControl w:val="0"/>
                    <w:kinsoku/>
                    <w:wordWrap/>
                    <w:overflowPunct/>
                    <w:topLinePunct w:val="0"/>
                    <w:autoSpaceDE/>
                    <w:autoSpaceDN/>
                    <w:bidi w:val="0"/>
                    <w:spacing w:line="280" w:lineRule="exact"/>
                    <w:jc w:val="center"/>
                    <w:textAlignment w:val="auto"/>
                    <w:rPr>
                      <w:rFonts w:cs="Times New Roman"/>
                      <w:color w:val="auto"/>
                      <w:szCs w:val="21"/>
                      <w:highlight w:val="none"/>
                    </w:rPr>
                  </w:pPr>
                  <w:r>
                    <w:rPr>
                      <w:rFonts w:cs="Times New Roman"/>
                      <w:color w:val="auto"/>
                      <w:szCs w:val="21"/>
                      <w:highlight w:val="none"/>
                    </w:rPr>
                    <w:t>新</w:t>
                  </w:r>
                  <w:r>
                    <w:rPr>
                      <w:rFonts w:hint="eastAsia" w:cs="Times New Roman"/>
                      <w:color w:val="auto"/>
                      <w:szCs w:val="21"/>
                      <w:highlight w:val="none"/>
                      <w:lang w:eastAsia="zh-CN"/>
                    </w:rPr>
                    <w:t>建</w:t>
                  </w:r>
                </w:p>
              </w:tc>
            </w:tr>
            <w:tr w14:paraId="14AB012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58" w:hRule="atLeast"/>
                <w:jc w:val="center"/>
              </w:trPr>
              <w:tc>
                <w:tcPr>
                  <w:tcW w:w="546" w:type="pct"/>
                  <w:tcBorders>
                    <w:tl2br w:val="nil"/>
                    <w:tr2bl w:val="nil"/>
                  </w:tcBorders>
                  <w:vAlign w:val="center"/>
                </w:tcPr>
                <w:p w14:paraId="6CBF23A6">
                  <w:pPr>
                    <w:keepNext w:val="0"/>
                    <w:keepLines w:val="0"/>
                    <w:pageBreakBefore w:val="0"/>
                    <w:widowControl w:val="0"/>
                    <w:kinsoku/>
                    <w:wordWrap/>
                    <w:overflowPunct/>
                    <w:topLinePunct w:val="0"/>
                    <w:autoSpaceDE/>
                    <w:autoSpaceDN/>
                    <w:bidi w:val="0"/>
                    <w:spacing w:line="280" w:lineRule="exact"/>
                    <w:jc w:val="center"/>
                    <w:textAlignment w:val="auto"/>
                    <w:rPr>
                      <w:rFonts w:cs="Times New Roman"/>
                      <w:color w:val="auto"/>
                      <w:szCs w:val="21"/>
                      <w:highlight w:val="none"/>
                    </w:rPr>
                  </w:pPr>
                  <w:r>
                    <w:rPr>
                      <w:rFonts w:cs="Times New Roman"/>
                      <w:color w:val="auto"/>
                      <w:szCs w:val="21"/>
                      <w:highlight w:val="none"/>
                    </w:rPr>
                    <w:t>地下水</w:t>
                  </w:r>
                </w:p>
              </w:tc>
              <w:tc>
                <w:tcPr>
                  <w:tcW w:w="3154" w:type="pct"/>
                  <w:gridSpan w:val="2"/>
                  <w:tcBorders>
                    <w:tl2br w:val="nil"/>
                    <w:tr2bl w:val="nil"/>
                  </w:tcBorders>
                  <w:vAlign w:val="center"/>
                </w:tcPr>
                <w:p w14:paraId="706095EF">
                  <w:pPr>
                    <w:keepNext w:val="0"/>
                    <w:keepLines w:val="0"/>
                    <w:pageBreakBefore w:val="0"/>
                    <w:widowControl w:val="0"/>
                    <w:kinsoku/>
                    <w:wordWrap/>
                    <w:overflowPunct/>
                    <w:topLinePunct w:val="0"/>
                    <w:autoSpaceDE/>
                    <w:autoSpaceDN/>
                    <w:bidi w:val="0"/>
                    <w:spacing w:line="280" w:lineRule="exact"/>
                    <w:jc w:val="left"/>
                    <w:textAlignment w:val="auto"/>
                    <w:rPr>
                      <w:rFonts w:cs="Times New Roman"/>
                      <w:color w:val="auto"/>
                      <w:szCs w:val="21"/>
                      <w:highlight w:val="none"/>
                    </w:rPr>
                  </w:pPr>
                  <w:r>
                    <w:rPr>
                      <w:rFonts w:cs="Times New Roman"/>
                      <w:color w:val="auto"/>
                      <w:szCs w:val="21"/>
                      <w:highlight w:val="none"/>
                    </w:rPr>
                    <w:t>分区防渗措施：重点防渗区采用C30防渗混凝土+黏土防渗层，一般防渗区采用C30防渗混凝土+黏土防渗层，简单防渗区采取水泥地面硬化</w:t>
                  </w:r>
                </w:p>
              </w:tc>
              <w:tc>
                <w:tcPr>
                  <w:tcW w:w="769" w:type="pct"/>
                  <w:tcBorders>
                    <w:tl2br w:val="nil"/>
                    <w:tr2bl w:val="nil"/>
                  </w:tcBorders>
                  <w:vAlign w:val="center"/>
                </w:tcPr>
                <w:p w14:paraId="4DF41F6F">
                  <w:pPr>
                    <w:keepNext w:val="0"/>
                    <w:keepLines w:val="0"/>
                    <w:pageBreakBefore w:val="0"/>
                    <w:widowControl w:val="0"/>
                    <w:kinsoku/>
                    <w:wordWrap/>
                    <w:overflowPunct/>
                    <w:topLinePunct w:val="0"/>
                    <w:autoSpaceDE/>
                    <w:autoSpaceDN/>
                    <w:bidi w:val="0"/>
                    <w:spacing w:line="280" w:lineRule="exact"/>
                    <w:jc w:val="center"/>
                    <w:textAlignment w:val="auto"/>
                    <w:rPr>
                      <w:rFonts w:cs="Times New Roman"/>
                      <w:color w:val="auto"/>
                      <w:szCs w:val="21"/>
                      <w:highlight w:val="none"/>
                    </w:rPr>
                  </w:pPr>
                  <w:r>
                    <w:rPr>
                      <w:rFonts w:cs="Times New Roman"/>
                      <w:color w:val="auto"/>
                      <w:szCs w:val="21"/>
                      <w:highlight w:val="none"/>
                    </w:rPr>
                    <w:t>3.0</w:t>
                  </w:r>
                </w:p>
              </w:tc>
              <w:tc>
                <w:tcPr>
                  <w:tcW w:w="530" w:type="pct"/>
                  <w:tcBorders>
                    <w:tl2br w:val="nil"/>
                    <w:tr2bl w:val="nil"/>
                  </w:tcBorders>
                  <w:vAlign w:val="center"/>
                </w:tcPr>
                <w:p w14:paraId="662BCEA5">
                  <w:pPr>
                    <w:keepNext w:val="0"/>
                    <w:keepLines w:val="0"/>
                    <w:pageBreakBefore w:val="0"/>
                    <w:widowControl w:val="0"/>
                    <w:kinsoku/>
                    <w:wordWrap/>
                    <w:overflowPunct/>
                    <w:topLinePunct w:val="0"/>
                    <w:autoSpaceDE/>
                    <w:autoSpaceDN/>
                    <w:bidi w:val="0"/>
                    <w:spacing w:line="280" w:lineRule="exact"/>
                    <w:jc w:val="center"/>
                    <w:textAlignment w:val="auto"/>
                    <w:rPr>
                      <w:rFonts w:cs="Times New Roman"/>
                      <w:color w:val="auto"/>
                      <w:szCs w:val="21"/>
                      <w:highlight w:val="none"/>
                    </w:rPr>
                  </w:pPr>
                  <w:r>
                    <w:rPr>
                      <w:rFonts w:hint="eastAsia" w:cs="Times New Roman"/>
                      <w:color w:val="auto"/>
                      <w:szCs w:val="21"/>
                      <w:highlight w:val="none"/>
                      <w:lang w:eastAsia="zh-CN"/>
                    </w:rPr>
                    <w:t>新建</w:t>
                  </w:r>
                </w:p>
              </w:tc>
            </w:tr>
            <w:tr w14:paraId="0B932BD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45" w:hRule="atLeast"/>
                <w:jc w:val="center"/>
              </w:trPr>
              <w:tc>
                <w:tcPr>
                  <w:tcW w:w="546" w:type="pct"/>
                  <w:tcBorders>
                    <w:tl2br w:val="nil"/>
                    <w:tr2bl w:val="nil"/>
                  </w:tcBorders>
                  <w:vAlign w:val="center"/>
                </w:tcPr>
                <w:p w14:paraId="103D8877">
                  <w:pPr>
                    <w:pStyle w:val="49"/>
                    <w:keepNext w:val="0"/>
                    <w:keepLines w:val="0"/>
                    <w:pageBreakBefore w:val="0"/>
                    <w:widowControl w:val="0"/>
                    <w:kinsoku/>
                    <w:wordWrap/>
                    <w:overflowPunct/>
                    <w:topLinePunct w:val="0"/>
                    <w:autoSpaceDE/>
                    <w:autoSpaceDN/>
                    <w:bidi w:val="0"/>
                    <w:spacing w:line="280" w:lineRule="exact"/>
                    <w:textAlignment w:val="auto"/>
                    <w:rPr>
                      <w:rFonts w:eastAsia="宋体"/>
                      <w:color w:val="auto"/>
                      <w:sz w:val="21"/>
                      <w:highlight w:val="none"/>
                    </w:rPr>
                  </w:pPr>
                  <w:r>
                    <w:rPr>
                      <w:rFonts w:eastAsia="宋体"/>
                      <w:color w:val="auto"/>
                      <w:sz w:val="21"/>
                      <w:highlight w:val="none"/>
                    </w:rPr>
                    <w:t>环境监测</w:t>
                  </w:r>
                </w:p>
              </w:tc>
              <w:tc>
                <w:tcPr>
                  <w:tcW w:w="3154" w:type="pct"/>
                  <w:gridSpan w:val="2"/>
                  <w:tcBorders>
                    <w:tl2br w:val="nil"/>
                    <w:tr2bl w:val="nil"/>
                  </w:tcBorders>
                  <w:vAlign w:val="center"/>
                </w:tcPr>
                <w:p w14:paraId="0819425C">
                  <w:pPr>
                    <w:keepNext w:val="0"/>
                    <w:keepLines w:val="0"/>
                    <w:pageBreakBefore w:val="0"/>
                    <w:widowControl w:val="0"/>
                    <w:kinsoku/>
                    <w:wordWrap/>
                    <w:overflowPunct/>
                    <w:topLinePunct w:val="0"/>
                    <w:autoSpaceDE/>
                    <w:autoSpaceDN/>
                    <w:bidi w:val="0"/>
                    <w:spacing w:line="280" w:lineRule="exact"/>
                    <w:jc w:val="center"/>
                    <w:textAlignment w:val="auto"/>
                    <w:rPr>
                      <w:rFonts w:cs="Times New Roman"/>
                      <w:color w:val="auto"/>
                      <w:szCs w:val="21"/>
                      <w:highlight w:val="none"/>
                    </w:rPr>
                  </w:pPr>
                  <w:r>
                    <w:rPr>
                      <w:rFonts w:cs="Times New Roman"/>
                      <w:color w:val="auto"/>
                      <w:szCs w:val="21"/>
                      <w:highlight w:val="none"/>
                    </w:rPr>
                    <w:t>制定自行监测方案，定期开展污染源监测</w:t>
                  </w:r>
                </w:p>
              </w:tc>
              <w:tc>
                <w:tcPr>
                  <w:tcW w:w="769" w:type="pct"/>
                  <w:tcBorders>
                    <w:tl2br w:val="nil"/>
                    <w:tr2bl w:val="nil"/>
                  </w:tcBorders>
                  <w:vAlign w:val="center"/>
                </w:tcPr>
                <w:p w14:paraId="308DCA74">
                  <w:pPr>
                    <w:keepNext w:val="0"/>
                    <w:keepLines w:val="0"/>
                    <w:pageBreakBefore w:val="0"/>
                    <w:widowControl w:val="0"/>
                    <w:kinsoku/>
                    <w:wordWrap/>
                    <w:overflowPunct/>
                    <w:topLinePunct w:val="0"/>
                    <w:autoSpaceDE/>
                    <w:autoSpaceDN/>
                    <w:bidi w:val="0"/>
                    <w:spacing w:line="280" w:lineRule="exact"/>
                    <w:jc w:val="center"/>
                    <w:textAlignment w:val="auto"/>
                    <w:rPr>
                      <w:rFonts w:cs="Times New Roman"/>
                      <w:color w:val="auto"/>
                      <w:szCs w:val="21"/>
                      <w:highlight w:val="none"/>
                    </w:rPr>
                  </w:pPr>
                  <w:r>
                    <w:rPr>
                      <w:rFonts w:hint="eastAsia" w:cs="Times New Roman"/>
                      <w:color w:val="auto"/>
                      <w:szCs w:val="21"/>
                      <w:highlight w:val="none"/>
                    </w:rPr>
                    <w:t>1.5</w:t>
                  </w:r>
                </w:p>
              </w:tc>
              <w:tc>
                <w:tcPr>
                  <w:tcW w:w="530" w:type="pct"/>
                  <w:tcBorders>
                    <w:tl2br w:val="nil"/>
                    <w:tr2bl w:val="nil"/>
                  </w:tcBorders>
                  <w:vAlign w:val="center"/>
                </w:tcPr>
                <w:p w14:paraId="5865EFBB">
                  <w:pPr>
                    <w:keepNext w:val="0"/>
                    <w:keepLines w:val="0"/>
                    <w:pageBreakBefore w:val="0"/>
                    <w:widowControl w:val="0"/>
                    <w:kinsoku/>
                    <w:wordWrap/>
                    <w:overflowPunct/>
                    <w:topLinePunct w:val="0"/>
                    <w:autoSpaceDE/>
                    <w:autoSpaceDN/>
                    <w:bidi w:val="0"/>
                    <w:spacing w:line="280" w:lineRule="exact"/>
                    <w:jc w:val="center"/>
                    <w:textAlignment w:val="auto"/>
                    <w:rPr>
                      <w:rFonts w:hint="eastAsia" w:eastAsia="宋体" w:cs="Times New Roman"/>
                      <w:color w:val="auto"/>
                      <w:szCs w:val="21"/>
                      <w:highlight w:val="none"/>
                      <w:lang w:eastAsia="zh-CN"/>
                    </w:rPr>
                  </w:pPr>
                  <w:r>
                    <w:rPr>
                      <w:rFonts w:cs="Times New Roman"/>
                      <w:color w:val="auto"/>
                      <w:szCs w:val="21"/>
                      <w:highlight w:val="none"/>
                    </w:rPr>
                    <w:t>新</w:t>
                  </w:r>
                  <w:r>
                    <w:rPr>
                      <w:rFonts w:hint="eastAsia" w:cs="Times New Roman"/>
                      <w:color w:val="auto"/>
                      <w:szCs w:val="21"/>
                      <w:highlight w:val="none"/>
                      <w:lang w:eastAsia="zh-CN"/>
                    </w:rPr>
                    <w:t>建</w:t>
                  </w:r>
                </w:p>
              </w:tc>
            </w:tr>
            <w:tr w14:paraId="2D67009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46" w:type="pct"/>
                  <w:tcBorders>
                    <w:tl2br w:val="nil"/>
                    <w:tr2bl w:val="nil"/>
                  </w:tcBorders>
                  <w:vAlign w:val="center"/>
                </w:tcPr>
                <w:p w14:paraId="3208E2C0">
                  <w:pPr>
                    <w:keepNext w:val="0"/>
                    <w:keepLines w:val="0"/>
                    <w:pageBreakBefore w:val="0"/>
                    <w:widowControl w:val="0"/>
                    <w:kinsoku/>
                    <w:wordWrap/>
                    <w:overflowPunct/>
                    <w:topLinePunct w:val="0"/>
                    <w:autoSpaceDE/>
                    <w:autoSpaceDN/>
                    <w:bidi w:val="0"/>
                    <w:spacing w:line="280" w:lineRule="exact"/>
                    <w:jc w:val="center"/>
                    <w:textAlignment w:val="auto"/>
                    <w:rPr>
                      <w:rFonts w:cs="Times New Roman"/>
                      <w:color w:val="auto"/>
                      <w:szCs w:val="21"/>
                      <w:highlight w:val="none"/>
                    </w:rPr>
                  </w:pPr>
                  <w:r>
                    <w:rPr>
                      <w:rFonts w:cs="Times New Roman"/>
                      <w:color w:val="auto"/>
                      <w:szCs w:val="21"/>
                      <w:highlight w:val="none"/>
                    </w:rPr>
                    <w:t>合计</w:t>
                  </w:r>
                </w:p>
              </w:tc>
              <w:tc>
                <w:tcPr>
                  <w:tcW w:w="3154" w:type="pct"/>
                  <w:gridSpan w:val="2"/>
                  <w:tcBorders>
                    <w:tl2br w:val="nil"/>
                    <w:tr2bl w:val="nil"/>
                  </w:tcBorders>
                  <w:vAlign w:val="center"/>
                </w:tcPr>
                <w:p w14:paraId="7CD4B61D">
                  <w:pPr>
                    <w:keepNext w:val="0"/>
                    <w:keepLines w:val="0"/>
                    <w:pageBreakBefore w:val="0"/>
                    <w:widowControl w:val="0"/>
                    <w:kinsoku/>
                    <w:wordWrap/>
                    <w:overflowPunct/>
                    <w:topLinePunct w:val="0"/>
                    <w:autoSpaceDE/>
                    <w:autoSpaceDN/>
                    <w:bidi w:val="0"/>
                    <w:spacing w:line="280" w:lineRule="exact"/>
                    <w:jc w:val="center"/>
                    <w:textAlignment w:val="auto"/>
                    <w:rPr>
                      <w:rFonts w:cs="Times New Roman"/>
                      <w:color w:val="auto"/>
                      <w:szCs w:val="21"/>
                      <w:highlight w:val="none"/>
                    </w:rPr>
                  </w:pPr>
                  <w:r>
                    <w:rPr>
                      <w:rFonts w:cs="Times New Roman"/>
                      <w:color w:val="auto"/>
                      <w:szCs w:val="21"/>
                      <w:highlight w:val="none"/>
                    </w:rPr>
                    <w:t>/</w:t>
                  </w:r>
                </w:p>
              </w:tc>
              <w:tc>
                <w:tcPr>
                  <w:tcW w:w="769" w:type="pct"/>
                  <w:tcBorders>
                    <w:tl2br w:val="nil"/>
                    <w:tr2bl w:val="nil"/>
                  </w:tcBorders>
                  <w:vAlign w:val="center"/>
                </w:tcPr>
                <w:p w14:paraId="784C6991">
                  <w:pPr>
                    <w:keepNext w:val="0"/>
                    <w:keepLines w:val="0"/>
                    <w:pageBreakBefore w:val="0"/>
                    <w:widowControl w:val="0"/>
                    <w:kinsoku/>
                    <w:wordWrap/>
                    <w:overflowPunct/>
                    <w:topLinePunct w:val="0"/>
                    <w:autoSpaceDE/>
                    <w:autoSpaceDN/>
                    <w:bidi w:val="0"/>
                    <w:spacing w:line="280" w:lineRule="exact"/>
                    <w:jc w:val="center"/>
                    <w:textAlignment w:val="auto"/>
                    <w:rPr>
                      <w:rFonts w:hint="default" w:eastAsia="宋体" w:cs="Times New Roman"/>
                      <w:color w:val="auto"/>
                      <w:szCs w:val="21"/>
                      <w:highlight w:val="none"/>
                      <w:lang w:val="en-US" w:eastAsia="zh-CN"/>
                    </w:rPr>
                  </w:pPr>
                  <w:r>
                    <w:rPr>
                      <w:rFonts w:hint="eastAsia" w:cs="Times New Roman"/>
                      <w:color w:val="auto"/>
                      <w:szCs w:val="21"/>
                      <w:highlight w:val="none"/>
                      <w:lang w:val="en-US" w:eastAsia="zh-CN"/>
                    </w:rPr>
                    <w:t>42.7</w:t>
                  </w:r>
                </w:p>
              </w:tc>
              <w:tc>
                <w:tcPr>
                  <w:tcW w:w="530" w:type="pct"/>
                  <w:tcBorders>
                    <w:tl2br w:val="nil"/>
                    <w:tr2bl w:val="nil"/>
                  </w:tcBorders>
                  <w:vAlign w:val="center"/>
                </w:tcPr>
                <w:p w14:paraId="2108B1C5">
                  <w:pPr>
                    <w:keepNext w:val="0"/>
                    <w:keepLines w:val="0"/>
                    <w:pageBreakBefore w:val="0"/>
                    <w:widowControl w:val="0"/>
                    <w:kinsoku/>
                    <w:wordWrap/>
                    <w:overflowPunct/>
                    <w:topLinePunct w:val="0"/>
                    <w:autoSpaceDE/>
                    <w:autoSpaceDN/>
                    <w:bidi w:val="0"/>
                    <w:spacing w:line="280" w:lineRule="exact"/>
                    <w:jc w:val="center"/>
                    <w:textAlignment w:val="auto"/>
                    <w:rPr>
                      <w:rFonts w:cs="Times New Roman"/>
                      <w:color w:val="auto"/>
                      <w:szCs w:val="21"/>
                      <w:highlight w:val="none"/>
                    </w:rPr>
                  </w:pPr>
                </w:p>
              </w:tc>
            </w:tr>
          </w:tbl>
          <w:p w14:paraId="2BCE1084">
            <w:pPr>
              <w:spacing w:line="360" w:lineRule="auto"/>
              <w:ind w:firstLine="480"/>
              <w:rPr>
                <w:rFonts w:cs="Times New Roman"/>
                <w:color w:val="auto"/>
                <w:sz w:val="24"/>
                <w:szCs w:val="24"/>
              </w:rPr>
            </w:pPr>
          </w:p>
          <w:p w14:paraId="5D9DA21F">
            <w:pPr>
              <w:spacing w:line="360" w:lineRule="auto"/>
              <w:ind w:firstLine="480"/>
              <w:rPr>
                <w:rFonts w:cs="Times New Roman"/>
                <w:color w:val="auto"/>
                <w:sz w:val="24"/>
                <w:szCs w:val="24"/>
              </w:rPr>
            </w:pPr>
          </w:p>
          <w:p w14:paraId="6FB5F0A0">
            <w:pPr>
              <w:spacing w:line="360" w:lineRule="auto"/>
              <w:ind w:firstLine="480"/>
              <w:rPr>
                <w:rFonts w:cs="Times New Roman"/>
                <w:color w:val="auto"/>
                <w:sz w:val="24"/>
                <w:szCs w:val="24"/>
              </w:rPr>
            </w:pPr>
          </w:p>
          <w:p w14:paraId="41CF73E6">
            <w:pPr>
              <w:spacing w:line="360" w:lineRule="auto"/>
              <w:rPr>
                <w:rFonts w:cs="Times New Roman"/>
                <w:color w:val="auto"/>
                <w:sz w:val="24"/>
                <w:szCs w:val="24"/>
              </w:rPr>
            </w:pPr>
          </w:p>
        </w:tc>
      </w:tr>
    </w:tbl>
    <w:p w14:paraId="09F77AB8">
      <w:pPr>
        <w:spacing w:line="276" w:lineRule="auto"/>
        <w:ind w:firstLine="420" w:firstLineChars="200"/>
        <w:rPr>
          <w:rFonts w:cs="Times New Roman"/>
          <w:color w:val="auto"/>
          <w:szCs w:val="21"/>
        </w:rPr>
        <w:sectPr>
          <w:pgSz w:w="11906" w:h="16838"/>
          <w:pgMar w:top="1134" w:right="1418" w:bottom="1134" w:left="1134" w:header="851" w:footer="992" w:gutter="0"/>
          <w:pgBorders>
            <w:top w:val="none" w:sz="0" w:space="0"/>
            <w:left w:val="none" w:sz="0" w:space="0"/>
            <w:bottom w:val="none" w:sz="0" w:space="0"/>
            <w:right w:val="none" w:sz="0" w:space="0"/>
          </w:pgBorders>
          <w:pgNumType w:fmt="numberInDash"/>
          <w:cols w:space="720" w:num="1"/>
          <w:docGrid w:type="lines" w:linePitch="312" w:charSpace="0"/>
        </w:sectPr>
      </w:pPr>
    </w:p>
    <w:p w14:paraId="440B6A2A">
      <w:pPr>
        <w:pStyle w:val="58"/>
        <w:jc w:val="center"/>
        <w:rPr>
          <w:rFonts w:ascii="黑体" w:hAnsi="黑体" w:eastAsia="黑体"/>
          <w:b w:val="0"/>
          <w:color w:val="auto"/>
          <w:sz w:val="30"/>
          <w:szCs w:val="30"/>
        </w:rPr>
      </w:pPr>
      <w:bookmarkStart w:id="8" w:name="_Toc18139"/>
      <w:r>
        <w:rPr>
          <w:rFonts w:hint="eastAsia" w:ascii="黑体" w:hAnsi="黑体" w:eastAsia="黑体"/>
          <w:b w:val="0"/>
          <w:color w:val="auto"/>
          <w:sz w:val="30"/>
          <w:szCs w:val="30"/>
        </w:rPr>
        <mc:AlternateContent>
          <mc:Choice Requires="wps">
            <w:drawing>
              <wp:anchor distT="0" distB="0" distL="114300" distR="114300" simplePos="0" relativeHeight="251660288" behindDoc="0" locked="0" layoutInCell="1" allowOverlap="1">
                <wp:simplePos x="0" y="0"/>
                <wp:positionH relativeFrom="column">
                  <wp:posOffset>-14605</wp:posOffset>
                </wp:positionH>
                <wp:positionV relativeFrom="paragraph">
                  <wp:posOffset>394335</wp:posOffset>
                </wp:positionV>
                <wp:extent cx="876935" cy="389255"/>
                <wp:effectExtent l="1905" t="4445" r="16510" b="6350"/>
                <wp:wrapNone/>
                <wp:docPr id="45" name="直接连接符 45"/>
                <wp:cNvGraphicFramePr/>
                <a:graphic xmlns:a="http://schemas.openxmlformats.org/drawingml/2006/main">
                  <a:graphicData uri="http://schemas.microsoft.com/office/word/2010/wordprocessingShape">
                    <wps:wsp>
                      <wps:cNvCnPr/>
                      <wps:spPr>
                        <a:xfrm>
                          <a:off x="0" y="0"/>
                          <a:ext cx="876935" cy="38925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1.15pt;margin-top:31.05pt;height:30.65pt;width:69.05pt;z-index:251660288;mso-width-relative:page;mso-height-relative:page;" filled="f" stroked="t" coordsize="21600,21600" o:gfxdata="UEsDBAoAAAAAAIdO4kAAAAAAAAAAAAAAAAAEAAAAZHJzL1BLAwQUAAAACACHTuJAbO+3ZtcAAAAJ&#10;AQAADwAAAGRycy9kb3ducmV2LnhtbE2PzU7DMBCE70i8g7VIXKrWjgNVFeL0AOTGhQLqdRsvSURs&#10;p7H7A0/P9gS3Hc1o9ptyfXaDONIU++ANZAsFgnwTbO9bA+9v9XwFIib0FofgycA3RVhX11clFjac&#10;/CsdN6kVXOJjgQa6lMZCyth05DAuwkievc8wOUwsp1baCU9c7gaplVpKh73nDx2O9NhR87U5OAOx&#10;/qB9/TNrZmqbt4H0/unlGY25vcnUA4hE5/QXhgs+o0PFTLtw8DaKwcBc55w0sNQZiIuf3/OUHR86&#10;vwNZlfL/guoXUEsDBBQAAAAIAIdO4kBBz/sh3gEAAKADAAAOAAAAZHJzL2Uyb0RvYy54bWytU0uO&#10;EzEQ3SNxB8t70pkMGZJWOrOYaNggiAQcoOJ2d1vyTy5POrkEF0BiByuW7LkNwzEou5vMh80syMIp&#10;Vz2/8nuuXl0ejGZ7GVA5W/GzyZQzaYWrlW0r/vHD9YsFZxjB1qCdlRU/SuSX6+fPVr0v5cx1Ttcy&#10;MCKxWPa+4l2MviwKFJ00gBPnpaVi44KBSNvQFnWAntiNLmbT6UXRu1D74IREpOxmKPKRMTyF0DWN&#10;EnLjxI2RNg6sQWqIJAk75ZGv822bRor4rmlQRqYrTkpjXqkJxbu0FusVlG0A3ykxXgGecoVHmgwo&#10;S01PVBuIwG6C+ofKKBEcuiZOhDPFICQ7QirOpo+8ed+Bl1kLWY3+ZDr+P1rxdr8NTNUVfznnzIKh&#10;F7/9/OPXp6+/f36h9fb7N0YVsqn3WBL6ym7DuEO/DUnzoQkm/ZMadsjWHk/WykNkgpKLVxfLc+og&#10;qHS+WM7mmbO4O+wDxtfSGZaCimtlk3IoYf8GIzUk6F9ISlt3rbTOr6ct6yu+nM8SPdBENjQJFBpP&#10;qtC2nIFuadRFDJkRnVZ1Op14MLS7Kx3YHtKA5F8SS90ewFLrDWA34HJphGlL6OTN4EaKdq4+ZpNy&#10;nh4u841Dlibj/j6fvvuw1n8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bO+3ZtcAAAAJAQAADwAA&#10;AAAAAAABACAAAAAiAAAAZHJzL2Rvd25yZXYueG1sUEsBAhQAFAAAAAgAh07iQEHP+yHeAQAAoAMA&#10;AA4AAAAAAAAAAQAgAAAAJgEAAGRycy9lMm9Eb2MueG1sUEsFBgAAAAAGAAYAWQEAAHYFAAAAAA==&#10;">
                <v:fill on="f" focussize="0,0"/>
                <v:stroke color="#000000 [3213]" joinstyle="round"/>
                <v:imagedata o:title=""/>
                <o:lock v:ext="edit" aspectratio="f"/>
              </v:line>
            </w:pict>
          </mc:Fallback>
        </mc:AlternateContent>
      </w:r>
      <w:r>
        <w:rPr>
          <w:rFonts w:hint="eastAsia" w:ascii="黑体" w:hAnsi="黑体" w:eastAsia="黑体"/>
          <w:b w:val="0"/>
          <w:color w:val="auto"/>
          <w:sz w:val="30"/>
          <w:szCs w:val="30"/>
        </w:rPr>
        <w:t>五、环境保护措施监督检查清单</w:t>
      </w:r>
      <w:bookmarkEnd w:id="8"/>
    </w:p>
    <w:tbl>
      <w:tblPr>
        <w:tblStyle w:val="24"/>
        <w:tblW w:w="934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1362"/>
        <w:gridCol w:w="1716"/>
        <w:gridCol w:w="1059"/>
        <w:gridCol w:w="3512"/>
        <w:gridCol w:w="1700"/>
      </w:tblGrid>
      <w:tr w14:paraId="058D45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70" w:hRule="atLeast"/>
          <w:jc w:val="center"/>
        </w:trPr>
        <w:tc>
          <w:tcPr>
            <w:tcW w:w="1362" w:type="dxa"/>
            <w:vAlign w:val="center"/>
          </w:tcPr>
          <w:p w14:paraId="474D97A3">
            <w:pPr>
              <w:keepNext w:val="0"/>
              <w:keepLines w:val="0"/>
              <w:pageBreakBefore w:val="0"/>
              <w:widowControl w:val="0"/>
              <w:kinsoku/>
              <w:wordWrap/>
              <w:overflowPunct/>
              <w:topLinePunct w:val="0"/>
              <w:autoSpaceDE/>
              <w:autoSpaceDN/>
              <w:bidi w:val="0"/>
              <w:spacing w:line="280" w:lineRule="exact"/>
              <w:jc w:val="right"/>
              <w:textAlignment w:val="auto"/>
              <w:rPr>
                <w:rFonts w:cs="Times New Roman"/>
                <w:b/>
                <w:bCs/>
                <w:color w:val="auto"/>
                <w:szCs w:val="21"/>
              </w:rPr>
            </w:pPr>
            <w:r>
              <w:rPr>
                <w:rFonts w:cs="Times New Roman"/>
                <w:b/>
                <w:bCs/>
                <w:color w:val="auto"/>
                <w:szCs w:val="21"/>
              </w:rPr>
              <w:t>内容</w:t>
            </w:r>
          </w:p>
          <w:p w14:paraId="47D25730">
            <w:pPr>
              <w:keepNext w:val="0"/>
              <w:keepLines w:val="0"/>
              <w:pageBreakBefore w:val="0"/>
              <w:widowControl w:val="0"/>
              <w:kinsoku/>
              <w:wordWrap/>
              <w:overflowPunct/>
              <w:topLinePunct w:val="0"/>
              <w:autoSpaceDE/>
              <w:autoSpaceDN/>
              <w:bidi w:val="0"/>
              <w:spacing w:line="280" w:lineRule="exact"/>
              <w:textAlignment w:val="auto"/>
              <w:rPr>
                <w:rFonts w:cs="Times New Roman"/>
                <w:b/>
                <w:bCs/>
                <w:color w:val="auto"/>
                <w:szCs w:val="21"/>
              </w:rPr>
            </w:pPr>
            <w:r>
              <w:rPr>
                <w:rFonts w:cs="Times New Roman"/>
                <w:b/>
                <w:bCs/>
                <w:color w:val="auto"/>
                <w:szCs w:val="21"/>
              </w:rPr>
              <w:t>要素</w:t>
            </w:r>
          </w:p>
        </w:tc>
        <w:tc>
          <w:tcPr>
            <w:tcW w:w="1716" w:type="dxa"/>
            <w:vAlign w:val="center"/>
          </w:tcPr>
          <w:p w14:paraId="7D012D40">
            <w:pPr>
              <w:keepNext w:val="0"/>
              <w:keepLines w:val="0"/>
              <w:pageBreakBefore w:val="0"/>
              <w:widowControl w:val="0"/>
              <w:kinsoku/>
              <w:wordWrap/>
              <w:overflowPunct/>
              <w:topLinePunct w:val="0"/>
              <w:autoSpaceDE/>
              <w:autoSpaceDN/>
              <w:bidi w:val="0"/>
              <w:spacing w:line="280" w:lineRule="exact"/>
              <w:jc w:val="center"/>
              <w:textAlignment w:val="auto"/>
              <w:rPr>
                <w:rFonts w:cs="Times New Roman"/>
                <w:b/>
                <w:bCs/>
                <w:color w:val="auto"/>
                <w:szCs w:val="21"/>
              </w:rPr>
            </w:pPr>
            <w:r>
              <w:rPr>
                <w:rFonts w:cs="Times New Roman"/>
                <w:b/>
                <w:bCs/>
                <w:color w:val="auto"/>
                <w:szCs w:val="21"/>
              </w:rPr>
              <w:t>排放口（编号、名称）/污染源</w:t>
            </w:r>
          </w:p>
        </w:tc>
        <w:tc>
          <w:tcPr>
            <w:tcW w:w="1059" w:type="dxa"/>
            <w:vAlign w:val="center"/>
          </w:tcPr>
          <w:p w14:paraId="0B585C8A">
            <w:pPr>
              <w:keepNext w:val="0"/>
              <w:keepLines w:val="0"/>
              <w:pageBreakBefore w:val="0"/>
              <w:widowControl w:val="0"/>
              <w:kinsoku/>
              <w:wordWrap/>
              <w:overflowPunct/>
              <w:topLinePunct w:val="0"/>
              <w:autoSpaceDE/>
              <w:autoSpaceDN/>
              <w:bidi w:val="0"/>
              <w:spacing w:line="280" w:lineRule="exact"/>
              <w:jc w:val="center"/>
              <w:textAlignment w:val="auto"/>
              <w:rPr>
                <w:rFonts w:cs="Times New Roman"/>
                <w:b/>
                <w:bCs/>
                <w:color w:val="auto"/>
                <w:szCs w:val="21"/>
              </w:rPr>
            </w:pPr>
            <w:r>
              <w:rPr>
                <w:rFonts w:cs="Times New Roman"/>
                <w:b/>
                <w:bCs/>
                <w:color w:val="auto"/>
                <w:szCs w:val="21"/>
              </w:rPr>
              <w:t>污染物项目</w:t>
            </w:r>
          </w:p>
        </w:tc>
        <w:tc>
          <w:tcPr>
            <w:tcW w:w="3512" w:type="dxa"/>
            <w:vAlign w:val="center"/>
          </w:tcPr>
          <w:p w14:paraId="06A32033">
            <w:pPr>
              <w:keepNext w:val="0"/>
              <w:keepLines w:val="0"/>
              <w:pageBreakBefore w:val="0"/>
              <w:widowControl w:val="0"/>
              <w:kinsoku/>
              <w:wordWrap/>
              <w:overflowPunct/>
              <w:topLinePunct w:val="0"/>
              <w:autoSpaceDE/>
              <w:autoSpaceDN/>
              <w:bidi w:val="0"/>
              <w:spacing w:line="280" w:lineRule="exact"/>
              <w:jc w:val="center"/>
              <w:textAlignment w:val="auto"/>
              <w:rPr>
                <w:rFonts w:cs="Times New Roman"/>
                <w:b/>
                <w:bCs/>
                <w:color w:val="auto"/>
                <w:szCs w:val="21"/>
              </w:rPr>
            </w:pPr>
            <w:r>
              <w:rPr>
                <w:rFonts w:cs="Times New Roman"/>
                <w:b/>
                <w:bCs/>
                <w:color w:val="auto"/>
                <w:szCs w:val="21"/>
              </w:rPr>
              <w:t>环境保护措施</w:t>
            </w:r>
          </w:p>
        </w:tc>
        <w:tc>
          <w:tcPr>
            <w:tcW w:w="1700" w:type="dxa"/>
            <w:vAlign w:val="center"/>
          </w:tcPr>
          <w:p w14:paraId="5D21D197">
            <w:pPr>
              <w:keepNext w:val="0"/>
              <w:keepLines w:val="0"/>
              <w:pageBreakBefore w:val="0"/>
              <w:widowControl w:val="0"/>
              <w:kinsoku/>
              <w:wordWrap/>
              <w:overflowPunct/>
              <w:topLinePunct w:val="0"/>
              <w:autoSpaceDE/>
              <w:autoSpaceDN/>
              <w:bidi w:val="0"/>
              <w:spacing w:line="280" w:lineRule="exact"/>
              <w:jc w:val="center"/>
              <w:textAlignment w:val="auto"/>
              <w:rPr>
                <w:rFonts w:cs="Times New Roman"/>
                <w:b/>
                <w:bCs/>
                <w:color w:val="auto"/>
                <w:szCs w:val="21"/>
              </w:rPr>
            </w:pPr>
            <w:r>
              <w:rPr>
                <w:rFonts w:cs="Times New Roman"/>
                <w:b/>
                <w:bCs/>
                <w:color w:val="auto"/>
                <w:szCs w:val="21"/>
              </w:rPr>
              <w:t>执行标准</w:t>
            </w:r>
          </w:p>
        </w:tc>
      </w:tr>
      <w:tr w14:paraId="62FB51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70" w:hRule="atLeast"/>
          <w:jc w:val="center"/>
        </w:trPr>
        <w:tc>
          <w:tcPr>
            <w:tcW w:w="1362" w:type="dxa"/>
            <w:vMerge w:val="restart"/>
            <w:vAlign w:val="center"/>
          </w:tcPr>
          <w:p w14:paraId="77699A41">
            <w:pPr>
              <w:keepNext w:val="0"/>
              <w:keepLines w:val="0"/>
              <w:pageBreakBefore w:val="0"/>
              <w:widowControl w:val="0"/>
              <w:kinsoku/>
              <w:wordWrap/>
              <w:overflowPunct/>
              <w:topLinePunct w:val="0"/>
              <w:autoSpaceDE/>
              <w:autoSpaceDN/>
              <w:bidi w:val="0"/>
              <w:spacing w:line="280" w:lineRule="exact"/>
              <w:jc w:val="center"/>
              <w:textAlignment w:val="auto"/>
              <w:rPr>
                <w:rFonts w:cs="Times New Roman"/>
                <w:color w:val="auto"/>
                <w:szCs w:val="21"/>
              </w:rPr>
            </w:pPr>
            <w:r>
              <w:rPr>
                <w:rFonts w:cs="Times New Roman"/>
                <w:color w:val="auto"/>
                <w:szCs w:val="21"/>
              </w:rPr>
              <w:t>大气环境</w:t>
            </w:r>
          </w:p>
        </w:tc>
        <w:tc>
          <w:tcPr>
            <w:tcW w:w="1716" w:type="dxa"/>
            <w:vAlign w:val="center"/>
          </w:tcPr>
          <w:p w14:paraId="5D858C4C">
            <w:pPr>
              <w:keepNext w:val="0"/>
              <w:keepLines w:val="0"/>
              <w:pageBreakBefore w:val="0"/>
              <w:widowControl w:val="0"/>
              <w:kinsoku/>
              <w:wordWrap/>
              <w:overflowPunct/>
              <w:topLinePunct w:val="0"/>
              <w:autoSpaceDE/>
              <w:autoSpaceDN/>
              <w:bidi w:val="0"/>
              <w:spacing w:line="280" w:lineRule="exact"/>
              <w:jc w:val="center"/>
              <w:textAlignment w:val="auto"/>
              <w:rPr>
                <w:rFonts w:cs="Times New Roman"/>
                <w:bCs/>
                <w:color w:val="auto"/>
                <w:kern w:val="0"/>
                <w:szCs w:val="21"/>
              </w:rPr>
            </w:pPr>
            <w:r>
              <w:rPr>
                <w:rFonts w:cs="Times New Roman"/>
                <w:snapToGrid w:val="0"/>
                <w:color w:val="auto"/>
                <w:kern w:val="0"/>
                <w:szCs w:val="21"/>
              </w:rPr>
              <w:t>石材加工粉尘</w:t>
            </w:r>
          </w:p>
        </w:tc>
        <w:tc>
          <w:tcPr>
            <w:tcW w:w="1059" w:type="dxa"/>
            <w:vAlign w:val="center"/>
          </w:tcPr>
          <w:p w14:paraId="754BA0C1">
            <w:pPr>
              <w:keepNext w:val="0"/>
              <w:keepLines w:val="0"/>
              <w:pageBreakBefore w:val="0"/>
              <w:widowControl w:val="0"/>
              <w:kinsoku/>
              <w:wordWrap/>
              <w:overflowPunct/>
              <w:topLinePunct w:val="0"/>
              <w:autoSpaceDE/>
              <w:autoSpaceDN/>
              <w:bidi w:val="0"/>
              <w:spacing w:line="280" w:lineRule="exact"/>
              <w:jc w:val="center"/>
              <w:textAlignment w:val="auto"/>
              <w:rPr>
                <w:rFonts w:cs="Times New Roman"/>
                <w:color w:val="auto"/>
                <w:szCs w:val="21"/>
              </w:rPr>
            </w:pPr>
            <w:r>
              <w:rPr>
                <w:rFonts w:cs="Times New Roman"/>
                <w:color w:val="auto"/>
                <w:szCs w:val="21"/>
              </w:rPr>
              <w:t>颗粒物</w:t>
            </w:r>
          </w:p>
        </w:tc>
        <w:tc>
          <w:tcPr>
            <w:tcW w:w="3512" w:type="dxa"/>
            <w:vAlign w:val="center"/>
          </w:tcPr>
          <w:p w14:paraId="2F42C22D">
            <w:pPr>
              <w:keepNext w:val="0"/>
              <w:keepLines w:val="0"/>
              <w:pageBreakBefore w:val="0"/>
              <w:widowControl w:val="0"/>
              <w:kinsoku/>
              <w:wordWrap/>
              <w:overflowPunct/>
              <w:topLinePunct w:val="0"/>
              <w:autoSpaceDE/>
              <w:autoSpaceDN/>
              <w:bidi w:val="0"/>
              <w:spacing w:line="280" w:lineRule="exact"/>
              <w:jc w:val="left"/>
              <w:textAlignment w:val="auto"/>
              <w:rPr>
                <w:rFonts w:cs="Times New Roman"/>
                <w:bCs/>
                <w:color w:val="auto"/>
                <w:szCs w:val="21"/>
              </w:rPr>
            </w:pPr>
            <w:r>
              <w:rPr>
                <w:rFonts w:hint="eastAsia" w:cs="Times New Roman"/>
                <w:bCs/>
                <w:color w:val="auto"/>
                <w:kern w:val="0"/>
                <w:szCs w:val="21"/>
                <w:lang w:eastAsia="zh-CN"/>
              </w:rPr>
              <w:t>生产车间为</w:t>
            </w:r>
            <w:r>
              <w:rPr>
                <w:rFonts w:cs="Times New Roman"/>
                <w:bCs/>
                <w:color w:val="auto"/>
                <w:kern w:val="0"/>
                <w:szCs w:val="21"/>
              </w:rPr>
              <w:t>全封闭</w:t>
            </w:r>
            <w:r>
              <w:rPr>
                <w:rFonts w:hint="eastAsia" w:cs="Times New Roman"/>
                <w:bCs/>
                <w:color w:val="auto"/>
                <w:kern w:val="0"/>
                <w:szCs w:val="21"/>
                <w:lang w:eastAsia="zh-CN"/>
              </w:rPr>
              <w:t>钢</w:t>
            </w:r>
            <w:r>
              <w:rPr>
                <w:rFonts w:cs="Times New Roman"/>
                <w:bCs/>
                <w:color w:val="auto"/>
                <w:kern w:val="0"/>
                <w:szCs w:val="21"/>
              </w:rPr>
              <w:t>结构</w:t>
            </w:r>
            <w:r>
              <w:rPr>
                <w:rFonts w:hint="eastAsia" w:cs="Times New Roman"/>
                <w:bCs/>
                <w:color w:val="auto"/>
                <w:kern w:val="0"/>
                <w:szCs w:val="21"/>
                <w:lang w:eastAsia="zh-CN"/>
              </w:rPr>
              <w:t>厂房</w:t>
            </w:r>
            <w:r>
              <w:rPr>
                <w:rFonts w:cs="Times New Roman"/>
                <w:bCs/>
                <w:color w:val="auto"/>
                <w:kern w:val="0"/>
                <w:szCs w:val="21"/>
              </w:rPr>
              <w:t>（只留车辆出入口），</w:t>
            </w:r>
            <w:r>
              <w:rPr>
                <w:rFonts w:cs="Times New Roman"/>
                <w:bCs/>
                <w:color w:val="auto"/>
                <w:kern w:val="0"/>
                <w:szCs w:val="21"/>
                <w:highlight w:val="none"/>
              </w:rPr>
              <w:t>各</w:t>
            </w:r>
            <w:r>
              <w:rPr>
                <w:rFonts w:hint="eastAsia" w:cs="Times New Roman"/>
                <w:bCs/>
                <w:color w:val="auto"/>
                <w:kern w:val="0"/>
                <w:szCs w:val="21"/>
                <w:highlight w:val="none"/>
                <w:lang w:eastAsia="zh-CN"/>
              </w:rPr>
              <w:t>生产</w:t>
            </w:r>
            <w:r>
              <w:rPr>
                <w:rFonts w:cs="Times New Roman"/>
                <w:color w:val="auto"/>
                <w:szCs w:val="21"/>
                <w:highlight w:val="none"/>
              </w:rPr>
              <w:t>设备均布置于厂房内。切割、雕刻、</w:t>
            </w:r>
            <w:r>
              <w:rPr>
                <w:rFonts w:hint="eastAsia" w:cs="Times New Roman"/>
                <w:color w:val="auto"/>
                <w:szCs w:val="21"/>
                <w:highlight w:val="none"/>
                <w:lang w:eastAsia="zh-CN"/>
              </w:rPr>
              <w:t>抛磨</w:t>
            </w:r>
            <w:r>
              <w:rPr>
                <w:rFonts w:cs="Times New Roman"/>
                <w:color w:val="auto"/>
                <w:szCs w:val="21"/>
                <w:highlight w:val="none"/>
              </w:rPr>
              <w:t>处理工序均采取设置自动喷水设施，采取湿法作业</w:t>
            </w:r>
            <w:r>
              <w:rPr>
                <w:rFonts w:cs="Times New Roman"/>
                <w:color w:val="auto"/>
                <w:szCs w:val="21"/>
              </w:rPr>
              <w:t>。</w:t>
            </w:r>
          </w:p>
        </w:tc>
        <w:tc>
          <w:tcPr>
            <w:tcW w:w="1700" w:type="dxa"/>
            <w:vMerge w:val="restart"/>
            <w:vAlign w:val="center"/>
          </w:tcPr>
          <w:p w14:paraId="6D6C19EE">
            <w:pPr>
              <w:keepNext w:val="0"/>
              <w:keepLines w:val="0"/>
              <w:pageBreakBefore w:val="0"/>
              <w:widowControl w:val="0"/>
              <w:kinsoku/>
              <w:wordWrap/>
              <w:overflowPunct/>
              <w:topLinePunct w:val="0"/>
              <w:autoSpaceDE/>
              <w:autoSpaceDN/>
              <w:bidi w:val="0"/>
              <w:spacing w:line="280" w:lineRule="exact"/>
              <w:jc w:val="center"/>
              <w:textAlignment w:val="auto"/>
              <w:rPr>
                <w:rFonts w:hint="eastAsia" w:eastAsia="宋体" w:cs="Times New Roman"/>
                <w:color w:val="auto"/>
                <w:szCs w:val="21"/>
                <w:lang w:eastAsia="zh-CN"/>
              </w:rPr>
            </w:pPr>
            <w:r>
              <w:rPr>
                <w:rFonts w:cs="Times New Roman"/>
                <w:color w:val="auto"/>
                <w:kern w:val="0"/>
                <w:szCs w:val="21"/>
              </w:rPr>
              <w:t>《大气污染物</w:t>
            </w:r>
            <w:r>
              <w:rPr>
                <w:rFonts w:hint="eastAsia" w:cs="Times New Roman"/>
                <w:color w:val="auto"/>
                <w:kern w:val="0"/>
                <w:szCs w:val="21"/>
                <w:lang w:eastAsia="zh-CN"/>
              </w:rPr>
              <w:t>综合</w:t>
            </w:r>
            <w:r>
              <w:rPr>
                <w:rFonts w:cs="Times New Roman"/>
                <w:color w:val="auto"/>
                <w:kern w:val="0"/>
                <w:szCs w:val="21"/>
              </w:rPr>
              <w:t>排放标准》</w:t>
            </w:r>
            <w:r>
              <w:rPr>
                <w:rFonts w:hint="eastAsia" w:cs="Times New Roman"/>
                <w:color w:val="auto"/>
                <w:kern w:val="0"/>
                <w:szCs w:val="21"/>
                <w:lang w:val="en-US" w:eastAsia="zh-CN"/>
              </w:rPr>
              <w:t>(</w:t>
            </w:r>
            <w:r>
              <w:rPr>
                <w:rFonts w:hint="eastAsia" w:cs="Times New Roman"/>
                <w:color w:val="auto"/>
                <w:kern w:val="0"/>
                <w:szCs w:val="21"/>
                <w:lang w:eastAsia="zh-CN"/>
              </w:rPr>
              <w:t>GB16297-1996</w:t>
            </w:r>
            <w:r>
              <w:rPr>
                <w:rFonts w:hint="eastAsia" w:cs="Times New Roman"/>
                <w:color w:val="auto"/>
                <w:kern w:val="0"/>
                <w:szCs w:val="21"/>
                <w:lang w:val="en-US" w:eastAsia="zh-CN"/>
              </w:rPr>
              <w:t>)</w:t>
            </w:r>
          </w:p>
        </w:tc>
      </w:tr>
      <w:tr w14:paraId="791C90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70" w:hRule="atLeast"/>
          <w:jc w:val="center"/>
        </w:trPr>
        <w:tc>
          <w:tcPr>
            <w:tcW w:w="1362" w:type="dxa"/>
            <w:vMerge w:val="continue"/>
            <w:vAlign w:val="center"/>
          </w:tcPr>
          <w:p w14:paraId="5E6E1D89">
            <w:pPr>
              <w:keepNext w:val="0"/>
              <w:keepLines w:val="0"/>
              <w:pageBreakBefore w:val="0"/>
              <w:widowControl w:val="0"/>
              <w:kinsoku/>
              <w:wordWrap/>
              <w:overflowPunct/>
              <w:topLinePunct w:val="0"/>
              <w:autoSpaceDE/>
              <w:autoSpaceDN/>
              <w:bidi w:val="0"/>
              <w:spacing w:line="280" w:lineRule="exact"/>
              <w:jc w:val="center"/>
              <w:textAlignment w:val="auto"/>
              <w:rPr>
                <w:rFonts w:cs="Times New Roman"/>
                <w:color w:val="auto"/>
                <w:szCs w:val="21"/>
              </w:rPr>
            </w:pPr>
          </w:p>
        </w:tc>
        <w:tc>
          <w:tcPr>
            <w:tcW w:w="1716" w:type="dxa"/>
            <w:vAlign w:val="center"/>
          </w:tcPr>
          <w:p w14:paraId="63CF4621">
            <w:pPr>
              <w:keepNext w:val="0"/>
              <w:keepLines w:val="0"/>
              <w:pageBreakBefore w:val="0"/>
              <w:widowControl w:val="0"/>
              <w:kinsoku/>
              <w:wordWrap/>
              <w:overflowPunct/>
              <w:topLinePunct w:val="0"/>
              <w:autoSpaceDE/>
              <w:autoSpaceDN/>
              <w:bidi w:val="0"/>
              <w:spacing w:line="280" w:lineRule="exact"/>
              <w:jc w:val="center"/>
              <w:textAlignment w:val="auto"/>
              <w:rPr>
                <w:rFonts w:cs="Times New Roman"/>
                <w:snapToGrid w:val="0"/>
                <w:color w:val="auto"/>
                <w:kern w:val="0"/>
                <w:szCs w:val="21"/>
              </w:rPr>
            </w:pPr>
            <w:r>
              <w:rPr>
                <w:rFonts w:hint="eastAsia" w:cs="Times New Roman"/>
                <w:snapToGrid w:val="0"/>
                <w:color w:val="auto"/>
                <w:kern w:val="0"/>
                <w:szCs w:val="21"/>
              </w:rPr>
              <w:t>石材喷砂粉尘</w:t>
            </w:r>
          </w:p>
        </w:tc>
        <w:tc>
          <w:tcPr>
            <w:tcW w:w="1059" w:type="dxa"/>
            <w:vAlign w:val="center"/>
          </w:tcPr>
          <w:p w14:paraId="355302B2">
            <w:pPr>
              <w:keepNext w:val="0"/>
              <w:keepLines w:val="0"/>
              <w:pageBreakBefore w:val="0"/>
              <w:widowControl w:val="0"/>
              <w:kinsoku/>
              <w:wordWrap/>
              <w:overflowPunct/>
              <w:topLinePunct w:val="0"/>
              <w:autoSpaceDE/>
              <w:autoSpaceDN/>
              <w:bidi w:val="0"/>
              <w:spacing w:line="280" w:lineRule="exact"/>
              <w:jc w:val="center"/>
              <w:textAlignment w:val="auto"/>
              <w:rPr>
                <w:rFonts w:cs="Times New Roman"/>
                <w:color w:val="auto"/>
                <w:szCs w:val="21"/>
              </w:rPr>
            </w:pPr>
            <w:r>
              <w:rPr>
                <w:rFonts w:hint="eastAsia" w:cs="Times New Roman"/>
                <w:color w:val="auto"/>
                <w:szCs w:val="21"/>
              </w:rPr>
              <w:t>颗粒物</w:t>
            </w:r>
          </w:p>
        </w:tc>
        <w:tc>
          <w:tcPr>
            <w:tcW w:w="3512" w:type="dxa"/>
            <w:vAlign w:val="center"/>
          </w:tcPr>
          <w:p w14:paraId="572E0805">
            <w:pPr>
              <w:keepNext w:val="0"/>
              <w:keepLines w:val="0"/>
              <w:pageBreakBefore w:val="0"/>
              <w:widowControl w:val="0"/>
              <w:kinsoku/>
              <w:wordWrap/>
              <w:overflowPunct/>
              <w:topLinePunct w:val="0"/>
              <w:autoSpaceDE/>
              <w:autoSpaceDN/>
              <w:bidi w:val="0"/>
              <w:spacing w:line="280" w:lineRule="exact"/>
              <w:jc w:val="left"/>
              <w:textAlignment w:val="auto"/>
              <w:rPr>
                <w:rFonts w:cs="Times New Roman"/>
                <w:bCs/>
                <w:color w:val="auto"/>
                <w:kern w:val="0"/>
                <w:szCs w:val="21"/>
              </w:rPr>
            </w:pPr>
            <w:r>
              <w:rPr>
                <w:rFonts w:hint="eastAsia" w:cs="Times New Roman"/>
                <w:bCs/>
                <w:color w:val="auto"/>
                <w:kern w:val="0"/>
                <w:szCs w:val="21"/>
              </w:rPr>
              <w:t>采取布袋除尘器收集处理后，经车间阻隔无组织排放。</w:t>
            </w:r>
          </w:p>
        </w:tc>
        <w:tc>
          <w:tcPr>
            <w:tcW w:w="1700" w:type="dxa"/>
            <w:vMerge w:val="continue"/>
            <w:vAlign w:val="center"/>
          </w:tcPr>
          <w:p w14:paraId="538254B7">
            <w:pPr>
              <w:keepNext w:val="0"/>
              <w:keepLines w:val="0"/>
              <w:pageBreakBefore w:val="0"/>
              <w:widowControl w:val="0"/>
              <w:kinsoku/>
              <w:wordWrap/>
              <w:overflowPunct/>
              <w:topLinePunct w:val="0"/>
              <w:autoSpaceDE/>
              <w:autoSpaceDN/>
              <w:bidi w:val="0"/>
              <w:spacing w:line="280" w:lineRule="exact"/>
              <w:jc w:val="center"/>
              <w:textAlignment w:val="auto"/>
              <w:rPr>
                <w:rFonts w:cs="Times New Roman"/>
                <w:color w:val="auto"/>
                <w:kern w:val="0"/>
                <w:szCs w:val="21"/>
              </w:rPr>
            </w:pPr>
          </w:p>
        </w:tc>
      </w:tr>
      <w:tr w14:paraId="26FF5B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70" w:hRule="atLeast"/>
          <w:jc w:val="center"/>
        </w:trPr>
        <w:tc>
          <w:tcPr>
            <w:tcW w:w="1362" w:type="dxa"/>
            <w:vMerge w:val="continue"/>
            <w:vAlign w:val="center"/>
          </w:tcPr>
          <w:p w14:paraId="224110B0">
            <w:pPr>
              <w:keepNext w:val="0"/>
              <w:keepLines w:val="0"/>
              <w:pageBreakBefore w:val="0"/>
              <w:widowControl w:val="0"/>
              <w:kinsoku/>
              <w:wordWrap/>
              <w:overflowPunct/>
              <w:topLinePunct w:val="0"/>
              <w:autoSpaceDE/>
              <w:autoSpaceDN/>
              <w:bidi w:val="0"/>
              <w:spacing w:line="280" w:lineRule="exact"/>
              <w:jc w:val="center"/>
              <w:textAlignment w:val="auto"/>
              <w:rPr>
                <w:rFonts w:cs="Times New Roman"/>
                <w:color w:val="auto"/>
                <w:szCs w:val="21"/>
              </w:rPr>
            </w:pPr>
          </w:p>
        </w:tc>
        <w:tc>
          <w:tcPr>
            <w:tcW w:w="1716" w:type="dxa"/>
            <w:vAlign w:val="center"/>
          </w:tcPr>
          <w:p w14:paraId="2638100E">
            <w:pPr>
              <w:keepNext w:val="0"/>
              <w:keepLines w:val="0"/>
              <w:pageBreakBefore w:val="0"/>
              <w:widowControl w:val="0"/>
              <w:kinsoku/>
              <w:wordWrap/>
              <w:overflowPunct/>
              <w:topLinePunct w:val="0"/>
              <w:autoSpaceDE/>
              <w:autoSpaceDN/>
              <w:bidi w:val="0"/>
              <w:spacing w:line="280" w:lineRule="exact"/>
              <w:jc w:val="center"/>
              <w:textAlignment w:val="auto"/>
              <w:rPr>
                <w:rFonts w:cs="Times New Roman"/>
                <w:bCs/>
                <w:color w:val="auto"/>
                <w:szCs w:val="21"/>
              </w:rPr>
            </w:pPr>
            <w:r>
              <w:rPr>
                <w:rFonts w:cs="Times New Roman"/>
                <w:bCs/>
                <w:color w:val="auto"/>
                <w:szCs w:val="21"/>
              </w:rPr>
              <w:t>车辆运输起尘</w:t>
            </w:r>
          </w:p>
        </w:tc>
        <w:tc>
          <w:tcPr>
            <w:tcW w:w="1059" w:type="dxa"/>
            <w:vAlign w:val="center"/>
          </w:tcPr>
          <w:p w14:paraId="45D9373D">
            <w:pPr>
              <w:keepNext w:val="0"/>
              <w:keepLines w:val="0"/>
              <w:pageBreakBefore w:val="0"/>
              <w:widowControl w:val="0"/>
              <w:kinsoku/>
              <w:wordWrap/>
              <w:overflowPunct/>
              <w:topLinePunct w:val="0"/>
              <w:autoSpaceDE/>
              <w:autoSpaceDN/>
              <w:bidi w:val="0"/>
              <w:spacing w:line="280" w:lineRule="exact"/>
              <w:jc w:val="center"/>
              <w:textAlignment w:val="auto"/>
              <w:rPr>
                <w:rFonts w:cs="Times New Roman"/>
                <w:color w:val="auto"/>
                <w:szCs w:val="21"/>
              </w:rPr>
            </w:pPr>
            <w:r>
              <w:rPr>
                <w:rFonts w:cs="Times New Roman"/>
                <w:color w:val="auto"/>
                <w:szCs w:val="21"/>
              </w:rPr>
              <w:t>颗粒物</w:t>
            </w:r>
          </w:p>
        </w:tc>
        <w:tc>
          <w:tcPr>
            <w:tcW w:w="3512" w:type="dxa"/>
            <w:vAlign w:val="center"/>
          </w:tcPr>
          <w:p w14:paraId="5A5E8C02">
            <w:pPr>
              <w:keepNext w:val="0"/>
              <w:keepLines w:val="0"/>
              <w:pageBreakBefore w:val="0"/>
              <w:widowControl w:val="0"/>
              <w:tabs>
                <w:tab w:val="left" w:pos="993"/>
                <w:tab w:val="left" w:pos="1134"/>
              </w:tabs>
              <w:kinsoku/>
              <w:wordWrap/>
              <w:overflowPunct/>
              <w:topLinePunct w:val="0"/>
              <w:autoSpaceDE/>
              <w:autoSpaceDN/>
              <w:bidi w:val="0"/>
              <w:spacing w:line="280" w:lineRule="exact"/>
              <w:jc w:val="left"/>
              <w:textAlignment w:val="auto"/>
              <w:rPr>
                <w:rFonts w:cs="Times New Roman"/>
                <w:bCs/>
                <w:color w:val="auto"/>
                <w:szCs w:val="21"/>
              </w:rPr>
            </w:pPr>
            <w:r>
              <w:rPr>
                <w:rFonts w:cs="Times New Roman"/>
                <w:bCs/>
                <w:color w:val="auto"/>
                <w:szCs w:val="21"/>
                <w:highlight w:val="none"/>
              </w:rPr>
              <w:t>厂区路面硬化，洒水降尘，</w:t>
            </w:r>
            <w:r>
              <w:rPr>
                <w:rFonts w:hint="eastAsia" w:cs="Times New Roman"/>
                <w:bCs/>
                <w:color w:val="auto"/>
                <w:szCs w:val="21"/>
                <w:highlight w:val="none"/>
                <w:lang w:eastAsia="zh-CN"/>
              </w:rPr>
              <w:t>安排专人定期清扫、</w:t>
            </w:r>
            <w:r>
              <w:rPr>
                <w:rFonts w:cs="Times New Roman"/>
                <w:bCs/>
                <w:color w:val="auto"/>
                <w:szCs w:val="21"/>
                <w:highlight w:val="none"/>
              </w:rPr>
              <w:t>洒水降尘。</w:t>
            </w:r>
          </w:p>
        </w:tc>
        <w:tc>
          <w:tcPr>
            <w:tcW w:w="1700" w:type="dxa"/>
            <w:vMerge w:val="continue"/>
            <w:vAlign w:val="center"/>
          </w:tcPr>
          <w:p w14:paraId="130C1EF6">
            <w:pPr>
              <w:keepNext w:val="0"/>
              <w:keepLines w:val="0"/>
              <w:pageBreakBefore w:val="0"/>
              <w:widowControl w:val="0"/>
              <w:kinsoku/>
              <w:wordWrap/>
              <w:overflowPunct/>
              <w:topLinePunct w:val="0"/>
              <w:autoSpaceDE/>
              <w:autoSpaceDN/>
              <w:bidi w:val="0"/>
              <w:spacing w:line="280" w:lineRule="exact"/>
              <w:jc w:val="center"/>
              <w:textAlignment w:val="auto"/>
              <w:rPr>
                <w:rFonts w:cs="Times New Roman"/>
                <w:color w:val="auto"/>
                <w:szCs w:val="21"/>
              </w:rPr>
            </w:pPr>
          </w:p>
        </w:tc>
      </w:tr>
      <w:tr w14:paraId="0DB168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70" w:hRule="atLeast"/>
          <w:jc w:val="center"/>
        </w:trPr>
        <w:tc>
          <w:tcPr>
            <w:tcW w:w="1362" w:type="dxa"/>
            <w:vMerge w:val="continue"/>
            <w:vAlign w:val="center"/>
          </w:tcPr>
          <w:p w14:paraId="4D9A91D0">
            <w:pPr>
              <w:keepNext w:val="0"/>
              <w:keepLines w:val="0"/>
              <w:pageBreakBefore w:val="0"/>
              <w:widowControl w:val="0"/>
              <w:kinsoku/>
              <w:wordWrap/>
              <w:overflowPunct/>
              <w:topLinePunct w:val="0"/>
              <w:autoSpaceDE/>
              <w:autoSpaceDN/>
              <w:bidi w:val="0"/>
              <w:spacing w:line="280" w:lineRule="exact"/>
              <w:jc w:val="center"/>
              <w:textAlignment w:val="auto"/>
              <w:rPr>
                <w:rFonts w:cs="Times New Roman"/>
                <w:color w:val="auto"/>
                <w:szCs w:val="21"/>
              </w:rPr>
            </w:pPr>
          </w:p>
        </w:tc>
        <w:tc>
          <w:tcPr>
            <w:tcW w:w="1716" w:type="dxa"/>
            <w:vAlign w:val="center"/>
          </w:tcPr>
          <w:p w14:paraId="3F0C99E7">
            <w:pPr>
              <w:keepNext w:val="0"/>
              <w:keepLines w:val="0"/>
              <w:pageBreakBefore w:val="0"/>
              <w:widowControl w:val="0"/>
              <w:tabs>
                <w:tab w:val="left" w:pos="993"/>
                <w:tab w:val="left" w:pos="1134"/>
              </w:tabs>
              <w:kinsoku/>
              <w:wordWrap/>
              <w:overflowPunct/>
              <w:topLinePunct w:val="0"/>
              <w:autoSpaceDE/>
              <w:autoSpaceDN/>
              <w:bidi w:val="0"/>
              <w:spacing w:line="280" w:lineRule="exact"/>
              <w:jc w:val="center"/>
              <w:textAlignment w:val="auto"/>
              <w:rPr>
                <w:rFonts w:cs="Times New Roman"/>
                <w:bCs/>
                <w:color w:val="auto"/>
                <w:szCs w:val="21"/>
              </w:rPr>
            </w:pPr>
            <w:r>
              <w:rPr>
                <w:rFonts w:cs="Times New Roman"/>
                <w:bCs/>
                <w:color w:val="auto"/>
                <w:szCs w:val="21"/>
              </w:rPr>
              <w:t>食堂油烟</w:t>
            </w:r>
          </w:p>
        </w:tc>
        <w:tc>
          <w:tcPr>
            <w:tcW w:w="1059" w:type="dxa"/>
            <w:vAlign w:val="center"/>
          </w:tcPr>
          <w:p w14:paraId="4F6C8D0F">
            <w:pPr>
              <w:keepNext w:val="0"/>
              <w:keepLines w:val="0"/>
              <w:pageBreakBefore w:val="0"/>
              <w:widowControl w:val="0"/>
              <w:kinsoku/>
              <w:wordWrap/>
              <w:overflowPunct/>
              <w:topLinePunct w:val="0"/>
              <w:autoSpaceDE/>
              <w:autoSpaceDN/>
              <w:bidi w:val="0"/>
              <w:spacing w:line="280" w:lineRule="exact"/>
              <w:jc w:val="center"/>
              <w:textAlignment w:val="auto"/>
              <w:rPr>
                <w:rFonts w:cs="Times New Roman"/>
                <w:color w:val="auto"/>
                <w:szCs w:val="21"/>
              </w:rPr>
            </w:pPr>
            <w:r>
              <w:rPr>
                <w:rFonts w:cs="Times New Roman"/>
                <w:color w:val="auto"/>
                <w:szCs w:val="21"/>
              </w:rPr>
              <w:t>油烟</w:t>
            </w:r>
          </w:p>
        </w:tc>
        <w:tc>
          <w:tcPr>
            <w:tcW w:w="3512" w:type="dxa"/>
            <w:vAlign w:val="center"/>
          </w:tcPr>
          <w:p w14:paraId="081391F0">
            <w:pPr>
              <w:keepNext w:val="0"/>
              <w:keepLines w:val="0"/>
              <w:pageBreakBefore w:val="0"/>
              <w:widowControl w:val="0"/>
              <w:tabs>
                <w:tab w:val="left" w:pos="993"/>
                <w:tab w:val="left" w:pos="1134"/>
              </w:tabs>
              <w:kinsoku/>
              <w:wordWrap/>
              <w:overflowPunct/>
              <w:topLinePunct w:val="0"/>
              <w:autoSpaceDE/>
              <w:autoSpaceDN/>
              <w:bidi w:val="0"/>
              <w:spacing w:line="280" w:lineRule="exact"/>
              <w:jc w:val="left"/>
              <w:textAlignment w:val="auto"/>
              <w:rPr>
                <w:rFonts w:cs="Times New Roman"/>
                <w:bCs/>
                <w:color w:val="auto"/>
                <w:szCs w:val="21"/>
              </w:rPr>
            </w:pPr>
            <w:r>
              <w:rPr>
                <w:rFonts w:cs="Times New Roman"/>
                <w:color w:val="auto"/>
                <w:szCs w:val="21"/>
                <w:lang w:bidi="ar"/>
              </w:rPr>
              <w:t>安装1台自带油烟净化功能的抽油烟机</w:t>
            </w:r>
            <w:r>
              <w:rPr>
                <w:rFonts w:cs="Times New Roman"/>
                <w:bCs/>
                <w:color w:val="auto"/>
                <w:szCs w:val="21"/>
              </w:rPr>
              <w:t>处理食堂油烟，处理后外排</w:t>
            </w:r>
          </w:p>
        </w:tc>
        <w:tc>
          <w:tcPr>
            <w:tcW w:w="1700" w:type="dxa"/>
            <w:vAlign w:val="center"/>
          </w:tcPr>
          <w:p w14:paraId="538060DD">
            <w:pPr>
              <w:keepNext w:val="0"/>
              <w:keepLines w:val="0"/>
              <w:pageBreakBefore w:val="0"/>
              <w:widowControl w:val="0"/>
              <w:kinsoku/>
              <w:wordWrap/>
              <w:overflowPunct/>
              <w:topLinePunct w:val="0"/>
              <w:autoSpaceDE/>
              <w:autoSpaceDN/>
              <w:bidi w:val="0"/>
              <w:spacing w:line="280" w:lineRule="exact"/>
              <w:jc w:val="center"/>
              <w:textAlignment w:val="auto"/>
              <w:rPr>
                <w:rFonts w:cs="Times New Roman"/>
                <w:color w:val="auto"/>
                <w:szCs w:val="21"/>
              </w:rPr>
            </w:pPr>
            <w:r>
              <w:rPr>
                <w:rFonts w:cs="Times New Roman"/>
                <w:color w:val="auto"/>
                <w:szCs w:val="21"/>
              </w:rPr>
              <w:t>/</w:t>
            </w:r>
          </w:p>
        </w:tc>
      </w:tr>
      <w:tr w14:paraId="19709F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70" w:hRule="atLeast"/>
          <w:jc w:val="center"/>
        </w:trPr>
        <w:tc>
          <w:tcPr>
            <w:tcW w:w="1362" w:type="dxa"/>
            <w:vMerge w:val="restart"/>
            <w:vAlign w:val="center"/>
          </w:tcPr>
          <w:p w14:paraId="596AC123">
            <w:pPr>
              <w:keepNext w:val="0"/>
              <w:keepLines w:val="0"/>
              <w:pageBreakBefore w:val="0"/>
              <w:widowControl w:val="0"/>
              <w:kinsoku/>
              <w:wordWrap/>
              <w:overflowPunct/>
              <w:topLinePunct w:val="0"/>
              <w:autoSpaceDE/>
              <w:autoSpaceDN/>
              <w:bidi w:val="0"/>
              <w:spacing w:line="280" w:lineRule="exact"/>
              <w:jc w:val="center"/>
              <w:textAlignment w:val="auto"/>
              <w:rPr>
                <w:rFonts w:cs="Times New Roman"/>
                <w:color w:val="auto"/>
                <w:szCs w:val="21"/>
              </w:rPr>
            </w:pPr>
            <w:r>
              <w:rPr>
                <w:rFonts w:cs="Times New Roman"/>
                <w:color w:val="auto"/>
                <w:szCs w:val="21"/>
              </w:rPr>
              <w:t>地表水环境</w:t>
            </w:r>
          </w:p>
        </w:tc>
        <w:tc>
          <w:tcPr>
            <w:tcW w:w="1716" w:type="dxa"/>
            <w:vAlign w:val="center"/>
          </w:tcPr>
          <w:p w14:paraId="0A9D0106">
            <w:pPr>
              <w:keepNext w:val="0"/>
              <w:keepLines w:val="0"/>
              <w:pageBreakBefore w:val="0"/>
              <w:widowControl w:val="0"/>
              <w:kinsoku/>
              <w:wordWrap/>
              <w:overflowPunct/>
              <w:topLinePunct w:val="0"/>
              <w:autoSpaceDE/>
              <w:autoSpaceDN/>
              <w:bidi w:val="0"/>
              <w:adjustRightInd w:val="0"/>
              <w:snapToGrid w:val="0"/>
              <w:spacing w:line="280" w:lineRule="exact"/>
              <w:ind w:left="-48" w:leftChars="-23" w:right="-36" w:rightChars="-17"/>
              <w:jc w:val="center"/>
              <w:textAlignment w:val="auto"/>
              <w:rPr>
                <w:rFonts w:cs="Times New Roman"/>
                <w:snapToGrid w:val="0"/>
                <w:color w:val="auto"/>
                <w:kern w:val="0"/>
                <w:szCs w:val="21"/>
              </w:rPr>
            </w:pPr>
            <w:r>
              <w:rPr>
                <w:rFonts w:cs="Times New Roman"/>
                <w:snapToGrid w:val="0"/>
                <w:color w:val="auto"/>
                <w:kern w:val="0"/>
                <w:szCs w:val="21"/>
              </w:rPr>
              <w:t>生产废水</w:t>
            </w:r>
          </w:p>
        </w:tc>
        <w:tc>
          <w:tcPr>
            <w:tcW w:w="1059" w:type="dxa"/>
            <w:vAlign w:val="center"/>
          </w:tcPr>
          <w:p w14:paraId="6F8C9FFC">
            <w:pPr>
              <w:keepNext w:val="0"/>
              <w:keepLines w:val="0"/>
              <w:pageBreakBefore w:val="0"/>
              <w:widowControl w:val="0"/>
              <w:kinsoku/>
              <w:wordWrap/>
              <w:overflowPunct/>
              <w:topLinePunct w:val="0"/>
              <w:autoSpaceDE/>
              <w:autoSpaceDN/>
              <w:bidi w:val="0"/>
              <w:spacing w:line="280" w:lineRule="exact"/>
              <w:jc w:val="center"/>
              <w:textAlignment w:val="auto"/>
              <w:rPr>
                <w:rFonts w:cs="Times New Roman"/>
                <w:color w:val="auto"/>
                <w:szCs w:val="21"/>
              </w:rPr>
            </w:pPr>
            <w:r>
              <w:rPr>
                <w:rFonts w:cs="Times New Roman"/>
                <w:color w:val="auto"/>
                <w:szCs w:val="21"/>
              </w:rPr>
              <w:t>SS</w:t>
            </w:r>
          </w:p>
        </w:tc>
        <w:tc>
          <w:tcPr>
            <w:tcW w:w="3512" w:type="dxa"/>
            <w:vAlign w:val="center"/>
          </w:tcPr>
          <w:p w14:paraId="08905246">
            <w:pPr>
              <w:keepNext w:val="0"/>
              <w:keepLines w:val="0"/>
              <w:pageBreakBefore w:val="0"/>
              <w:widowControl w:val="0"/>
              <w:kinsoku/>
              <w:wordWrap/>
              <w:overflowPunct/>
              <w:topLinePunct w:val="0"/>
              <w:autoSpaceDE/>
              <w:autoSpaceDN/>
              <w:bidi w:val="0"/>
              <w:spacing w:line="280" w:lineRule="exact"/>
              <w:jc w:val="left"/>
              <w:textAlignment w:val="auto"/>
              <w:rPr>
                <w:rFonts w:cs="Times New Roman"/>
                <w:color w:val="auto"/>
                <w:szCs w:val="21"/>
              </w:rPr>
            </w:pPr>
            <w:r>
              <w:rPr>
                <w:rFonts w:hint="eastAsia" w:cs="Times New Roman"/>
                <w:snapToGrid w:val="0"/>
                <w:color w:val="auto"/>
                <w:kern w:val="0"/>
                <w:szCs w:val="21"/>
                <w:highlight w:val="none"/>
                <w:lang w:eastAsia="zh-CN"/>
              </w:rPr>
              <w:t>生产车间</w:t>
            </w:r>
            <w:r>
              <w:rPr>
                <w:rFonts w:cs="Times New Roman"/>
                <w:color w:val="auto"/>
                <w:szCs w:val="21"/>
                <w:highlight w:val="none"/>
              </w:rPr>
              <w:t>东侧设置一套污水循环处理系统，废水经排水沟收集至沉砂池</w:t>
            </w:r>
            <w:r>
              <w:rPr>
                <w:rFonts w:cs="Times New Roman"/>
                <w:color w:val="auto"/>
                <w:kern w:val="0"/>
                <w:szCs w:val="21"/>
                <w:highlight w:val="none"/>
                <w:lang w:bidi="ar"/>
              </w:rPr>
              <w:t>（</w:t>
            </w:r>
            <w:r>
              <w:rPr>
                <w:rFonts w:hint="eastAsia" w:cs="Times New Roman"/>
                <w:color w:val="auto"/>
                <w:kern w:val="0"/>
                <w:szCs w:val="21"/>
                <w:highlight w:val="none"/>
                <w:lang w:val="en-US" w:eastAsia="zh-CN" w:bidi="ar"/>
              </w:rPr>
              <w:t>1</w:t>
            </w:r>
            <w:r>
              <w:rPr>
                <w:rFonts w:cs="Times New Roman"/>
                <w:color w:val="auto"/>
                <w:kern w:val="0"/>
                <w:szCs w:val="21"/>
                <w:highlight w:val="none"/>
                <w:lang w:bidi="ar"/>
              </w:rPr>
              <w:t>个</w:t>
            </w:r>
            <w:r>
              <w:rPr>
                <w:rFonts w:hint="eastAsia" w:cs="Times New Roman"/>
                <w:color w:val="auto"/>
                <w:kern w:val="0"/>
                <w:szCs w:val="21"/>
                <w:highlight w:val="none"/>
                <w:lang w:val="en-US" w:eastAsia="zh-CN" w:bidi="ar"/>
              </w:rPr>
              <w:t>1</w:t>
            </w:r>
            <w:r>
              <w:rPr>
                <w:rFonts w:cs="Times New Roman"/>
                <w:color w:val="auto"/>
                <w:kern w:val="0"/>
                <w:szCs w:val="21"/>
                <w:highlight w:val="none"/>
                <w:lang w:bidi="ar"/>
              </w:rPr>
              <w:t>0m</w:t>
            </w:r>
            <w:r>
              <w:rPr>
                <w:rFonts w:cs="Times New Roman"/>
                <w:color w:val="auto"/>
                <w:kern w:val="0"/>
                <w:szCs w:val="21"/>
                <w:highlight w:val="none"/>
                <w:vertAlign w:val="superscript"/>
                <w:lang w:bidi="ar"/>
              </w:rPr>
              <w:t>3</w:t>
            </w:r>
            <w:r>
              <w:rPr>
                <w:rFonts w:cs="Times New Roman"/>
                <w:color w:val="auto"/>
                <w:kern w:val="0"/>
                <w:szCs w:val="21"/>
                <w:highlight w:val="none"/>
                <w:lang w:bidi="ar"/>
              </w:rPr>
              <w:t>）+螺旋绞砂机（</w:t>
            </w:r>
            <w:r>
              <w:rPr>
                <w:rFonts w:hint="eastAsia" w:cs="Times New Roman"/>
                <w:color w:val="auto"/>
                <w:kern w:val="0"/>
                <w:szCs w:val="21"/>
                <w:highlight w:val="none"/>
                <w:lang w:val="en-US" w:eastAsia="zh-CN" w:bidi="ar"/>
              </w:rPr>
              <w:t>1</w:t>
            </w:r>
            <w:r>
              <w:rPr>
                <w:rFonts w:cs="Times New Roman"/>
                <w:color w:val="auto"/>
                <w:kern w:val="0"/>
                <w:szCs w:val="21"/>
                <w:highlight w:val="none"/>
                <w:lang w:bidi="ar"/>
              </w:rPr>
              <w:t>台）+</w:t>
            </w:r>
            <w:r>
              <w:rPr>
                <w:rFonts w:hint="eastAsia" w:cs="Times New Roman"/>
                <w:color w:val="auto"/>
                <w:kern w:val="0"/>
                <w:szCs w:val="21"/>
                <w:highlight w:val="none"/>
                <w:lang w:eastAsia="zh-CN" w:bidi="ar"/>
              </w:rPr>
              <w:t>三</w:t>
            </w:r>
            <w:r>
              <w:rPr>
                <w:rFonts w:cs="Times New Roman"/>
                <w:color w:val="auto"/>
                <w:kern w:val="0"/>
                <w:szCs w:val="21"/>
                <w:highlight w:val="none"/>
                <w:lang w:bidi="ar"/>
              </w:rPr>
              <w:t>级沉淀池（</w:t>
            </w:r>
            <w:r>
              <w:rPr>
                <w:rFonts w:hint="eastAsia" w:cs="Times New Roman"/>
                <w:color w:val="auto"/>
                <w:kern w:val="0"/>
                <w:szCs w:val="21"/>
                <w:highlight w:val="none"/>
                <w:lang w:val="en-US" w:eastAsia="zh-CN" w:bidi="ar"/>
              </w:rPr>
              <w:t>3</w:t>
            </w:r>
            <w:r>
              <w:rPr>
                <w:rFonts w:cs="Times New Roman"/>
                <w:color w:val="auto"/>
                <w:kern w:val="0"/>
                <w:szCs w:val="21"/>
                <w:highlight w:val="none"/>
                <w:lang w:bidi="ar"/>
              </w:rPr>
              <w:t>个共</w:t>
            </w:r>
            <w:r>
              <w:rPr>
                <w:rFonts w:hint="eastAsia" w:cs="Times New Roman"/>
                <w:color w:val="auto"/>
                <w:kern w:val="0"/>
                <w:szCs w:val="21"/>
                <w:highlight w:val="none"/>
                <w:lang w:val="en-US" w:eastAsia="zh-CN" w:bidi="ar"/>
              </w:rPr>
              <w:t>405</w:t>
            </w:r>
            <w:r>
              <w:rPr>
                <w:rFonts w:cs="Times New Roman"/>
                <w:color w:val="auto"/>
                <w:kern w:val="0"/>
                <w:szCs w:val="21"/>
                <w:highlight w:val="none"/>
                <w:lang w:bidi="ar"/>
              </w:rPr>
              <w:t>m</w:t>
            </w:r>
            <w:r>
              <w:rPr>
                <w:rFonts w:cs="Times New Roman"/>
                <w:color w:val="auto"/>
                <w:kern w:val="0"/>
                <w:szCs w:val="21"/>
                <w:highlight w:val="none"/>
                <w:vertAlign w:val="superscript"/>
                <w:lang w:bidi="ar"/>
              </w:rPr>
              <w:t>3</w:t>
            </w:r>
            <w:r>
              <w:rPr>
                <w:rFonts w:cs="Times New Roman"/>
                <w:color w:val="auto"/>
                <w:kern w:val="0"/>
                <w:szCs w:val="21"/>
                <w:highlight w:val="none"/>
                <w:lang w:bidi="ar"/>
              </w:rPr>
              <w:t>）+</w:t>
            </w:r>
            <w:r>
              <w:rPr>
                <w:rFonts w:hint="eastAsia" w:cs="Times New Roman"/>
                <w:color w:val="auto"/>
                <w:kern w:val="0"/>
                <w:szCs w:val="21"/>
                <w:highlight w:val="none"/>
                <w:lang w:eastAsia="zh-CN" w:bidi="ar"/>
              </w:rPr>
              <w:t>絮凝剂</w:t>
            </w:r>
            <w:r>
              <w:rPr>
                <w:rFonts w:cs="Times New Roman"/>
                <w:color w:val="auto"/>
                <w:kern w:val="0"/>
                <w:szCs w:val="21"/>
                <w:highlight w:val="none"/>
                <w:lang w:bidi="ar"/>
              </w:rPr>
              <w:t>+板框压滤机（1台）处理后回用于生产，不外排。</w:t>
            </w:r>
            <w:r>
              <w:rPr>
                <w:rFonts w:cs="Times New Roman"/>
                <w:color w:val="auto"/>
                <w:szCs w:val="21"/>
                <w:highlight w:val="none"/>
              </w:rPr>
              <w:t>各排水沟及池体均采取混凝土结构，并设置顶棚。</w:t>
            </w:r>
          </w:p>
        </w:tc>
        <w:tc>
          <w:tcPr>
            <w:tcW w:w="1700" w:type="dxa"/>
            <w:vAlign w:val="center"/>
          </w:tcPr>
          <w:p w14:paraId="5AE340F3">
            <w:pPr>
              <w:keepNext w:val="0"/>
              <w:keepLines w:val="0"/>
              <w:pageBreakBefore w:val="0"/>
              <w:widowControl w:val="0"/>
              <w:kinsoku/>
              <w:wordWrap/>
              <w:overflowPunct/>
              <w:topLinePunct w:val="0"/>
              <w:autoSpaceDE/>
              <w:autoSpaceDN/>
              <w:bidi w:val="0"/>
              <w:spacing w:line="280" w:lineRule="exact"/>
              <w:jc w:val="center"/>
              <w:textAlignment w:val="auto"/>
              <w:rPr>
                <w:rFonts w:cs="Times New Roman"/>
                <w:color w:val="auto"/>
                <w:szCs w:val="21"/>
              </w:rPr>
            </w:pPr>
            <w:r>
              <w:rPr>
                <w:rFonts w:cs="Times New Roman"/>
                <w:color w:val="auto"/>
                <w:szCs w:val="21"/>
              </w:rPr>
              <w:t>循环使用，严禁外排</w:t>
            </w:r>
          </w:p>
        </w:tc>
      </w:tr>
      <w:tr w14:paraId="24802B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70" w:hRule="atLeast"/>
          <w:jc w:val="center"/>
        </w:trPr>
        <w:tc>
          <w:tcPr>
            <w:tcW w:w="1362" w:type="dxa"/>
            <w:vMerge w:val="continue"/>
            <w:vAlign w:val="center"/>
          </w:tcPr>
          <w:p w14:paraId="24A139AD">
            <w:pPr>
              <w:keepNext w:val="0"/>
              <w:keepLines w:val="0"/>
              <w:pageBreakBefore w:val="0"/>
              <w:widowControl w:val="0"/>
              <w:kinsoku/>
              <w:wordWrap/>
              <w:overflowPunct/>
              <w:topLinePunct w:val="0"/>
              <w:autoSpaceDE/>
              <w:autoSpaceDN/>
              <w:bidi w:val="0"/>
              <w:spacing w:line="280" w:lineRule="exact"/>
              <w:jc w:val="center"/>
              <w:textAlignment w:val="auto"/>
              <w:rPr>
                <w:rFonts w:cs="Times New Roman"/>
                <w:color w:val="auto"/>
                <w:szCs w:val="21"/>
              </w:rPr>
            </w:pPr>
          </w:p>
        </w:tc>
        <w:tc>
          <w:tcPr>
            <w:tcW w:w="1716" w:type="dxa"/>
            <w:vAlign w:val="center"/>
          </w:tcPr>
          <w:p w14:paraId="5E3C2296">
            <w:pPr>
              <w:keepNext w:val="0"/>
              <w:keepLines w:val="0"/>
              <w:pageBreakBefore w:val="0"/>
              <w:widowControl w:val="0"/>
              <w:kinsoku/>
              <w:wordWrap/>
              <w:overflowPunct/>
              <w:topLinePunct w:val="0"/>
              <w:autoSpaceDE/>
              <w:autoSpaceDN/>
              <w:bidi w:val="0"/>
              <w:adjustRightInd w:val="0"/>
              <w:snapToGrid w:val="0"/>
              <w:spacing w:line="280" w:lineRule="exact"/>
              <w:ind w:left="-48" w:leftChars="-23" w:right="-36" w:rightChars="-17"/>
              <w:jc w:val="center"/>
              <w:textAlignment w:val="auto"/>
              <w:rPr>
                <w:rFonts w:cs="Times New Roman"/>
                <w:color w:val="auto"/>
                <w:szCs w:val="21"/>
              </w:rPr>
            </w:pPr>
            <w:r>
              <w:rPr>
                <w:rFonts w:cs="Times New Roman"/>
                <w:color w:val="auto"/>
                <w:szCs w:val="21"/>
              </w:rPr>
              <w:t>生活污水、</w:t>
            </w:r>
          </w:p>
          <w:p w14:paraId="17A1594E">
            <w:pPr>
              <w:keepNext w:val="0"/>
              <w:keepLines w:val="0"/>
              <w:pageBreakBefore w:val="0"/>
              <w:widowControl w:val="0"/>
              <w:kinsoku/>
              <w:wordWrap/>
              <w:overflowPunct/>
              <w:topLinePunct w:val="0"/>
              <w:autoSpaceDE/>
              <w:autoSpaceDN/>
              <w:bidi w:val="0"/>
              <w:adjustRightInd w:val="0"/>
              <w:snapToGrid w:val="0"/>
              <w:spacing w:line="280" w:lineRule="exact"/>
              <w:ind w:left="-48" w:leftChars="-23" w:right="-36" w:rightChars="-17"/>
              <w:jc w:val="center"/>
              <w:textAlignment w:val="auto"/>
              <w:rPr>
                <w:rFonts w:cs="Times New Roman"/>
                <w:bCs/>
                <w:color w:val="auto"/>
                <w:szCs w:val="21"/>
              </w:rPr>
            </w:pPr>
            <w:r>
              <w:rPr>
                <w:rFonts w:cs="Times New Roman"/>
                <w:color w:val="auto"/>
                <w:szCs w:val="21"/>
              </w:rPr>
              <w:t>食堂废水</w:t>
            </w:r>
          </w:p>
        </w:tc>
        <w:tc>
          <w:tcPr>
            <w:tcW w:w="1059" w:type="dxa"/>
            <w:vAlign w:val="center"/>
          </w:tcPr>
          <w:p w14:paraId="51DBF402">
            <w:pPr>
              <w:keepNext w:val="0"/>
              <w:keepLines w:val="0"/>
              <w:pageBreakBefore w:val="0"/>
              <w:widowControl w:val="0"/>
              <w:kinsoku/>
              <w:wordWrap/>
              <w:overflowPunct/>
              <w:topLinePunct w:val="0"/>
              <w:autoSpaceDE/>
              <w:autoSpaceDN/>
              <w:bidi w:val="0"/>
              <w:spacing w:line="280" w:lineRule="exact"/>
              <w:jc w:val="center"/>
              <w:textAlignment w:val="auto"/>
              <w:rPr>
                <w:rFonts w:cs="Times New Roman"/>
                <w:color w:val="auto"/>
                <w:szCs w:val="21"/>
              </w:rPr>
            </w:pPr>
            <w:r>
              <w:rPr>
                <w:rFonts w:cs="Times New Roman"/>
                <w:color w:val="auto"/>
                <w:szCs w:val="21"/>
              </w:rPr>
              <w:t>pH、COD、BOD</w:t>
            </w:r>
            <w:r>
              <w:rPr>
                <w:rFonts w:cs="Times New Roman"/>
                <w:color w:val="auto"/>
                <w:szCs w:val="21"/>
                <w:vertAlign w:val="subscript"/>
              </w:rPr>
              <w:t>5</w:t>
            </w:r>
            <w:r>
              <w:rPr>
                <w:rFonts w:cs="Times New Roman"/>
                <w:color w:val="auto"/>
                <w:szCs w:val="21"/>
              </w:rPr>
              <w:t>、NH</w:t>
            </w:r>
            <w:r>
              <w:rPr>
                <w:rFonts w:cs="Times New Roman"/>
                <w:color w:val="auto"/>
                <w:szCs w:val="21"/>
                <w:vertAlign w:val="subscript"/>
              </w:rPr>
              <w:t>3</w:t>
            </w:r>
            <w:r>
              <w:rPr>
                <w:rFonts w:cs="Times New Roman"/>
                <w:color w:val="auto"/>
                <w:szCs w:val="21"/>
              </w:rPr>
              <w:t>-N、动植物油</w:t>
            </w:r>
          </w:p>
        </w:tc>
        <w:tc>
          <w:tcPr>
            <w:tcW w:w="3512" w:type="dxa"/>
            <w:vAlign w:val="center"/>
          </w:tcPr>
          <w:p w14:paraId="4BB15DD8">
            <w:pPr>
              <w:keepNext w:val="0"/>
              <w:keepLines w:val="0"/>
              <w:pageBreakBefore w:val="0"/>
              <w:widowControl w:val="0"/>
              <w:kinsoku/>
              <w:wordWrap/>
              <w:overflowPunct/>
              <w:topLinePunct w:val="0"/>
              <w:autoSpaceDE/>
              <w:autoSpaceDN/>
              <w:bidi w:val="0"/>
              <w:spacing w:line="280" w:lineRule="exact"/>
              <w:jc w:val="left"/>
              <w:textAlignment w:val="auto"/>
              <w:rPr>
                <w:rFonts w:cs="Times New Roman"/>
                <w:snapToGrid w:val="0"/>
                <w:color w:val="auto"/>
                <w:kern w:val="0"/>
                <w:szCs w:val="21"/>
                <w:highlight w:val="none"/>
              </w:rPr>
            </w:pPr>
            <w:r>
              <w:rPr>
                <w:rFonts w:cs="Times New Roman"/>
                <w:snapToGrid w:val="0"/>
                <w:color w:val="auto"/>
                <w:kern w:val="0"/>
                <w:szCs w:val="21"/>
                <w:highlight w:val="none"/>
              </w:rPr>
              <w:t>食堂废水经隔油处理后同生活污水一同排入半挂车项目</w:t>
            </w:r>
            <w:r>
              <w:rPr>
                <w:rFonts w:hint="eastAsia" w:cs="Times New Roman"/>
                <w:snapToGrid w:val="0"/>
                <w:color w:val="auto"/>
                <w:kern w:val="0"/>
                <w:szCs w:val="21"/>
                <w:highlight w:val="none"/>
                <w:lang w:val="en-US" w:eastAsia="zh-CN"/>
              </w:rPr>
              <w:t>1号车间已建</w:t>
            </w:r>
            <w:r>
              <w:rPr>
                <w:rFonts w:cs="Times New Roman"/>
                <w:snapToGrid w:val="0"/>
                <w:color w:val="auto"/>
                <w:kern w:val="0"/>
                <w:szCs w:val="21"/>
                <w:highlight w:val="none"/>
              </w:rPr>
              <w:t>的化粪池处理后，</w:t>
            </w:r>
            <w:r>
              <w:rPr>
                <w:rFonts w:hint="default" w:cs="Times New Roman"/>
                <w:snapToGrid w:val="0"/>
                <w:color w:val="auto"/>
                <w:kern w:val="0"/>
                <w:szCs w:val="21"/>
                <w:highlight w:val="none"/>
                <w:lang w:val="en-US" w:eastAsia="zh-CN"/>
              </w:rPr>
              <w:t>定期经罐车拉运至东岳镇生活污水处理厂处理达《城镇污水处理厂污染物排放标准》（GB18918-2002）一级A标准后通过污水管网排入双龙河，待东岳镇污水处理厂及配套管网建成后，通过市政污水管网排入东岳镇工业园区污水处理厂处理</w:t>
            </w:r>
            <w:r>
              <w:rPr>
                <w:rFonts w:hint="eastAsia" w:cs="Times New Roman"/>
                <w:snapToGrid w:val="0"/>
                <w:color w:val="auto"/>
                <w:kern w:val="0"/>
                <w:szCs w:val="21"/>
                <w:highlight w:val="none"/>
                <w:lang w:val="en-US" w:eastAsia="zh-CN"/>
              </w:rPr>
              <w:t>。</w:t>
            </w:r>
          </w:p>
        </w:tc>
        <w:tc>
          <w:tcPr>
            <w:tcW w:w="1700" w:type="dxa"/>
            <w:vAlign w:val="center"/>
          </w:tcPr>
          <w:p w14:paraId="78A24C3F">
            <w:pPr>
              <w:keepNext w:val="0"/>
              <w:keepLines w:val="0"/>
              <w:pageBreakBefore w:val="0"/>
              <w:widowControl w:val="0"/>
              <w:kinsoku/>
              <w:wordWrap/>
              <w:overflowPunct/>
              <w:topLinePunct w:val="0"/>
              <w:autoSpaceDE/>
              <w:autoSpaceDN/>
              <w:bidi w:val="0"/>
              <w:spacing w:line="280" w:lineRule="exact"/>
              <w:jc w:val="center"/>
              <w:textAlignment w:val="auto"/>
              <w:rPr>
                <w:rFonts w:cs="Times New Roman"/>
                <w:color w:val="auto"/>
                <w:szCs w:val="21"/>
                <w:highlight w:val="none"/>
              </w:rPr>
            </w:pPr>
            <w:r>
              <w:rPr>
                <w:rFonts w:cs="Times New Roman"/>
                <w:color w:val="auto"/>
                <w:szCs w:val="21"/>
                <w:highlight w:val="none"/>
              </w:rPr>
              <w:t>/</w:t>
            </w:r>
          </w:p>
        </w:tc>
      </w:tr>
      <w:tr w14:paraId="70B3F5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35" w:hRule="atLeast"/>
          <w:jc w:val="center"/>
        </w:trPr>
        <w:tc>
          <w:tcPr>
            <w:tcW w:w="1362" w:type="dxa"/>
            <w:vMerge w:val="restart"/>
            <w:vAlign w:val="center"/>
          </w:tcPr>
          <w:p w14:paraId="0FCEA499">
            <w:pPr>
              <w:keepNext w:val="0"/>
              <w:keepLines w:val="0"/>
              <w:pageBreakBefore w:val="0"/>
              <w:widowControl w:val="0"/>
              <w:kinsoku/>
              <w:wordWrap/>
              <w:overflowPunct/>
              <w:topLinePunct w:val="0"/>
              <w:autoSpaceDE/>
              <w:autoSpaceDN/>
              <w:bidi w:val="0"/>
              <w:spacing w:line="280" w:lineRule="exact"/>
              <w:jc w:val="center"/>
              <w:textAlignment w:val="auto"/>
              <w:rPr>
                <w:rFonts w:cs="Times New Roman"/>
                <w:color w:val="auto"/>
                <w:szCs w:val="21"/>
              </w:rPr>
            </w:pPr>
            <w:r>
              <w:rPr>
                <w:rFonts w:cs="Times New Roman"/>
                <w:color w:val="auto"/>
                <w:szCs w:val="21"/>
              </w:rPr>
              <w:t>声环境</w:t>
            </w:r>
          </w:p>
        </w:tc>
        <w:tc>
          <w:tcPr>
            <w:tcW w:w="1716" w:type="dxa"/>
            <w:vAlign w:val="center"/>
          </w:tcPr>
          <w:p w14:paraId="664902F4">
            <w:pPr>
              <w:keepNext w:val="0"/>
              <w:keepLines w:val="0"/>
              <w:pageBreakBefore w:val="0"/>
              <w:widowControl w:val="0"/>
              <w:kinsoku/>
              <w:wordWrap/>
              <w:overflowPunct/>
              <w:topLinePunct w:val="0"/>
              <w:autoSpaceDE/>
              <w:autoSpaceDN/>
              <w:bidi w:val="0"/>
              <w:spacing w:line="280" w:lineRule="exact"/>
              <w:jc w:val="center"/>
              <w:textAlignment w:val="auto"/>
              <w:rPr>
                <w:rFonts w:cs="Times New Roman"/>
                <w:color w:val="auto"/>
                <w:szCs w:val="21"/>
              </w:rPr>
            </w:pPr>
            <w:r>
              <w:rPr>
                <w:rFonts w:cs="Times New Roman"/>
                <w:color w:val="auto"/>
                <w:szCs w:val="21"/>
              </w:rPr>
              <w:t>车辆噪声</w:t>
            </w:r>
          </w:p>
        </w:tc>
        <w:tc>
          <w:tcPr>
            <w:tcW w:w="1059" w:type="dxa"/>
            <w:vAlign w:val="center"/>
          </w:tcPr>
          <w:p w14:paraId="6213C597">
            <w:pPr>
              <w:keepNext w:val="0"/>
              <w:keepLines w:val="0"/>
              <w:pageBreakBefore w:val="0"/>
              <w:widowControl w:val="0"/>
              <w:kinsoku/>
              <w:wordWrap/>
              <w:overflowPunct/>
              <w:topLinePunct w:val="0"/>
              <w:autoSpaceDE/>
              <w:autoSpaceDN/>
              <w:bidi w:val="0"/>
              <w:spacing w:line="280" w:lineRule="exact"/>
              <w:jc w:val="center"/>
              <w:textAlignment w:val="auto"/>
              <w:rPr>
                <w:rFonts w:cs="Times New Roman"/>
                <w:color w:val="auto"/>
                <w:szCs w:val="21"/>
              </w:rPr>
            </w:pPr>
            <w:r>
              <w:rPr>
                <w:rFonts w:cs="Times New Roman"/>
                <w:color w:val="auto"/>
                <w:szCs w:val="21"/>
              </w:rPr>
              <w:t>噪声</w:t>
            </w:r>
          </w:p>
        </w:tc>
        <w:tc>
          <w:tcPr>
            <w:tcW w:w="3512" w:type="dxa"/>
            <w:vAlign w:val="center"/>
          </w:tcPr>
          <w:p w14:paraId="024E26DC">
            <w:pPr>
              <w:keepNext w:val="0"/>
              <w:keepLines w:val="0"/>
              <w:pageBreakBefore w:val="0"/>
              <w:widowControl w:val="0"/>
              <w:kinsoku/>
              <w:wordWrap/>
              <w:overflowPunct/>
              <w:topLinePunct w:val="0"/>
              <w:autoSpaceDE/>
              <w:autoSpaceDN/>
              <w:bidi w:val="0"/>
              <w:spacing w:line="280" w:lineRule="exact"/>
              <w:jc w:val="center"/>
              <w:textAlignment w:val="auto"/>
              <w:rPr>
                <w:rFonts w:cs="Times New Roman"/>
                <w:color w:val="auto"/>
                <w:szCs w:val="21"/>
              </w:rPr>
            </w:pPr>
            <w:r>
              <w:rPr>
                <w:rFonts w:cs="Times New Roman"/>
                <w:color w:val="auto"/>
                <w:szCs w:val="21"/>
              </w:rPr>
              <w:t>禁止超速、超载，减速慢行</w:t>
            </w:r>
          </w:p>
        </w:tc>
        <w:tc>
          <w:tcPr>
            <w:tcW w:w="1700" w:type="dxa"/>
            <w:vMerge w:val="restart"/>
            <w:vAlign w:val="center"/>
          </w:tcPr>
          <w:p w14:paraId="31E730F9">
            <w:pPr>
              <w:keepNext w:val="0"/>
              <w:keepLines w:val="0"/>
              <w:pageBreakBefore w:val="0"/>
              <w:widowControl w:val="0"/>
              <w:kinsoku/>
              <w:wordWrap/>
              <w:overflowPunct/>
              <w:topLinePunct w:val="0"/>
              <w:autoSpaceDE/>
              <w:autoSpaceDN/>
              <w:bidi w:val="0"/>
              <w:spacing w:line="280" w:lineRule="exact"/>
              <w:jc w:val="center"/>
              <w:textAlignment w:val="auto"/>
              <w:rPr>
                <w:rFonts w:hint="eastAsia" w:cs="Times New Roman"/>
                <w:color w:val="auto"/>
                <w:szCs w:val="21"/>
                <w:lang w:val="en-US" w:eastAsia="zh-CN"/>
              </w:rPr>
            </w:pPr>
            <w:r>
              <w:rPr>
                <w:rFonts w:cs="Times New Roman"/>
                <w:color w:val="auto"/>
                <w:szCs w:val="21"/>
              </w:rPr>
              <w:t>《工业企业厂界环境噪声排放标准》</w:t>
            </w:r>
            <w:r>
              <w:rPr>
                <w:rFonts w:hint="eastAsia" w:cs="Times New Roman"/>
                <w:color w:val="auto"/>
                <w:szCs w:val="21"/>
                <w:lang w:val="en-US" w:eastAsia="zh-CN"/>
              </w:rPr>
              <w:t>(</w:t>
            </w:r>
            <w:r>
              <w:rPr>
                <w:rFonts w:cs="Times New Roman"/>
                <w:color w:val="auto"/>
                <w:szCs w:val="21"/>
              </w:rPr>
              <w:t>GB12348-2008</w:t>
            </w:r>
            <w:r>
              <w:rPr>
                <w:rFonts w:hint="eastAsia" w:cs="Times New Roman"/>
                <w:color w:val="auto"/>
                <w:szCs w:val="21"/>
                <w:lang w:val="en-US" w:eastAsia="zh-CN"/>
              </w:rPr>
              <w:t>)</w:t>
            </w:r>
          </w:p>
          <w:p w14:paraId="63535340">
            <w:pPr>
              <w:keepNext w:val="0"/>
              <w:keepLines w:val="0"/>
              <w:pageBreakBefore w:val="0"/>
              <w:widowControl w:val="0"/>
              <w:kinsoku/>
              <w:wordWrap/>
              <w:overflowPunct/>
              <w:topLinePunct w:val="0"/>
              <w:autoSpaceDE/>
              <w:autoSpaceDN/>
              <w:bidi w:val="0"/>
              <w:spacing w:line="280" w:lineRule="exact"/>
              <w:jc w:val="center"/>
              <w:textAlignment w:val="auto"/>
              <w:rPr>
                <w:rFonts w:cs="Times New Roman"/>
                <w:color w:val="auto"/>
                <w:szCs w:val="21"/>
              </w:rPr>
            </w:pPr>
            <w:r>
              <w:rPr>
                <w:rFonts w:hint="eastAsia" w:cs="Times New Roman"/>
                <w:color w:val="auto"/>
                <w:szCs w:val="21"/>
                <w:lang w:val="en-US" w:eastAsia="zh-CN"/>
              </w:rPr>
              <w:t>3</w:t>
            </w:r>
            <w:r>
              <w:rPr>
                <w:rFonts w:cs="Times New Roman"/>
                <w:color w:val="auto"/>
                <w:szCs w:val="21"/>
              </w:rPr>
              <w:t>类标准</w:t>
            </w:r>
          </w:p>
        </w:tc>
      </w:tr>
      <w:tr w14:paraId="20822F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70" w:hRule="atLeast"/>
          <w:jc w:val="center"/>
        </w:trPr>
        <w:tc>
          <w:tcPr>
            <w:tcW w:w="1362" w:type="dxa"/>
            <w:vMerge w:val="continue"/>
            <w:vAlign w:val="center"/>
          </w:tcPr>
          <w:p w14:paraId="59317242">
            <w:pPr>
              <w:keepNext w:val="0"/>
              <w:keepLines w:val="0"/>
              <w:pageBreakBefore w:val="0"/>
              <w:widowControl w:val="0"/>
              <w:kinsoku/>
              <w:wordWrap/>
              <w:overflowPunct/>
              <w:topLinePunct w:val="0"/>
              <w:autoSpaceDE/>
              <w:autoSpaceDN/>
              <w:bidi w:val="0"/>
              <w:spacing w:line="280" w:lineRule="exact"/>
              <w:jc w:val="center"/>
              <w:textAlignment w:val="auto"/>
              <w:rPr>
                <w:rFonts w:cs="Times New Roman"/>
                <w:color w:val="auto"/>
                <w:szCs w:val="21"/>
              </w:rPr>
            </w:pPr>
          </w:p>
        </w:tc>
        <w:tc>
          <w:tcPr>
            <w:tcW w:w="1716" w:type="dxa"/>
            <w:vAlign w:val="center"/>
          </w:tcPr>
          <w:p w14:paraId="1DFBC5E4">
            <w:pPr>
              <w:keepNext w:val="0"/>
              <w:keepLines w:val="0"/>
              <w:pageBreakBefore w:val="0"/>
              <w:widowControl w:val="0"/>
              <w:kinsoku/>
              <w:wordWrap/>
              <w:overflowPunct/>
              <w:topLinePunct w:val="0"/>
              <w:autoSpaceDE/>
              <w:autoSpaceDN/>
              <w:bidi w:val="0"/>
              <w:spacing w:line="280" w:lineRule="exact"/>
              <w:jc w:val="center"/>
              <w:textAlignment w:val="auto"/>
              <w:rPr>
                <w:rFonts w:cs="Times New Roman"/>
                <w:color w:val="auto"/>
                <w:szCs w:val="21"/>
              </w:rPr>
            </w:pPr>
            <w:r>
              <w:rPr>
                <w:rFonts w:cs="Times New Roman"/>
                <w:color w:val="auto"/>
                <w:szCs w:val="21"/>
              </w:rPr>
              <w:t>设备噪声</w:t>
            </w:r>
          </w:p>
        </w:tc>
        <w:tc>
          <w:tcPr>
            <w:tcW w:w="1059" w:type="dxa"/>
            <w:vAlign w:val="center"/>
          </w:tcPr>
          <w:p w14:paraId="3AA8411E">
            <w:pPr>
              <w:keepNext w:val="0"/>
              <w:keepLines w:val="0"/>
              <w:pageBreakBefore w:val="0"/>
              <w:widowControl w:val="0"/>
              <w:kinsoku/>
              <w:wordWrap/>
              <w:overflowPunct/>
              <w:topLinePunct w:val="0"/>
              <w:autoSpaceDE/>
              <w:autoSpaceDN/>
              <w:bidi w:val="0"/>
              <w:spacing w:line="280" w:lineRule="exact"/>
              <w:jc w:val="center"/>
              <w:textAlignment w:val="auto"/>
              <w:rPr>
                <w:rFonts w:cs="Times New Roman"/>
                <w:color w:val="auto"/>
                <w:szCs w:val="21"/>
              </w:rPr>
            </w:pPr>
            <w:r>
              <w:rPr>
                <w:rFonts w:cs="Times New Roman"/>
                <w:color w:val="auto"/>
                <w:szCs w:val="21"/>
              </w:rPr>
              <w:t>噪声</w:t>
            </w:r>
          </w:p>
        </w:tc>
        <w:tc>
          <w:tcPr>
            <w:tcW w:w="3512" w:type="dxa"/>
            <w:vAlign w:val="center"/>
          </w:tcPr>
          <w:p w14:paraId="70433203">
            <w:pPr>
              <w:keepNext w:val="0"/>
              <w:keepLines w:val="0"/>
              <w:pageBreakBefore w:val="0"/>
              <w:widowControl w:val="0"/>
              <w:kinsoku/>
              <w:wordWrap/>
              <w:overflowPunct/>
              <w:topLinePunct w:val="0"/>
              <w:autoSpaceDE/>
              <w:autoSpaceDN/>
              <w:bidi w:val="0"/>
              <w:spacing w:line="280" w:lineRule="exact"/>
              <w:jc w:val="center"/>
              <w:textAlignment w:val="auto"/>
              <w:rPr>
                <w:rFonts w:cs="Times New Roman"/>
                <w:color w:val="auto"/>
                <w:szCs w:val="21"/>
              </w:rPr>
            </w:pPr>
            <w:r>
              <w:rPr>
                <w:rFonts w:cs="Times New Roman"/>
                <w:color w:val="auto"/>
                <w:szCs w:val="21"/>
              </w:rPr>
              <w:t>选低噪声设备，采取基础减振、隔声措施</w:t>
            </w:r>
          </w:p>
        </w:tc>
        <w:tc>
          <w:tcPr>
            <w:tcW w:w="1700" w:type="dxa"/>
            <w:vMerge w:val="continue"/>
            <w:vAlign w:val="center"/>
          </w:tcPr>
          <w:p w14:paraId="4C42E0D6">
            <w:pPr>
              <w:keepNext w:val="0"/>
              <w:keepLines w:val="0"/>
              <w:pageBreakBefore w:val="0"/>
              <w:widowControl w:val="0"/>
              <w:kinsoku/>
              <w:wordWrap/>
              <w:overflowPunct/>
              <w:topLinePunct w:val="0"/>
              <w:autoSpaceDE/>
              <w:autoSpaceDN/>
              <w:bidi w:val="0"/>
              <w:spacing w:line="280" w:lineRule="exact"/>
              <w:jc w:val="center"/>
              <w:textAlignment w:val="auto"/>
              <w:rPr>
                <w:rFonts w:cs="Times New Roman"/>
                <w:color w:val="auto"/>
                <w:szCs w:val="21"/>
              </w:rPr>
            </w:pPr>
          </w:p>
        </w:tc>
      </w:tr>
      <w:tr w14:paraId="0FDAAA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380" w:hRule="atLeast"/>
          <w:jc w:val="center"/>
        </w:trPr>
        <w:tc>
          <w:tcPr>
            <w:tcW w:w="1362" w:type="dxa"/>
            <w:vAlign w:val="center"/>
          </w:tcPr>
          <w:p w14:paraId="212E1C02">
            <w:pPr>
              <w:keepNext w:val="0"/>
              <w:keepLines w:val="0"/>
              <w:pageBreakBefore w:val="0"/>
              <w:widowControl w:val="0"/>
              <w:kinsoku/>
              <w:wordWrap/>
              <w:overflowPunct/>
              <w:topLinePunct w:val="0"/>
              <w:autoSpaceDE/>
              <w:autoSpaceDN/>
              <w:bidi w:val="0"/>
              <w:spacing w:line="280" w:lineRule="exact"/>
              <w:jc w:val="center"/>
              <w:textAlignment w:val="auto"/>
              <w:rPr>
                <w:rFonts w:cs="Times New Roman"/>
                <w:color w:val="auto"/>
                <w:szCs w:val="21"/>
              </w:rPr>
            </w:pPr>
            <w:r>
              <w:rPr>
                <w:rFonts w:cs="Times New Roman"/>
                <w:color w:val="auto"/>
                <w:szCs w:val="21"/>
              </w:rPr>
              <w:t>电磁辐射</w:t>
            </w:r>
          </w:p>
        </w:tc>
        <w:tc>
          <w:tcPr>
            <w:tcW w:w="1716" w:type="dxa"/>
            <w:vAlign w:val="center"/>
          </w:tcPr>
          <w:p w14:paraId="394EC861">
            <w:pPr>
              <w:keepNext w:val="0"/>
              <w:keepLines w:val="0"/>
              <w:pageBreakBefore w:val="0"/>
              <w:widowControl w:val="0"/>
              <w:kinsoku/>
              <w:wordWrap/>
              <w:overflowPunct/>
              <w:topLinePunct w:val="0"/>
              <w:autoSpaceDE/>
              <w:autoSpaceDN/>
              <w:bidi w:val="0"/>
              <w:spacing w:line="280" w:lineRule="exact"/>
              <w:jc w:val="center"/>
              <w:textAlignment w:val="auto"/>
              <w:rPr>
                <w:rFonts w:cs="Times New Roman"/>
                <w:color w:val="auto"/>
                <w:szCs w:val="21"/>
              </w:rPr>
            </w:pPr>
            <w:r>
              <w:rPr>
                <w:rFonts w:cs="Times New Roman"/>
                <w:color w:val="auto"/>
                <w:szCs w:val="21"/>
              </w:rPr>
              <w:t>/</w:t>
            </w:r>
          </w:p>
        </w:tc>
        <w:tc>
          <w:tcPr>
            <w:tcW w:w="1059" w:type="dxa"/>
            <w:vAlign w:val="center"/>
          </w:tcPr>
          <w:p w14:paraId="496C0182">
            <w:pPr>
              <w:keepNext w:val="0"/>
              <w:keepLines w:val="0"/>
              <w:pageBreakBefore w:val="0"/>
              <w:widowControl w:val="0"/>
              <w:kinsoku/>
              <w:wordWrap/>
              <w:overflowPunct/>
              <w:topLinePunct w:val="0"/>
              <w:autoSpaceDE/>
              <w:autoSpaceDN/>
              <w:bidi w:val="0"/>
              <w:spacing w:line="280" w:lineRule="exact"/>
              <w:jc w:val="center"/>
              <w:textAlignment w:val="auto"/>
              <w:rPr>
                <w:rFonts w:cs="Times New Roman"/>
                <w:color w:val="auto"/>
                <w:szCs w:val="21"/>
              </w:rPr>
            </w:pPr>
            <w:r>
              <w:rPr>
                <w:rFonts w:cs="Times New Roman"/>
                <w:color w:val="auto"/>
                <w:szCs w:val="21"/>
              </w:rPr>
              <w:t>/</w:t>
            </w:r>
          </w:p>
        </w:tc>
        <w:tc>
          <w:tcPr>
            <w:tcW w:w="3512" w:type="dxa"/>
            <w:vAlign w:val="center"/>
          </w:tcPr>
          <w:p w14:paraId="66DA874D">
            <w:pPr>
              <w:keepNext w:val="0"/>
              <w:keepLines w:val="0"/>
              <w:pageBreakBefore w:val="0"/>
              <w:widowControl w:val="0"/>
              <w:kinsoku/>
              <w:wordWrap/>
              <w:overflowPunct/>
              <w:topLinePunct w:val="0"/>
              <w:autoSpaceDE/>
              <w:autoSpaceDN/>
              <w:bidi w:val="0"/>
              <w:spacing w:line="280" w:lineRule="exact"/>
              <w:jc w:val="center"/>
              <w:textAlignment w:val="auto"/>
              <w:rPr>
                <w:rFonts w:cs="Times New Roman"/>
                <w:color w:val="auto"/>
                <w:szCs w:val="21"/>
              </w:rPr>
            </w:pPr>
            <w:r>
              <w:rPr>
                <w:rFonts w:cs="Times New Roman"/>
                <w:color w:val="auto"/>
                <w:szCs w:val="21"/>
              </w:rPr>
              <w:t>/</w:t>
            </w:r>
          </w:p>
        </w:tc>
        <w:tc>
          <w:tcPr>
            <w:tcW w:w="1700" w:type="dxa"/>
            <w:vAlign w:val="center"/>
          </w:tcPr>
          <w:p w14:paraId="2C415F5B">
            <w:pPr>
              <w:keepNext w:val="0"/>
              <w:keepLines w:val="0"/>
              <w:pageBreakBefore w:val="0"/>
              <w:widowControl w:val="0"/>
              <w:kinsoku/>
              <w:wordWrap/>
              <w:overflowPunct/>
              <w:topLinePunct w:val="0"/>
              <w:autoSpaceDE/>
              <w:autoSpaceDN/>
              <w:bidi w:val="0"/>
              <w:spacing w:line="280" w:lineRule="exact"/>
              <w:jc w:val="center"/>
              <w:textAlignment w:val="auto"/>
              <w:rPr>
                <w:rFonts w:cs="Times New Roman"/>
                <w:color w:val="auto"/>
                <w:szCs w:val="21"/>
              </w:rPr>
            </w:pPr>
            <w:r>
              <w:rPr>
                <w:rFonts w:cs="Times New Roman"/>
                <w:color w:val="auto"/>
                <w:szCs w:val="21"/>
              </w:rPr>
              <w:t>/</w:t>
            </w:r>
          </w:p>
        </w:tc>
      </w:tr>
      <w:tr w14:paraId="71ECC6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70" w:hRule="atLeast"/>
          <w:jc w:val="center"/>
        </w:trPr>
        <w:tc>
          <w:tcPr>
            <w:tcW w:w="1362" w:type="dxa"/>
            <w:vAlign w:val="center"/>
          </w:tcPr>
          <w:p w14:paraId="7ED18B34">
            <w:pPr>
              <w:keepNext w:val="0"/>
              <w:keepLines w:val="0"/>
              <w:pageBreakBefore w:val="0"/>
              <w:widowControl w:val="0"/>
              <w:kinsoku/>
              <w:wordWrap/>
              <w:overflowPunct/>
              <w:topLinePunct w:val="0"/>
              <w:autoSpaceDE/>
              <w:autoSpaceDN/>
              <w:bidi w:val="0"/>
              <w:spacing w:line="280" w:lineRule="exact"/>
              <w:jc w:val="center"/>
              <w:textAlignment w:val="auto"/>
              <w:rPr>
                <w:rFonts w:cs="Times New Roman"/>
                <w:color w:val="auto"/>
                <w:szCs w:val="21"/>
              </w:rPr>
            </w:pPr>
            <w:r>
              <w:rPr>
                <w:rFonts w:cs="Times New Roman"/>
                <w:color w:val="auto"/>
                <w:szCs w:val="21"/>
              </w:rPr>
              <w:t>固体废物</w:t>
            </w:r>
          </w:p>
        </w:tc>
        <w:tc>
          <w:tcPr>
            <w:tcW w:w="7987" w:type="dxa"/>
            <w:gridSpan w:val="4"/>
            <w:vAlign w:val="center"/>
          </w:tcPr>
          <w:p w14:paraId="17EEBD3B">
            <w:pPr>
              <w:keepNext w:val="0"/>
              <w:keepLines w:val="0"/>
              <w:pageBreakBefore w:val="0"/>
              <w:widowControl w:val="0"/>
              <w:kinsoku/>
              <w:wordWrap/>
              <w:overflowPunct/>
              <w:topLinePunct w:val="0"/>
              <w:autoSpaceDE/>
              <w:autoSpaceDN/>
              <w:bidi w:val="0"/>
              <w:spacing w:line="280" w:lineRule="exact"/>
              <w:ind w:firstLine="420" w:firstLineChars="200"/>
              <w:textAlignment w:val="auto"/>
              <w:rPr>
                <w:rFonts w:cs="Times New Roman"/>
                <w:color w:val="auto"/>
                <w:szCs w:val="21"/>
              </w:rPr>
            </w:pPr>
            <w:r>
              <w:rPr>
                <w:rFonts w:cs="Times New Roman"/>
                <w:color w:val="auto"/>
                <w:szCs w:val="21"/>
              </w:rPr>
              <w:t>生活垃圾经袋装收集后定期交由环卫部门统一清运；经压滤机压滤后的泥饼</w:t>
            </w:r>
            <w:r>
              <w:rPr>
                <w:rFonts w:cs="Times New Roman"/>
                <w:color w:val="auto"/>
              </w:rPr>
              <w:t>直接掉入下方车中运走</w:t>
            </w:r>
            <w:r>
              <w:rPr>
                <w:rFonts w:cs="Times New Roman"/>
                <w:color w:val="auto"/>
                <w:szCs w:val="21"/>
              </w:rPr>
              <w:t>，外售制砖；</w:t>
            </w:r>
            <w:r>
              <w:rPr>
                <w:rFonts w:hint="eastAsia" w:cs="Times New Roman"/>
                <w:color w:val="auto"/>
                <w:szCs w:val="21"/>
              </w:rPr>
              <w:t>废边角料</w:t>
            </w:r>
            <w:r>
              <w:rPr>
                <w:rFonts w:cs="Times New Roman"/>
                <w:color w:val="auto"/>
                <w:szCs w:val="21"/>
              </w:rPr>
              <w:t>送至砂厂制砂；螺旋绞砂机选出的砂外售。废机油暂存于危废暂存间，定期交由有资质的单位进行处理。</w:t>
            </w:r>
          </w:p>
        </w:tc>
      </w:tr>
      <w:tr w14:paraId="01E3DB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70" w:hRule="atLeast"/>
          <w:jc w:val="center"/>
        </w:trPr>
        <w:tc>
          <w:tcPr>
            <w:tcW w:w="1362" w:type="dxa"/>
            <w:vAlign w:val="center"/>
          </w:tcPr>
          <w:p w14:paraId="79609120">
            <w:pPr>
              <w:keepNext w:val="0"/>
              <w:keepLines w:val="0"/>
              <w:pageBreakBefore w:val="0"/>
              <w:widowControl w:val="0"/>
              <w:kinsoku/>
              <w:wordWrap/>
              <w:overflowPunct/>
              <w:topLinePunct w:val="0"/>
              <w:autoSpaceDE/>
              <w:autoSpaceDN/>
              <w:bidi w:val="0"/>
              <w:spacing w:line="280" w:lineRule="exact"/>
              <w:jc w:val="center"/>
              <w:textAlignment w:val="auto"/>
              <w:rPr>
                <w:rFonts w:cs="Times New Roman"/>
                <w:color w:val="auto"/>
                <w:szCs w:val="21"/>
              </w:rPr>
            </w:pPr>
            <w:r>
              <w:rPr>
                <w:rFonts w:cs="Times New Roman"/>
                <w:color w:val="auto"/>
                <w:szCs w:val="21"/>
              </w:rPr>
              <w:t>土壤及地下水污染防治措施</w:t>
            </w:r>
          </w:p>
        </w:tc>
        <w:tc>
          <w:tcPr>
            <w:tcW w:w="7987" w:type="dxa"/>
            <w:gridSpan w:val="4"/>
            <w:vAlign w:val="center"/>
          </w:tcPr>
          <w:p w14:paraId="41E9425E">
            <w:pPr>
              <w:keepNext w:val="0"/>
              <w:keepLines w:val="0"/>
              <w:pageBreakBefore w:val="0"/>
              <w:widowControl w:val="0"/>
              <w:kinsoku/>
              <w:wordWrap/>
              <w:overflowPunct/>
              <w:topLinePunct w:val="0"/>
              <w:autoSpaceDE/>
              <w:autoSpaceDN/>
              <w:bidi w:val="0"/>
              <w:spacing w:line="280" w:lineRule="exact"/>
              <w:ind w:firstLine="420" w:firstLineChars="200"/>
              <w:textAlignment w:val="auto"/>
              <w:rPr>
                <w:rFonts w:cs="Times New Roman"/>
                <w:color w:val="auto"/>
                <w:szCs w:val="21"/>
              </w:rPr>
            </w:pPr>
            <w:r>
              <w:rPr>
                <w:rFonts w:cs="Times New Roman"/>
                <w:color w:val="auto"/>
                <w:szCs w:val="21"/>
              </w:rPr>
              <w:t>重点防渗区</w:t>
            </w:r>
            <w:r>
              <w:rPr>
                <w:rFonts w:cs="Times New Roman"/>
                <w:color w:val="auto"/>
              </w:rPr>
              <w:t>采用</w:t>
            </w:r>
            <w:r>
              <w:rPr>
                <w:rFonts w:cs="Times New Roman"/>
                <w:color w:val="auto"/>
                <w:szCs w:val="21"/>
                <w:lang w:bidi="ar"/>
              </w:rPr>
              <w:t>25cmC30</w:t>
            </w:r>
            <w:r>
              <w:rPr>
                <w:rFonts w:cs="Times New Roman"/>
                <w:color w:val="auto"/>
                <w:szCs w:val="21"/>
              </w:rPr>
              <w:t>防渗混凝土+黏土防渗层，一般防渗区采用</w:t>
            </w:r>
            <w:r>
              <w:rPr>
                <w:rFonts w:cs="Times New Roman"/>
                <w:color w:val="auto"/>
                <w:szCs w:val="21"/>
                <w:lang w:bidi="ar"/>
              </w:rPr>
              <w:t>25cmC30</w:t>
            </w:r>
            <w:r>
              <w:rPr>
                <w:rFonts w:cs="Times New Roman"/>
                <w:color w:val="auto"/>
                <w:szCs w:val="21"/>
              </w:rPr>
              <w:t>防渗混凝土+黏土防渗层，简单防渗区采取水泥地面硬化。</w:t>
            </w:r>
          </w:p>
        </w:tc>
      </w:tr>
      <w:tr w14:paraId="69D364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70" w:hRule="atLeast"/>
          <w:jc w:val="center"/>
        </w:trPr>
        <w:tc>
          <w:tcPr>
            <w:tcW w:w="1362" w:type="dxa"/>
            <w:vAlign w:val="center"/>
          </w:tcPr>
          <w:p w14:paraId="3268E100">
            <w:pPr>
              <w:keepNext w:val="0"/>
              <w:keepLines w:val="0"/>
              <w:pageBreakBefore w:val="0"/>
              <w:widowControl w:val="0"/>
              <w:kinsoku/>
              <w:wordWrap/>
              <w:overflowPunct/>
              <w:topLinePunct w:val="0"/>
              <w:autoSpaceDE/>
              <w:autoSpaceDN/>
              <w:bidi w:val="0"/>
              <w:spacing w:line="280" w:lineRule="exact"/>
              <w:jc w:val="center"/>
              <w:textAlignment w:val="auto"/>
              <w:rPr>
                <w:rFonts w:cs="Times New Roman"/>
                <w:color w:val="auto"/>
                <w:szCs w:val="21"/>
              </w:rPr>
            </w:pPr>
            <w:r>
              <w:rPr>
                <w:rFonts w:cs="Times New Roman"/>
                <w:color w:val="auto"/>
                <w:szCs w:val="21"/>
              </w:rPr>
              <w:t>生态保护措施</w:t>
            </w:r>
          </w:p>
        </w:tc>
        <w:tc>
          <w:tcPr>
            <w:tcW w:w="7987" w:type="dxa"/>
            <w:gridSpan w:val="4"/>
            <w:vAlign w:val="center"/>
          </w:tcPr>
          <w:p w14:paraId="3E767904">
            <w:pPr>
              <w:keepNext w:val="0"/>
              <w:keepLines w:val="0"/>
              <w:pageBreakBefore w:val="0"/>
              <w:widowControl w:val="0"/>
              <w:kinsoku/>
              <w:wordWrap/>
              <w:overflowPunct/>
              <w:topLinePunct w:val="0"/>
              <w:autoSpaceDE/>
              <w:autoSpaceDN/>
              <w:bidi w:val="0"/>
              <w:spacing w:line="280" w:lineRule="exact"/>
              <w:jc w:val="center"/>
              <w:textAlignment w:val="auto"/>
              <w:rPr>
                <w:rFonts w:cs="Times New Roman"/>
                <w:color w:val="auto"/>
                <w:szCs w:val="21"/>
              </w:rPr>
            </w:pPr>
            <w:r>
              <w:rPr>
                <w:rFonts w:cs="Times New Roman"/>
                <w:color w:val="auto"/>
                <w:szCs w:val="21"/>
              </w:rPr>
              <w:t>/</w:t>
            </w:r>
          </w:p>
        </w:tc>
      </w:tr>
      <w:tr w14:paraId="59B45C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70" w:hRule="atLeast"/>
          <w:jc w:val="center"/>
        </w:trPr>
        <w:tc>
          <w:tcPr>
            <w:tcW w:w="1362" w:type="dxa"/>
            <w:vAlign w:val="center"/>
          </w:tcPr>
          <w:p w14:paraId="2F6093B7">
            <w:pPr>
              <w:keepNext w:val="0"/>
              <w:keepLines w:val="0"/>
              <w:pageBreakBefore w:val="0"/>
              <w:widowControl w:val="0"/>
              <w:kinsoku/>
              <w:wordWrap/>
              <w:overflowPunct/>
              <w:topLinePunct w:val="0"/>
              <w:autoSpaceDE/>
              <w:autoSpaceDN/>
              <w:bidi w:val="0"/>
              <w:spacing w:line="280" w:lineRule="exact"/>
              <w:jc w:val="center"/>
              <w:textAlignment w:val="auto"/>
              <w:rPr>
                <w:rFonts w:cs="Times New Roman"/>
                <w:color w:val="auto"/>
                <w:szCs w:val="21"/>
              </w:rPr>
            </w:pPr>
            <w:r>
              <w:rPr>
                <w:rFonts w:cs="Times New Roman"/>
                <w:color w:val="auto"/>
                <w:szCs w:val="21"/>
              </w:rPr>
              <w:t>环境风险</w:t>
            </w:r>
          </w:p>
          <w:p w14:paraId="27E42944">
            <w:pPr>
              <w:keepNext w:val="0"/>
              <w:keepLines w:val="0"/>
              <w:pageBreakBefore w:val="0"/>
              <w:widowControl w:val="0"/>
              <w:kinsoku/>
              <w:wordWrap/>
              <w:overflowPunct/>
              <w:topLinePunct w:val="0"/>
              <w:autoSpaceDE/>
              <w:autoSpaceDN/>
              <w:bidi w:val="0"/>
              <w:spacing w:line="280" w:lineRule="exact"/>
              <w:jc w:val="center"/>
              <w:textAlignment w:val="auto"/>
              <w:rPr>
                <w:rFonts w:cs="Times New Roman"/>
                <w:color w:val="auto"/>
                <w:szCs w:val="21"/>
              </w:rPr>
            </w:pPr>
            <w:r>
              <w:rPr>
                <w:rFonts w:cs="Times New Roman"/>
                <w:color w:val="auto"/>
                <w:szCs w:val="21"/>
              </w:rPr>
              <w:t>防范措施</w:t>
            </w:r>
          </w:p>
        </w:tc>
        <w:tc>
          <w:tcPr>
            <w:tcW w:w="7987" w:type="dxa"/>
            <w:gridSpan w:val="4"/>
            <w:vAlign w:val="center"/>
          </w:tcPr>
          <w:p w14:paraId="09859239">
            <w:pPr>
              <w:keepNext w:val="0"/>
              <w:keepLines w:val="0"/>
              <w:pageBreakBefore w:val="0"/>
              <w:widowControl w:val="0"/>
              <w:kinsoku/>
              <w:wordWrap/>
              <w:overflowPunct/>
              <w:topLinePunct w:val="0"/>
              <w:autoSpaceDE/>
              <w:autoSpaceDN/>
              <w:bidi w:val="0"/>
              <w:spacing w:line="280" w:lineRule="exact"/>
              <w:ind w:firstLine="420" w:firstLineChars="200"/>
              <w:textAlignment w:val="auto"/>
              <w:rPr>
                <w:rFonts w:cs="Times New Roman"/>
                <w:color w:val="auto"/>
                <w:szCs w:val="21"/>
              </w:rPr>
            </w:pPr>
            <w:r>
              <w:rPr>
                <w:rFonts w:cs="Times New Roman"/>
                <w:color w:val="auto"/>
                <w:szCs w:val="21"/>
              </w:rPr>
              <w:t>将各类沉淀池修建为地下式，四周及池底为</w:t>
            </w:r>
            <w:r>
              <w:rPr>
                <w:rFonts w:hint="eastAsia" w:cs="Times New Roman"/>
                <w:color w:val="auto"/>
                <w:szCs w:val="21"/>
              </w:rPr>
              <w:t>混凝土</w:t>
            </w:r>
            <w:r>
              <w:rPr>
                <w:rFonts w:cs="Times New Roman"/>
                <w:color w:val="auto"/>
                <w:szCs w:val="21"/>
              </w:rPr>
              <w:t>结构，并采取防渗漏处理；沉淀沉渣清掏作业尽量安排专人进行操作指导，避免误操作损坏池体围堰，发生事故排放；设置警示标识，配备相应数量灭火器，开展员工安全培训；加强污染防治设施管理和维护；危废暂存间做好地面防渗、防漏措施，设置备用收容设施。</w:t>
            </w:r>
          </w:p>
        </w:tc>
      </w:tr>
      <w:tr w14:paraId="70B80C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1362" w:type="dxa"/>
            <w:vAlign w:val="center"/>
          </w:tcPr>
          <w:p w14:paraId="1E8BEF14">
            <w:pPr>
              <w:keepNext w:val="0"/>
              <w:keepLines w:val="0"/>
              <w:pageBreakBefore w:val="0"/>
              <w:widowControl w:val="0"/>
              <w:kinsoku/>
              <w:wordWrap/>
              <w:overflowPunct/>
              <w:topLinePunct w:val="0"/>
              <w:autoSpaceDE/>
              <w:autoSpaceDN/>
              <w:bidi w:val="0"/>
              <w:spacing w:line="280" w:lineRule="exact"/>
              <w:jc w:val="center"/>
              <w:textAlignment w:val="auto"/>
              <w:rPr>
                <w:rFonts w:cs="Times New Roman"/>
                <w:color w:val="auto"/>
                <w:szCs w:val="21"/>
              </w:rPr>
            </w:pPr>
            <w:r>
              <w:rPr>
                <w:rFonts w:cs="Times New Roman"/>
                <w:color w:val="auto"/>
                <w:szCs w:val="21"/>
              </w:rPr>
              <w:t>其他环境</w:t>
            </w:r>
          </w:p>
          <w:p w14:paraId="569A3C22">
            <w:pPr>
              <w:keepNext w:val="0"/>
              <w:keepLines w:val="0"/>
              <w:pageBreakBefore w:val="0"/>
              <w:widowControl w:val="0"/>
              <w:kinsoku/>
              <w:wordWrap/>
              <w:overflowPunct/>
              <w:topLinePunct w:val="0"/>
              <w:autoSpaceDE/>
              <w:autoSpaceDN/>
              <w:bidi w:val="0"/>
              <w:spacing w:line="280" w:lineRule="exact"/>
              <w:jc w:val="center"/>
              <w:textAlignment w:val="auto"/>
              <w:rPr>
                <w:rFonts w:cs="Times New Roman"/>
                <w:color w:val="auto"/>
                <w:szCs w:val="21"/>
              </w:rPr>
            </w:pPr>
            <w:r>
              <w:rPr>
                <w:rFonts w:cs="Times New Roman"/>
                <w:color w:val="auto"/>
                <w:szCs w:val="21"/>
              </w:rPr>
              <w:t>管理要求</w:t>
            </w:r>
          </w:p>
        </w:tc>
        <w:tc>
          <w:tcPr>
            <w:tcW w:w="7987" w:type="dxa"/>
            <w:gridSpan w:val="4"/>
            <w:vAlign w:val="center"/>
          </w:tcPr>
          <w:p w14:paraId="120C15AA">
            <w:pPr>
              <w:keepNext w:val="0"/>
              <w:keepLines w:val="0"/>
              <w:pageBreakBefore w:val="0"/>
              <w:widowControl w:val="0"/>
              <w:kinsoku/>
              <w:wordWrap/>
              <w:overflowPunct/>
              <w:topLinePunct w:val="0"/>
              <w:autoSpaceDE/>
              <w:autoSpaceDN/>
              <w:bidi w:val="0"/>
              <w:spacing w:line="280" w:lineRule="exact"/>
              <w:textAlignment w:val="auto"/>
              <w:rPr>
                <w:rFonts w:cs="Times New Roman"/>
                <w:color w:val="auto"/>
                <w:szCs w:val="21"/>
              </w:rPr>
            </w:pPr>
          </w:p>
          <w:p w14:paraId="5763846B">
            <w:pPr>
              <w:keepNext w:val="0"/>
              <w:keepLines w:val="0"/>
              <w:pageBreakBefore w:val="0"/>
              <w:widowControl w:val="0"/>
              <w:kinsoku/>
              <w:wordWrap/>
              <w:overflowPunct/>
              <w:topLinePunct w:val="0"/>
              <w:autoSpaceDE/>
              <w:autoSpaceDN/>
              <w:bidi w:val="0"/>
              <w:spacing w:line="280" w:lineRule="exact"/>
              <w:textAlignment w:val="auto"/>
              <w:rPr>
                <w:rFonts w:cs="Times New Roman"/>
                <w:color w:val="auto"/>
                <w:szCs w:val="21"/>
              </w:rPr>
            </w:pPr>
          </w:p>
        </w:tc>
      </w:tr>
    </w:tbl>
    <w:p w14:paraId="56C86343">
      <w:pPr>
        <w:spacing w:line="360" w:lineRule="auto"/>
        <w:rPr>
          <w:rFonts w:cs="Times New Roman"/>
          <w:b/>
          <w:color w:val="auto"/>
          <w:sz w:val="28"/>
          <w:szCs w:val="28"/>
        </w:rPr>
        <w:sectPr>
          <w:pgSz w:w="11906" w:h="16838"/>
          <w:pgMar w:top="1134" w:right="1134" w:bottom="1134" w:left="1418" w:header="851" w:footer="992" w:gutter="0"/>
          <w:pgBorders>
            <w:top w:val="none" w:sz="0" w:space="0"/>
            <w:left w:val="none" w:sz="0" w:space="0"/>
            <w:bottom w:val="none" w:sz="0" w:space="0"/>
            <w:right w:val="none" w:sz="0" w:space="0"/>
          </w:pgBorders>
          <w:pgNumType w:fmt="numberInDash"/>
          <w:cols w:space="720" w:num="1"/>
          <w:docGrid w:type="lines" w:linePitch="312" w:charSpace="0"/>
        </w:sectPr>
      </w:pPr>
    </w:p>
    <w:p w14:paraId="646829B2">
      <w:pPr>
        <w:pStyle w:val="58"/>
        <w:jc w:val="center"/>
        <w:rPr>
          <w:rFonts w:ascii="黑体" w:hAnsi="黑体" w:eastAsia="黑体"/>
          <w:b w:val="0"/>
          <w:color w:val="auto"/>
          <w:sz w:val="30"/>
          <w:szCs w:val="30"/>
        </w:rPr>
      </w:pPr>
      <w:bookmarkStart w:id="9" w:name="_Toc28378"/>
      <w:r>
        <w:rPr>
          <w:rFonts w:hint="eastAsia" w:ascii="黑体" w:hAnsi="黑体" w:eastAsia="黑体"/>
          <w:b w:val="0"/>
          <w:color w:val="auto"/>
          <w:sz w:val="30"/>
          <w:szCs w:val="30"/>
        </w:rPr>
        <w:t>六、结论</w:t>
      </w:r>
      <w:bookmarkEnd w:id="9"/>
    </w:p>
    <w:tbl>
      <w:tblPr>
        <w:tblStyle w:val="24"/>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9344"/>
      </w:tblGrid>
      <w:tr w14:paraId="29373A1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9344" w:type="dxa"/>
            <w:shd w:val="clear" w:color="auto" w:fill="auto"/>
          </w:tcPr>
          <w:p w14:paraId="261F66A0">
            <w:pPr>
              <w:spacing w:line="360" w:lineRule="auto"/>
              <w:ind w:firstLine="482" w:firstLineChars="200"/>
              <w:rPr>
                <w:rFonts w:cs="Times New Roman"/>
                <w:b/>
                <w:bCs/>
                <w:color w:val="auto"/>
                <w:sz w:val="24"/>
                <w:szCs w:val="24"/>
              </w:rPr>
            </w:pPr>
            <w:r>
              <w:rPr>
                <w:rFonts w:cs="Times New Roman"/>
                <w:b/>
                <w:bCs/>
                <w:color w:val="auto"/>
                <w:sz w:val="24"/>
                <w:szCs w:val="24"/>
              </w:rPr>
              <w:t>1、建设项目环境可行性结论</w:t>
            </w:r>
          </w:p>
          <w:p w14:paraId="5CED006C">
            <w:pPr>
              <w:spacing w:line="360" w:lineRule="auto"/>
              <w:ind w:firstLine="480" w:firstLineChars="200"/>
              <w:rPr>
                <w:rFonts w:cs="Times New Roman"/>
                <w:color w:val="auto"/>
                <w:sz w:val="24"/>
                <w:szCs w:val="24"/>
              </w:rPr>
            </w:pPr>
            <w:r>
              <w:rPr>
                <w:rFonts w:hint="eastAsia" w:cs="Times New Roman"/>
                <w:color w:val="auto"/>
                <w:sz w:val="24"/>
                <w:szCs w:val="24"/>
                <w:lang w:eastAsia="zh-CN"/>
              </w:rPr>
              <w:t>达州鼎磊装饰用石切割雕刻生产线建设项目</w:t>
            </w:r>
            <w:r>
              <w:rPr>
                <w:rFonts w:cs="Times New Roman"/>
                <w:color w:val="auto"/>
                <w:sz w:val="24"/>
                <w:szCs w:val="24"/>
              </w:rPr>
              <w:t>建设符合国家产业政策，符合当地用地规划，项目建设区域无明显环境制约因素，选址合理，总</w:t>
            </w:r>
            <w:r>
              <w:rPr>
                <w:rFonts w:hint="eastAsia" w:cs="Times New Roman"/>
                <w:color w:val="auto"/>
                <w:sz w:val="24"/>
                <w:szCs w:val="24"/>
                <w:lang w:eastAsia="zh-CN"/>
              </w:rPr>
              <w:t>平面布置</w:t>
            </w:r>
            <w:r>
              <w:rPr>
                <w:rFonts w:cs="Times New Roman"/>
                <w:color w:val="auto"/>
                <w:sz w:val="24"/>
                <w:szCs w:val="24"/>
              </w:rPr>
              <w:t>合理；废水、废气、噪声、固体废物采取的污染防治措施技术可靠、经济可行。建设单位认真落实本报告中提出的各项污染防治措施和有关管理措施，保证环境保护措施的有效运行</w:t>
            </w:r>
            <w:r>
              <w:rPr>
                <w:rFonts w:hint="eastAsia" w:cs="Times New Roman"/>
                <w:color w:val="auto"/>
                <w:sz w:val="24"/>
                <w:szCs w:val="24"/>
                <w:lang w:eastAsia="zh-CN"/>
              </w:rPr>
              <w:t>，</w:t>
            </w:r>
            <w:r>
              <w:rPr>
                <w:rFonts w:cs="Times New Roman"/>
                <w:color w:val="auto"/>
                <w:sz w:val="24"/>
                <w:szCs w:val="24"/>
              </w:rPr>
              <w:t>确保污染物稳定达标排放。从环保角度而言，本项目的建设是可行的。</w:t>
            </w:r>
          </w:p>
          <w:p w14:paraId="5507B5E8">
            <w:pPr>
              <w:spacing w:line="360" w:lineRule="auto"/>
              <w:ind w:firstLine="482" w:firstLineChars="200"/>
              <w:rPr>
                <w:rFonts w:cs="Times New Roman"/>
                <w:b/>
                <w:bCs/>
                <w:color w:val="auto"/>
                <w:sz w:val="24"/>
                <w:szCs w:val="24"/>
              </w:rPr>
            </w:pPr>
            <w:r>
              <w:rPr>
                <w:rFonts w:cs="Times New Roman"/>
                <w:b/>
                <w:bCs/>
                <w:color w:val="auto"/>
                <w:sz w:val="24"/>
                <w:szCs w:val="24"/>
              </w:rPr>
              <w:t>2、建议</w:t>
            </w:r>
          </w:p>
          <w:p w14:paraId="4496C023">
            <w:pPr>
              <w:spacing w:line="360" w:lineRule="auto"/>
              <w:ind w:firstLine="480" w:firstLineChars="200"/>
              <w:rPr>
                <w:rFonts w:cs="Times New Roman"/>
                <w:color w:val="auto"/>
                <w:sz w:val="24"/>
                <w:szCs w:val="24"/>
              </w:rPr>
            </w:pPr>
            <w:r>
              <w:rPr>
                <w:rFonts w:cs="Times New Roman"/>
                <w:color w:val="auto"/>
                <w:sz w:val="24"/>
                <w:szCs w:val="24"/>
              </w:rPr>
              <w:t>（1）加强生产设施的日常管理工作及设施的维修、保养，确保生产的正常运行，避免因生产事故而对环境造成影响。</w:t>
            </w:r>
          </w:p>
          <w:p w14:paraId="3EBC7699">
            <w:pPr>
              <w:spacing w:line="360" w:lineRule="auto"/>
              <w:ind w:firstLine="480" w:firstLineChars="200"/>
              <w:rPr>
                <w:rFonts w:cs="Times New Roman"/>
                <w:color w:val="auto"/>
                <w:sz w:val="24"/>
                <w:szCs w:val="24"/>
              </w:rPr>
            </w:pPr>
            <w:r>
              <w:rPr>
                <w:rFonts w:cs="Times New Roman"/>
                <w:color w:val="auto"/>
                <w:sz w:val="24"/>
                <w:szCs w:val="24"/>
              </w:rPr>
              <w:t>（2）建立污染物管理档案，确保足够的环保资金，以实施污染物治理措施，确保</w:t>
            </w:r>
            <w:r>
              <w:rPr>
                <w:rFonts w:hint="eastAsia" w:cs="Times New Roman"/>
                <w:color w:val="auto"/>
                <w:sz w:val="24"/>
                <w:szCs w:val="24"/>
              </w:rPr>
              <w:t>废水循环使用不外排，</w:t>
            </w:r>
            <w:r>
              <w:rPr>
                <w:rFonts w:cs="Times New Roman"/>
                <w:color w:val="auto"/>
                <w:sz w:val="24"/>
                <w:szCs w:val="24"/>
              </w:rPr>
              <w:t>废气、厂界噪声达标排放。</w:t>
            </w:r>
          </w:p>
          <w:p w14:paraId="6AC6ECEF">
            <w:pPr>
              <w:spacing w:line="360" w:lineRule="auto"/>
              <w:ind w:firstLine="480" w:firstLineChars="200"/>
              <w:rPr>
                <w:rFonts w:cs="Times New Roman"/>
                <w:color w:val="auto"/>
                <w:sz w:val="24"/>
                <w:szCs w:val="24"/>
              </w:rPr>
            </w:pPr>
            <w:r>
              <w:rPr>
                <w:rFonts w:cs="Times New Roman"/>
                <w:color w:val="auto"/>
                <w:sz w:val="24"/>
                <w:szCs w:val="24"/>
              </w:rPr>
              <w:t>（3）对职工定期进行环境保护、清洁生产和环境风险防范等方面的宣传教育。</w:t>
            </w:r>
          </w:p>
          <w:p w14:paraId="2D74E933">
            <w:pPr>
              <w:spacing w:line="360" w:lineRule="auto"/>
              <w:ind w:firstLine="480" w:firstLineChars="200"/>
              <w:rPr>
                <w:rFonts w:cs="Times New Roman"/>
                <w:color w:val="auto"/>
                <w:sz w:val="24"/>
                <w:szCs w:val="24"/>
              </w:rPr>
            </w:pPr>
          </w:p>
          <w:p w14:paraId="34C69AC3">
            <w:pPr>
              <w:spacing w:line="360" w:lineRule="auto"/>
              <w:ind w:firstLine="480" w:firstLineChars="200"/>
              <w:rPr>
                <w:rFonts w:cs="Times New Roman"/>
                <w:color w:val="auto"/>
                <w:sz w:val="24"/>
                <w:szCs w:val="24"/>
              </w:rPr>
            </w:pPr>
          </w:p>
          <w:p w14:paraId="3ADA9FF9">
            <w:pPr>
              <w:spacing w:line="360" w:lineRule="auto"/>
              <w:ind w:firstLine="480" w:firstLineChars="200"/>
              <w:rPr>
                <w:rFonts w:cs="Times New Roman"/>
                <w:color w:val="auto"/>
                <w:sz w:val="24"/>
                <w:szCs w:val="24"/>
              </w:rPr>
            </w:pPr>
          </w:p>
          <w:p w14:paraId="076FD2F9">
            <w:pPr>
              <w:spacing w:line="360" w:lineRule="auto"/>
              <w:ind w:firstLine="480" w:firstLineChars="200"/>
              <w:rPr>
                <w:rFonts w:cs="Times New Roman"/>
                <w:color w:val="auto"/>
                <w:sz w:val="24"/>
                <w:szCs w:val="24"/>
              </w:rPr>
            </w:pPr>
          </w:p>
          <w:p w14:paraId="6ECFB3D9">
            <w:pPr>
              <w:spacing w:line="360" w:lineRule="auto"/>
              <w:ind w:firstLine="480" w:firstLineChars="200"/>
              <w:rPr>
                <w:rFonts w:cs="Times New Roman"/>
                <w:color w:val="auto"/>
                <w:sz w:val="24"/>
                <w:szCs w:val="24"/>
              </w:rPr>
            </w:pPr>
          </w:p>
          <w:p w14:paraId="7F0C5F3B">
            <w:pPr>
              <w:spacing w:line="360" w:lineRule="auto"/>
              <w:ind w:firstLine="480" w:firstLineChars="200"/>
              <w:rPr>
                <w:rFonts w:cs="Times New Roman"/>
                <w:color w:val="auto"/>
                <w:sz w:val="24"/>
                <w:szCs w:val="24"/>
              </w:rPr>
            </w:pPr>
          </w:p>
          <w:p w14:paraId="1780E66C">
            <w:pPr>
              <w:spacing w:line="360" w:lineRule="auto"/>
              <w:ind w:firstLine="480" w:firstLineChars="200"/>
              <w:rPr>
                <w:rFonts w:cs="Times New Roman"/>
                <w:color w:val="auto"/>
                <w:sz w:val="24"/>
                <w:szCs w:val="24"/>
              </w:rPr>
            </w:pPr>
          </w:p>
          <w:p w14:paraId="59EB40CF">
            <w:pPr>
              <w:spacing w:line="360" w:lineRule="auto"/>
              <w:ind w:firstLine="480" w:firstLineChars="200"/>
              <w:rPr>
                <w:rFonts w:cs="Times New Roman"/>
                <w:color w:val="auto"/>
                <w:sz w:val="24"/>
                <w:szCs w:val="24"/>
              </w:rPr>
            </w:pPr>
          </w:p>
          <w:p w14:paraId="7511CDEA">
            <w:pPr>
              <w:spacing w:line="360" w:lineRule="auto"/>
              <w:ind w:firstLine="480" w:firstLineChars="200"/>
              <w:rPr>
                <w:rFonts w:cs="Times New Roman"/>
                <w:color w:val="auto"/>
                <w:sz w:val="24"/>
                <w:szCs w:val="24"/>
              </w:rPr>
            </w:pPr>
          </w:p>
          <w:p w14:paraId="08EDFE3B">
            <w:pPr>
              <w:spacing w:line="360" w:lineRule="auto"/>
              <w:ind w:firstLine="480" w:firstLineChars="200"/>
              <w:rPr>
                <w:rFonts w:cs="Times New Roman"/>
                <w:color w:val="auto"/>
                <w:sz w:val="24"/>
                <w:szCs w:val="24"/>
              </w:rPr>
            </w:pPr>
          </w:p>
          <w:p w14:paraId="70D17F95">
            <w:pPr>
              <w:spacing w:line="360" w:lineRule="auto"/>
              <w:ind w:firstLine="480" w:firstLineChars="200"/>
              <w:rPr>
                <w:rFonts w:cs="Times New Roman"/>
                <w:color w:val="auto"/>
                <w:sz w:val="24"/>
                <w:szCs w:val="24"/>
              </w:rPr>
            </w:pPr>
          </w:p>
          <w:p w14:paraId="41696C29">
            <w:pPr>
              <w:spacing w:line="360" w:lineRule="auto"/>
              <w:ind w:firstLine="480" w:firstLineChars="200"/>
              <w:rPr>
                <w:rFonts w:cs="Times New Roman"/>
                <w:color w:val="auto"/>
                <w:sz w:val="24"/>
                <w:szCs w:val="24"/>
              </w:rPr>
            </w:pPr>
          </w:p>
          <w:p w14:paraId="0398417F">
            <w:pPr>
              <w:spacing w:line="360" w:lineRule="auto"/>
              <w:ind w:firstLine="480" w:firstLineChars="200"/>
              <w:rPr>
                <w:rFonts w:cs="Times New Roman"/>
                <w:color w:val="auto"/>
                <w:sz w:val="24"/>
                <w:szCs w:val="24"/>
              </w:rPr>
            </w:pPr>
          </w:p>
          <w:p w14:paraId="44F87BF1">
            <w:pPr>
              <w:spacing w:line="360" w:lineRule="auto"/>
              <w:ind w:firstLine="480" w:firstLineChars="200"/>
              <w:rPr>
                <w:rFonts w:cs="Times New Roman"/>
                <w:color w:val="auto"/>
                <w:sz w:val="24"/>
                <w:szCs w:val="24"/>
              </w:rPr>
            </w:pPr>
          </w:p>
          <w:p w14:paraId="7F98F7A9">
            <w:pPr>
              <w:spacing w:line="360" w:lineRule="auto"/>
              <w:ind w:firstLine="480" w:firstLineChars="200"/>
              <w:rPr>
                <w:rFonts w:cs="Times New Roman"/>
                <w:color w:val="auto"/>
                <w:sz w:val="24"/>
                <w:szCs w:val="24"/>
              </w:rPr>
            </w:pPr>
          </w:p>
          <w:p w14:paraId="03EF8675">
            <w:pPr>
              <w:spacing w:line="360" w:lineRule="auto"/>
              <w:ind w:firstLine="480" w:firstLineChars="200"/>
              <w:rPr>
                <w:rFonts w:cs="Times New Roman"/>
                <w:color w:val="auto"/>
                <w:sz w:val="24"/>
                <w:szCs w:val="24"/>
              </w:rPr>
            </w:pPr>
          </w:p>
          <w:p w14:paraId="6288AC97">
            <w:pPr>
              <w:spacing w:line="360" w:lineRule="auto"/>
              <w:ind w:firstLine="480" w:firstLineChars="200"/>
              <w:rPr>
                <w:rFonts w:cs="Times New Roman"/>
                <w:color w:val="auto"/>
                <w:sz w:val="24"/>
                <w:szCs w:val="24"/>
              </w:rPr>
            </w:pPr>
          </w:p>
        </w:tc>
      </w:tr>
    </w:tbl>
    <w:p w14:paraId="7AEE87C0">
      <w:pPr>
        <w:rPr>
          <w:rFonts w:cs="Times New Roman"/>
          <w:color w:val="auto"/>
          <w:sz w:val="24"/>
          <w:szCs w:val="24"/>
        </w:rPr>
        <w:sectPr>
          <w:pgSz w:w="11906" w:h="16838"/>
          <w:pgMar w:top="1134" w:right="1134" w:bottom="1134" w:left="1418" w:header="851" w:footer="992" w:gutter="0"/>
          <w:pgBorders>
            <w:top w:val="none" w:sz="0" w:space="0"/>
            <w:left w:val="none" w:sz="0" w:space="0"/>
            <w:bottom w:val="none" w:sz="0" w:space="0"/>
            <w:right w:val="none" w:sz="0" w:space="0"/>
          </w:pgBorders>
          <w:pgNumType w:fmt="numberInDash"/>
          <w:cols w:space="720" w:num="1"/>
          <w:docGrid w:type="lines" w:linePitch="312" w:charSpace="0"/>
        </w:sectPr>
      </w:pPr>
    </w:p>
    <w:p w14:paraId="1602A35C">
      <w:pPr>
        <w:pStyle w:val="58"/>
        <w:spacing w:line="240" w:lineRule="auto"/>
        <w:rPr>
          <w:rFonts w:ascii="黑体" w:hAnsi="黑体" w:eastAsia="黑体"/>
          <w:b w:val="0"/>
          <w:color w:val="auto"/>
          <w:sz w:val="30"/>
          <w:szCs w:val="30"/>
        </w:rPr>
      </w:pPr>
      <w:bookmarkStart w:id="10" w:name="_Toc14911"/>
      <w:r>
        <w:rPr>
          <w:rFonts w:hint="eastAsia" w:ascii="黑体" w:hAnsi="黑体" w:eastAsia="黑体"/>
          <w:b w:val="0"/>
          <w:color w:val="auto"/>
          <w:sz w:val="30"/>
          <w:szCs w:val="30"/>
        </w:rPr>
        <w:t>附表</w:t>
      </w:r>
      <w:bookmarkEnd w:id="10"/>
    </w:p>
    <w:p w14:paraId="7571052C">
      <w:pPr>
        <w:jc w:val="center"/>
        <w:rPr>
          <w:rFonts w:ascii="黑体" w:hAnsi="黑体" w:eastAsia="黑体"/>
          <w:color w:val="auto"/>
          <w:sz w:val="36"/>
          <w:szCs w:val="36"/>
        </w:rPr>
      </w:pPr>
      <w:r>
        <w:rPr>
          <w:rFonts w:hint="eastAsia" w:ascii="黑体" w:hAnsi="黑体" w:eastAsia="黑体"/>
          <w:b/>
          <w:bCs/>
          <w:color w:val="auto"/>
          <w:sz w:val="36"/>
          <w:szCs w:val="36"/>
        </w:rPr>
        <mc:AlternateContent>
          <mc:Choice Requires="wps">
            <w:drawing>
              <wp:anchor distT="0" distB="0" distL="114300" distR="114300" simplePos="0" relativeHeight="251661312" behindDoc="0" locked="0" layoutInCell="1" allowOverlap="1">
                <wp:simplePos x="0" y="0"/>
                <wp:positionH relativeFrom="column">
                  <wp:posOffset>-17145</wp:posOffset>
                </wp:positionH>
                <wp:positionV relativeFrom="paragraph">
                  <wp:posOffset>389890</wp:posOffset>
                </wp:positionV>
                <wp:extent cx="640715" cy="690880"/>
                <wp:effectExtent l="3175" t="3175" r="3810" b="10795"/>
                <wp:wrapNone/>
                <wp:docPr id="1" name="直接连接符 1"/>
                <wp:cNvGraphicFramePr/>
                <a:graphic xmlns:a="http://schemas.openxmlformats.org/drawingml/2006/main">
                  <a:graphicData uri="http://schemas.microsoft.com/office/word/2010/wordprocessingShape">
                    <wps:wsp>
                      <wps:cNvCnPr/>
                      <wps:spPr>
                        <a:xfrm>
                          <a:off x="0" y="0"/>
                          <a:ext cx="640715" cy="69088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1.35pt;margin-top:30.7pt;height:54.4pt;width:50.45pt;z-index:251661312;mso-width-relative:page;mso-height-relative:page;" filled="f" stroked="t" coordsize="21600,21600" o:gfxdata="UEsDBAoAAAAAAIdO4kAAAAAAAAAAAAAAAAAEAAAAZHJzL1BLAwQUAAAACACHTuJAfe8i89cAAAAI&#10;AQAADwAAAGRycy9kb3ducmV2LnhtbE2Py07DMBBF90j8gzVIbKrWjkF9hDhdANmxoYC6deMhiYjH&#10;aew+4OsZVmU5ukf3ninWZ9+LI46xC2QgmykQSHVwHTUG3t+q6RJETJac7QOhgW+MsC6vrwqbu3Ci&#10;VzxuUiO4hGJuDbQpDbmUsW7R2zgLAxJnn2H0NvE5NtKN9sTlvpdaqbn0tiNeaO2Ajy3WX5uDNxCr&#10;D9xXP5N6orZ3TUC9f3p5tsbc3mTqAUTCc7rA8KfP6lCy0y4cyEXRG5jqBZMG5tk9CM5XSw1ix9xC&#10;aZBlIf8/UP4CUEsDBBQAAAAIAIdO4kC4Yyhk3AEAAJ4DAAAOAAAAZHJzL2Uyb0RvYy54bWytU82O&#10;0zAQviPxDpbvNGnFlm7UdA9bLRcElYAHmDpOYsl/8nib9iV4ASRucOLInbdheQzGTujCctkDPbjj&#10;mfE3/j5/WV8djWYHGVA5W/P5rORMWuEaZbuav39382zFGUawDWhnZc1PEvnV5umT9eAruXC9040M&#10;jEAsVoOveR+jr4oCRS8N4Mx5aanYumAg0jZ0RRNgIHSji0VZLovBhcYHJyQiZbdjkU+I4TGArm2V&#10;kFsnbo20cUQNUkMkStgrj3yTb9u2UsQ3bYsyMl1zYhrzSkMo3qe12Kyh6gL4XonpCvCYKzzgZEBZ&#10;GnqG2kIEdhvUP1BGieDQtXEmnClGIlkRYjEvH2jztgcvMxeSGv1ZdPx/sOL1YReYasgJnFkw9OB3&#10;H7/9+PD55/dPtN59/cLmSaTBY0W913YXph36XUiMj20w6Z+4sGMW9nQWVh4jE5RcPi9fzC84E1Ra&#10;XparVRa+uD/sA8aX0hmWgpprZRNvqODwCiMNpNbfLSlt3Y3SOr+dtmyo+eXFIsED+bElH1BoPHFC&#10;23EGuiOjixgyIjqtmnQ64WDo9tc6sAMke+RfIkvT/mpLo7eA/diXS1ObttSdtBnVSNHeNacsUs7T&#10;s2W8yWLJF3/u8+n7z2rzC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H3vIvPXAAAACAEAAA8AAAAA&#10;AAAAAQAgAAAAIgAAAGRycy9kb3ducmV2LnhtbFBLAQIUABQAAAAIAIdO4kC4Yyhk3AEAAJ4DAAAO&#10;AAAAAAAAAAEAIAAAACYBAABkcnMvZTJvRG9jLnhtbFBLBQYAAAAABgAGAFkBAAB0BQAAAAA=&#10;">
                <v:fill on="f" focussize="0,0"/>
                <v:stroke color="#000000 [3213]" joinstyle="round"/>
                <v:imagedata o:title=""/>
                <o:lock v:ext="edit" aspectratio="f"/>
              </v:line>
            </w:pict>
          </mc:Fallback>
        </mc:AlternateContent>
      </w:r>
      <w:r>
        <w:rPr>
          <w:rFonts w:hint="eastAsia" w:ascii="黑体" w:hAnsi="黑体" w:eastAsia="黑体"/>
          <w:color w:val="auto"/>
          <w:sz w:val="36"/>
          <w:szCs w:val="36"/>
        </w:rPr>
        <w:t>建设项目污染物排放量汇总表</w:t>
      </w:r>
    </w:p>
    <w:tbl>
      <w:tblPr>
        <w:tblStyle w:val="2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17"/>
        <w:gridCol w:w="1951"/>
        <w:gridCol w:w="1774"/>
        <w:gridCol w:w="1770"/>
        <w:gridCol w:w="1774"/>
        <w:gridCol w:w="1775"/>
        <w:gridCol w:w="1647"/>
        <w:gridCol w:w="1903"/>
        <w:gridCol w:w="1006"/>
      </w:tblGrid>
      <w:tr w14:paraId="16BEB2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447" w:hRule="atLeast"/>
        </w:trPr>
        <w:tc>
          <w:tcPr>
            <w:tcW w:w="1117" w:type="dxa"/>
            <w:vAlign w:val="center"/>
          </w:tcPr>
          <w:p w14:paraId="0C9CBEB9">
            <w:pPr>
              <w:spacing w:line="276" w:lineRule="auto"/>
              <w:jc w:val="right"/>
              <w:rPr>
                <w:rFonts w:cs="Times New Roman"/>
                <w:b/>
                <w:bCs/>
                <w:color w:val="auto"/>
                <w:szCs w:val="21"/>
              </w:rPr>
            </w:pPr>
            <w:r>
              <w:rPr>
                <w:rFonts w:cs="Times New Roman"/>
                <w:b/>
                <w:bCs/>
                <w:color w:val="auto"/>
                <w:szCs w:val="21"/>
              </w:rPr>
              <w:t>项目</w:t>
            </w:r>
          </w:p>
          <w:p w14:paraId="0CA340E5">
            <w:pPr>
              <w:spacing w:line="276" w:lineRule="auto"/>
              <w:rPr>
                <w:rFonts w:cs="Times New Roman"/>
                <w:b/>
                <w:bCs/>
                <w:color w:val="auto"/>
                <w:szCs w:val="21"/>
              </w:rPr>
            </w:pPr>
            <w:r>
              <w:rPr>
                <w:rFonts w:cs="Times New Roman"/>
                <w:b/>
                <w:bCs/>
                <w:color w:val="auto"/>
                <w:szCs w:val="21"/>
              </w:rPr>
              <w:t>分类</w:t>
            </w:r>
          </w:p>
        </w:tc>
        <w:tc>
          <w:tcPr>
            <w:tcW w:w="1951" w:type="dxa"/>
            <w:vAlign w:val="center"/>
          </w:tcPr>
          <w:p w14:paraId="2FDF74F6">
            <w:pPr>
              <w:spacing w:line="276" w:lineRule="auto"/>
              <w:jc w:val="center"/>
              <w:rPr>
                <w:rFonts w:cs="Times New Roman"/>
                <w:b/>
                <w:bCs/>
                <w:color w:val="auto"/>
                <w:szCs w:val="21"/>
              </w:rPr>
            </w:pPr>
            <w:r>
              <w:rPr>
                <w:rFonts w:cs="Times New Roman"/>
                <w:b/>
                <w:bCs/>
                <w:color w:val="auto"/>
                <w:szCs w:val="21"/>
              </w:rPr>
              <w:t>污染物名称</w:t>
            </w:r>
          </w:p>
        </w:tc>
        <w:tc>
          <w:tcPr>
            <w:tcW w:w="1774" w:type="dxa"/>
            <w:vAlign w:val="center"/>
          </w:tcPr>
          <w:p w14:paraId="0C092FBF">
            <w:pPr>
              <w:spacing w:line="276" w:lineRule="auto"/>
              <w:jc w:val="center"/>
              <w:rPr>
                <w:rFonts w:cs="Times New Roman"/>
                <w:b/>
                <w:bCs/>
                <w:color w:val="auto"/>
                <w:szCs w:val="21"/>
              </w:rPr>
            </w:pPr>
            <w:r>
              <w:rPr>
                <w:rFonts w:cs="Times New Roman"/>
                <w:b/>
                <w:bCs/>
                <w:color w:val="auto"/>
                <w:szCs w:val="21"/>
              </w:rPr>
              <w:t>现有工程</w:t>
            </w:r>
          </w:p>
          <w:p w14:paraId="518DFFF3">
            <w:pPr>
              <w:spacing w:line="276" w:lineRule="auto"/>
              <w:jc w:val="center"/>
              <w:rPr>
                <w:rFonts w:cs="Times New Roman"/>
                <w:b/>
                <w:bCs/>
                <w:color w:val="auto"/>
                <w:szCs w:val="21"/>
              </w:rPr>
            </w:pPr>
            <w:r>
              <w:rPr>
                <w:rFonts w:cs="Times New Roman"/>
                <w:b/>
                <w:bCs/>
                <w:color w:val="auto"/>
                <w:szCs w:val="21"/>
              </w:rPr>
              <w:t>排放量（固体废物产生量）①</w:t>
            </w:r>
          </w:p>
        </w:tc>
        <w:tc>
          <w:tcPr>
            <w:tcW w:w="1770" w:type="dxa"/>
            <w:vAlign w:val="center"/>
          </w:tcPr>
          <w:p w14:paraId="7C19A878">
            <w:pPr>
              <w:spacing w:line="276" w:lineRule="auto"/>
              <w:jc w:val="center"/>
              <w:rPr>
                <w:rFonts w:cs="Times New Roman"/>
                <w:b/>
                <w:bCs/>
                <w:color w:val="auto"/>
                <w:szCs w:val="21"/>
              </w:rPr>
            </w:pPr>
            <w:r>
              <w:rPr>
                <w:rFonts w:cs="Times New Roman"/>
                <w:b/>
                <w:bCs/>
                <w:color w:val="auto"/>
                <w:szCs w:val="21"/>
              </w:rPr>
              <w:t>现有工程</w:t>
            </w:r>
          </w:p>
          <w:p w14:paraId="6C2E26A5">
            <w:pPr>
              <w:spacing w:line="276" w:lineRule="auto"/>
              <w:jc w:val="center"/>
              <w:rPr>
                <w:rFonts w:cs="Times New Roman"/>
                <w:b/>
                <w:bCs/>
                <w:color w:val="auto"/>
                <w:szCs w:val="21"/>
              </w:rPr>
            </w:pPr>
            <w:r>
              <w:rPr>
                <w:rFonts w:cs="Times New Roman"/>
                <w:b/>
                <w:bCs/>
                <w:color w:val="auto"/>
                <w:szCs w:val="21"/>
              </w:rPr>
              <w:t>许可排放量②</w:t>
            </w:r>
          </w:p>
        </w:tc>
        <w:tc>
          <w:tcPr>
            <w:tcW w:w="1774" w:type="dxa"/>
            <w:vAlign w:val="center"/>
          </w:tcPr>
          <w:p w14:paraId="70A70429">
            <w:pPr>
              <w:spacing w:line="276" w:lineRule="auto"/>
              <w:jc w:val="center"/>
              <w:rPr>
                <w:rFonts w:cs="Times New Roman"/>
                <w:b/>
                <w:bCs/>
                <w:color w:val="auto"/>
                <w:szCs w:val="21"/>
              </w:rPr>
            </w:pPr>
            <w:r>
              <w:rPr>
                <w:rFonts w:cs="Times New Roman"/>
                <w:b/>
                <w:bCs/>
                <w:color w:val="auto"/>
                <w:szCs w:val="21"/>
              </w:rPr>
              <w:t>在建工程</w:t>
            </w:r>
          </w:p>
          <w:p w14:paraId="014A504E">
            <w:pPr>
              <w:spacing w:line="276" w:lineRule="auto"/>
              <w:jc w:val="center"/>
              <w:rPr>
                <w:rFonts w:cs="Times New Roman"/>
                <w:b/>
                <w:bCs/>
                <w:color w:val="auto"/>
                <w:szCs w:val="21"/>
              </w:rPr>
            </w:pPr>
            <w:r>
              <w:rPr>
                <w:rFonts w:cs="Times New Roman"/>
                <w:b/>
                <w:bCs/>
                <w:color w:val="auto"/>
                <w:szCs w:val="21"/>
              </w:rPr>
              <w:t>排放量（固体废物产生量）③</w:t>
            </w:r>
          </w:p>
        </w:tc>
        <w:tc>
          <w:tcPr>
            <w:tcW w:w="1775" w:type="dxa"/>
            <w:vAlign w:val="center"/>
          </w:tcPr>
          <w:p w14:paraId="5FB85379">
            <w:pPr>
              <w:spacing w:line="276" w:lineRule="auto"/>
              <w:jc w:val="center"/>
              <w:rPr>
                <w:rFonts w:cs="Times New Roman"/>
                <w:b/>
                <w:bCs/>
                <w:color w:val="auto"/>
                <w:szCs w:val="21"/>
              </w:rPr>
            </w:pPr>
            <w:r>
              <w:rPr>
                <w:rFonts w:cs="Times New Roman"/>
                <w:b/>
                <w:bCs/>
                <w:color w:val="auto"/>
                <w:szCs w:val="21"/>
              </w:rPr>
              <w:t>本项目</w:t>
            </w:r>
          </w:p>
          <w:p w14:paraId="33BEA8CB">
            <w:pPr>
              <w:spacing w:line="276" w:lineRule="auto"/>
              <w:jc w:val="center"/>
              <w:rPr>
                <w:rFonts w:cs="Times New Roman"/>
                <w:b/>
                <w:bCs/>
                <w:color w:val="auto"/>
                <w:szCs w:val="21"/>
              </w:rPr>
            </w:pPr>
            <w:r>
              <w:rPr>
                <w:rFonts w:cs="Times New Roman"/>
                <w:b/>
                <w:bCs/>
                <w:color w:val="auto"/>
                <w:szCs w:val="21"/>
              </w:rPr>
              <w:t>排放量（固体废物产生量）④</w:t>
            </w:r>
          </w:p>
        </w:tc>
        <w:tc>
          <w:tcPr>
            <w:tcW w:w="1647" w:type="dxa"/>
            <w:vAlign w:val="center"/>
          </w:tcPr>
          <w:p w14:paraId="4B22D8CC">
            <w:pPr>
              <w:spacing w:line="276" w:lineRule="auto"/>
              <w:jc w:val="center"/>
              <w:rPr>
                <w:rFonts w:cs="Times New Roman"/>
                <w:b/>
                <w:bCs/>
                <w:color w:val="auto"/>
                <w:szCs w:val="21"/>
              </w:rPr>
            </w:pPr>
            <w:r>
              <w:rPr>
                <w:rFonts w:cs="Times New Roman"/>
                <w:b/>
                <w:bCs/>
                <w:color w:val="auto"/>
                <w:szCs w:val="21"/>
              </w:rPr>
              <w:t>以新带老削减量（新建项目不填）⑤</w:t>
            </w:r>
          </w:p>
        </w:tc>
        <w:tc>
          <w:tcPr>
            <w:tcW w:w="1903" w:type="dxa"/>
            <w:vAlign w:val="center"/>
          </w:tcPr>
          <w:p w14:paraId="6889FC39">
            <w:pPr>
              <w:spacing w:line="276" w:lineRule="auto"/>
              <w:jc w:val="center"/>
              <w:rPr>
                <w:rFonts w:cs="Times New Roman"/>
                <w:b/>
                <w:bCs/>
                <w:color w:val="auto"/>
                <w:szCs w:val="21"/>
              </w:rPr>
            </w:pPr>
            <w:r>
              <w:rPr>
                <w:rFonts w:cs="Times New Roman"/>
                <w:b/>
                <w:bCs/>
                <w:color w:val="auto"/>
                <w:szCs w:val="21"/>
              </w:rPr>
              <w:t>本项目建成后</w:t>
            </w:r>
          </w:p>
          <w:p w14:paraId="3CA64E5A">
            <w:pPr>
              <w:spacing w:line="276" w:lineRule="auto"/>
              <w:rPr>
                <w:rFonts w:cs="Times New Roman"/>
                <w:b/>
                <w:bCs/>
                <w:color w:val="auto"/>
                <w:szCs w:val="21"/>
              </w:rPr>
            </w:pPr>
            <w:r>
              <w:rPr>
                <w:rFonts w:cs="Times New Roman"/>
                <w:b/>
                <w:bCs/>
                <w:color w:val="auto"/>
                <w:szCs w:val="21"/>
              </w:rPr>
              <w:t>全厂排放量（固体废物产生量）⑥</w:t>
            </w:r>
          </w:p>
        </w:tc>
        <w:tc>
          <w:tcPr>
            <w:tcW w:w="1006" w:type="dxa"/>
            <w:vAlign w:val="center"/>
          </w:tcPr>
          <w:p w14:paraId="0A28B5D0">
            <w:pPr>
              <w:spacing w:line="276" w:lineRule="auto"/>
              <w:jc w:val="center"/>
              <w:rPr>
                <w:rFonts w:cs="Times New Roman"/>
                <w:b/>
                <w:bCs/>
                <w:color w:val="auto"/>
                <w:szCs w:val="21"/>
              </w:rPr>
            </w:pPr>
            <w:r>
              <w:rPr>
                <w:rFonts w:cs="Times New Roman"/>
                <w:b/>
                <w:bCs/>
                <w:color w:val="auto"/>
                <w:szCs w:val="21"/>
              </w:rPr>
              <w:t>变化量</w:t>
            </w:r>
          </w:p>
          <w:p w14:paraId="033FFF70">
            <w:pPr>
              <w:spacing w:line="276" w:lineRule="auto"/>
              <w:jc w:val="center"/>
              <w:rPr>
                <w:rFonts w:cs="Times New Roman"/>
                <w:b/>
                <w:bCs/>
                <w:color w:val="auto"/>
                <w:szCs w:val="21"/>
              </w:rPr>
            </w:pPr>
            <w:r>
              <w:rPr>
                <w:rFonts w:cs="Times New Roman"/>
                <w:b/>
                <w:bCs/>
                <w:color w:val="auto"/>
                <w:szCs w:val="21"/>
              </w:rPr>
              <w:t>⑦</w:t>
            </w:r>
          </w:p>
        </w:tc>
      </w:tr>
      <w:tr w14:paraId="4569EC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trPr>
        <w:tc>
          <w:tcPr>
            <w:tcW w:w="1117" w:type="dxa"/>
            <w:vMerge w:val="restart"/>
            <w:vAlign w:val="center"/>
          </w:tcPr>
          <w:p w14:paraId="4055EC5E">
            <w:pPr>
              <w:spacing w:line="276" w:lineRule="auto"/>
              <w:jc w:val="center"/>
              <w:rPr>
                <w:rFonts w:cs="Times New Roman"/>
                <w:color w:val="auto"/>
                <w:szCs w:val="21"/>
              </w:rPr>
            </w:pPr>
            <w:r>
              <w:rPr>
                <w:rFonts w:cs="Times New Roman"/>
                <w:color w:val="auto"/>
                <w:szCs w:val="21"/>
              </w:rPr>
              <w:t>废气</w:t>
            </w:r>
          </w:p>
        </w:tc>
        <w:tc>
          <w:tcPr>
            <w:tcW w:w="1951" w:type="dxa"/>
            <w:vAlign w:val="center"/>
          </w:tcPr>
          <w:p w14:paraId="33199B06">
            <w:pPr>
              <w:spacing w:line="276" w:lineRule="auto"/>
              <w:jc w:val="center"/>
              <w:rPr>
                <w:rFonts w:cs="Times New Roman"/>
                <w:color w:val="auto"/>
                <w:szCs w:val="21"/>
              </w:rPr>
            </w:pPr>
            <w:r>
              <w:rPr>
                <w:rFonts w:cs="Times New Roman"/>
                <w:color w:val="auto"/>
                <w:szCs w:val="21"/>
              </w:rPr>
              <w:t>颗粒物</w:t>
            </w:r>
          </w:p>
        </w:tc>
        <w:tc>
          <w:tcPr>
            <w:tcW w:w="1774" w:type="dxa"/>
            <w:shd w:val="clear" w:color="auto" w:fill="auto"/>
            <w:vAlign w:val="center"/>
          </w:tcPr>
          <w:p w14:paraId="644B20BF">
            <w:pPr>
              <w:widowControl/>
              <w:jc w:val="center"/>
              <w:textAlignment w:val="center"/>
              <w:rPr>
                <w:rFonts w:ascii="Times New Roman" w:hAnsi="Times New Roman" w:eastAsia="宋体" w:cs="Times New Roman"/>
                <w:color w:val="auto"/>
                <w:kern w:val="0"/>
                <w:sz w:val="22"/>
                <w:szCs w:val="22"/>
                <w:lang w:val="en-US" w:eastAsia="zh-CN" w:bidi="ar"/>
              </w:rPr>
            </w:pPr>
            <w:r>
              <w:rPr>
                <w:rFonts w:cs="Times New Roman"/>
                <w:color w:val="auto"/>
                <w:kern w:val="0"/>
                <w:sz w:val="22"/>
                <w:lang w:bidi="ar"/>
              </w:rPr>
              <w:t>0</w:t>
            </w:r>
          </w:p>
        </w:tc>
        <w:tc>
          <w:tcPr>
            <w:tcW w:w="1770" w:type="dxa"/>
            <w:vAlign w:val="center"/>
          </w:tcPr>
          <w:p w14:paraId="51D6D73D">
            <w:pPr>
              <w:widowControl/>
              <w:jc w:val="center"/>
              <w:textAlignment w:val="center"/>
              <w:rPr>
                <w:rFonts w:cs="Times New Roman"/>
                <w:color w:val="auto"/>
                <w:kern w:val="0"/>
                <w:sz w:val="22"/>
                <w:lang w:bidi="ar"/>
              </w:rPr>
            </w:pPr>
            <w:r>
              <w:rPr>
                <w:rFonts w:cs="Times New Roman"/>
                <w:color w:val="auto"/>
                <w:kern w:val="0"/>
                <w:sz w:val="22"/>
                <w:lang w:bidi="ar"/>
              </w:rPr>
              <w:t>0</w:t>
            </w:r>
          </w:p>
        </w:tc>
        <w:tc>
          <w:tcPr>
            <w:tcW w:w="1774" w:type="dxa"/>
            <w:vAlign w:val="center"/>
          </w:tcPr>
          <w:p w14:paraId="7DA9F1A5">
            <w:pPr>
              <w:widowControl/>
              <w:jc w:val="center"/>
              <w:textAlignment w:val="center"/>
              <w:rPr>
                <w:rFonts w:cs="Times New Roman"/>
                <w:color w:val="auto"/>
                <w:kern w:val="0"/>
                <w:sz w:val="22"/>
                <w:lang w:bidi="ar"/>
              </w:rPr>
            </w:pPr>
            <w:r>
              <w:rPr>
                <w:rFonts w:cs="Times New Roman"/>
                <w:color w:val="auto"/>
                <w:kern w:val="0"/>
                <w:sz w:val="22"/>
                <w:lang w:bidi="ar"/>
              </w:rPr>
              <w:t>0</w:t>
            </w:r>
          </w:p>
        </w:tc>
        <w:tc>
          <w:tcPr>
            <w:tcW w:w="1775" w:type="dxa"/>
            <w:vAlign w:val="center"/>
          </w:tcPr>
          <w:p w14:paraId="117FA284">
            <w:pPr>
              <w:jc w:val="center"/>
              <w:rPr>
                <w:rFonts w:hint="default" w:eastAsia="宋体" w:cs="Times New Roman"/>
                <w:color w:val="auto"/>
                <w:szCs w:val="21"/>
                <w:lang w:val="en-US" w:eastAsia="zh-CN"/>
              </w:rPr>
            </w:pPr>
            <w:r>
              <w:rPr>
                <w:rFonts w:hint="eastAsia" w:cs="Times New Roman"/>
                <w:color w:val="auto"/>
                <w:szCs w:val="21"/>
                <w:lang w:val="en-US" w:eastAsia="zh-CN"/>
              </w:rPr>
              <w:t>2.11</w:t>
            </w:r>
          </w:p>
        </w:tc>
        <w:tc>
          <w:tcPr>
            <w:tcW w:w="1647" w:type="dxa"/>
            <w:shd w:val="clear" w:color="auto" w:fill="auto"/>
            <w:vAlign w:val="center"/>
          </w:tcPr>
          <w:p w14:paraId="53E679B8">
            <w:pPr>
              <w:widowControl/>
              <w:jc w:val="center"/>
              <w:textAlignment w:val="center"/>
              <w:rPr>
                <w:rFonts w:ascii="Times New Roman" w:hAnsi="Times New Roman" w:eastAsia="宋体" w:cs="Times New Roman"/>
                <w:color w:val="auto"/>
                <w:kern w:val="0"/>
                <w:sz w:val="22"/>
                <w:szCs w:val="22"/>
                <w:lang w:val="en-US" w:eastAsia="zh-CN" w:bidi="ar"/>
              </w:rPr>
            </w:pPr>
            <w:r>
              <w:rPr>
                <w:rFonts w:cs="Times New Roman"/>
                <w:color w:val="auto"/>
                <w:kern w:val="0"/>
                <w:sz w:val="22"/>
                <w:lang w:bidi="ar"/>
              </w:rPr>
              <w:t>0</w:t>
            </w:r>
          </w:p>
        </w:tc>
        <w:tc>
          <w:tcPr>
            <w:tcW w:w="1903" w:type="dxa"/>
            <w:shd w:val="clear" w:color="auto" w:fill="auto"/>
            <w:vAlign w:val="center"/>
          </w:tcPr>
          <w:p w14:paraId="3168D5A0">
            <w:pPr>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szCs w:val="21"/>
                <w:lang w:val="en-US" w:eastAsia="zh-CN"/>
              </w:rPr>
              <w:t>2.11</w:t>
            </w:r>
          </w:p>
        </w:tc>
        <w:tc>
          <w:tcPr>
            <w:tcW w:w="1006" w:type="dxa"/>
            <w:shd w:val="clear" w:color="auto" w:fill="auto"/>
            <w:vAlign w:val="center"/>
          </w:tcPr>
          <w:p w14:paraId="4928F55D">
            <w:pPr>
              <w:widowControl/>
              <w:jc w:val="center"/>
              <w:textAlignment w:val="center"/>
              <w:rPr>
                <w:rFonts w:ascii="Times New Roman" w:hAnsi="Times New Roman" w:eastAsia="宋体" w:cs="Times New Roman"/>
                <w:color w:val="auto"/>
                <w:kern w:val="0"/>
                <w:sz w:val="22"/>
                <w:szCs w:val="22"/>
                <w:lang w:val="en-US" w:eastAsia="zh-CN" w:bidi="ar"/>
              </w:rPr>
            </w:pPr>
            <w:r>
              <w:rPr>
                <w:rFonts w:cs="Times New Roman"/>
                <w:color w:val="auto"/>
                <w:kern w:val="0"/>
                <w:sz w:val="22"/>
                <w:lang w:bidi="ar"/>
              </w:rPr>
              <w:t>0</w:t>
            </w:r>
          </w:p>
        </w:tc>
      </w:tr>
      <w:tr w14:paraId="5BBB05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trPr>
        <w:tc>
          <w:tcPr>
            <w:tcW w:w="1117" w:type="dxa"/>
            <w:vMerge w:val="continue"/>
            <w:vAlign w:val="center"/>
          </w:tcPr>
          <w:p w14:paraId="24873263">
            <w:pPr>
              <w:spacing w:line="276" w:lineRule="auto"/>
              <w:jc w:val="center"/>
              <w:rPr>
                <w:rFonts w:cs="Times New Roman"/>
                <w:color w:val="auto"/>
                <w:szCs w:val="21"/>
              </w:rPr>
            </w:pPr>
          </w:p>
        </w:tc>
        <w:tc>
          <w:tcPr>
            <w:tcW w:w="1951" w:type="dxa"/>
            <w:vAlign w:val="center"/>
          </w:tcPr>
          <w:p w14:paraId="2300E289">
            <w:pPr>
              <w:spacing w:line="276" w:lineRule="auto"/>
              <w:jc w:val="center"/>
              <w:rPr>
                <w:rFonts w:cs="Times New Roman"/>
                <w:color w:val="auto"/>
                <w:szCs w:val="21"/>
              </w:rPr>
            </w:pPr>
            <w:r>
              <w:rPr>
                <w:rFonts w:hint="eastAsia" w:cs="Times New Roman"/>
                <w:color w:val="auto"/>
                <w:szCs w:val="21"/>
              </w:rPr>
              <w:t>油烟</w:t>
            </w:r>
          </w:p>
        </w:tc>
        <w:tc>
          <w:tcPr>
            <w:tcW w:w="1774" w:type="dxa"/>
            <w:shd w:val="clear" w:color="auto" w:fill="auto"/>
            <w:vAlign w:val="center"/>
          </w:tcPr>
          <w:p w14:paraId="241FDAF5">
            <w:pPr>
              <w:widowControl/>
              <w:jc w:val="center"/>
              <w:textAlignment w:val="center"/>
              <w:rPr>
                <w:rFonts w:ascii="Times New Roman" w:hAnsi="Times New Roman" w:eastAsia="宋体" w:cs="Times New Roman"/>
                <w:color w:val="auto"/>
                <w:kern w:val="0"/>
                <w:sz w:val="22"/>
                <w:szCs w:val="22"/>
                <w:lang w:val="en-US" w:eastAsia="zh-CN" w:bidi="ar"/>
              </w:rPr>
            </w:pPr>
            <w:r>
              <w:rPr>
                <w:rFonts w:cs="Times New Roman"/>
                <w:color w:val="auto"/>
                <w:kern w:val="0"/>
                <w:sz w:val="22"/>
                <w:lang w:bidi="ar"/>
              </w:rPr>
              <w:t>0</w:t>
            </w:r>
          </w:p>
        </w:tc>
        <w:tc>
          <w:tcPr>
            <w:tcW w:w="1770" w:type="dxa"/>
            <w:vAlign w:val="center"/>
          </w:tcPr>
          <w:p w14:paraId="5955035B">
            <w:pPr>
              <w:widowControl/>
              <w:jc w:val="center"/>
              <w:textAlignment w:val="center"/>
              <w:rPr>
                <w:rFonts w:cs="Times New Roman"/>
                <w:color w:val="auto"/>
                <w:kern w:val="0"/>
                <w:sz w:val="22"/>
                <w:lang w:bidi="ar"/>
              </w:rPr>
            </w:pPr>
            <w:r>
              <w:rPr>
                <w:rFonts w:cs="Times New Roman"/>
                <w:color w:val="auto"/>
                <w:kern w:val="0"/>
                <w:sz w:val="22"/>
                <w:lang w:bidi="ar"/>
              </w:rPr>
              <w:t>0</w:t>
            </w:r>
          </w:p>
        </w:tc>
        <w:tc>
          <w:tcPr>
            <w:tcW w:w="1774" w:type="dxa"/>
            <w:vAlign w:val="center"/>
          </w:tcPr>
          <w:p w14:paraId="3FA51378">
            <w:pPr>
              <w:widowControl/>
              <w:jc w:val="center"/>
              <w:textAlignment w:val="center"/>
              <w:rPr>
                <w:rFonts w:cs="Times New Roman"/>
                <w:color w:val="auto"/>
                <w:kern w:val="0"/>
                <w:sz w:val="22"/>
                <w:lang w:bidi="ar"/>
              </w:rPr>
            </w:pPr>
            <w:r>
              <w:rPr>
                <w:rFonts w:cs="Times New Roman"/>
                <w:color w:val="auto"/>
                <w:kern w:val="0"/>
                <w:sz w:val="22"/>
                <w:lang w:bidi="ar"/>
              </w:rPr>
              <w:t>0</w:t>
            </w:r>
          </w:p>
        </w:tc>
        <w:tc>
          <w:tcPr>
            <w:tcW w:w="1775" w:type="dxa"/>
            <w:vAlign w:val="center"/>
          </w:tcPr>
          <w:p w14:paraId="0CFF1C4A">
            <w:pPr>
              <w:jc w:val="center"/>
              <w:rPr>
                <w:rFonts w:hint="default" w:eastAsia="宋体" w:cs="Times New Roman"/>
                <w:color w:val="auto"/>
                <w:szCs w:val="21"/>
                <w:lang w:val="en-US" w:eastAsia="zh-CN"/>
              </w:rPr>
            </w:pPr>
            <w:r>
              <w:rPr>
                <w:rFonts w:hint="eastAsia" w:cs="Times New Roman"/>
                <w:color w:val="auto"/>
                <w:szCs w:val="21"/>
                <w:lang w:val="en-US" w:eastAsia="zh-CN"/>
              </w:rPr>
              <w:t>0.0016</w:t>
            </w:r>
          </w:p>
        </w:tc>
        <w:tc>
          <w:tcPr>
            <w:tcW w:w="1647" w:type="dxa"/>
            <w:shd w:val="clear" w:color="auto" w:fill="auto"/>
            <w:vAlign w:val="center"/>
          </w:tcPr>
          <w:p w14:paraId="239B1912">
            <w:pPr>
              <w:widowControl/>
              <w:jc w:val="center"/>
              <w:textAlignment w:val="center"/>
              <w:rPr>
                <w:rFonts w:ascii="Times New Roman" w:hAnsi="Times New Roman" w:eastAsia="宋体" w:cs="Times New Roman"/>
                <w:color w:val="auto"/>
                <w:kern w:val="0"/>
                <w:sz w:val="22"/>
                <w:szCs w:val="22"/>
                <w:lang w:val="en-US" w:eastAsia="zh-CN" w:bidi="ar"/>
              </w:rPr>
            </w:pPr>
            <w:r>
              <w:rPr>
                <w:rFonts w:cs="Times New Roman"/>
                <w:color w:val="auto"/>
                <w:kern w:val="0"/>
                <w:sz w:val="22"/>
                <w:lang w:bidi="ar"/>
              </w:rPr>
              <w:t>0</w:t>
            </w:r>
          </w:p>
        </w:tc>
        <w:tc>
          <w:tcPr>
            <w:tcW w:w="1903" w:type="dxa"/>
            <w:shd w:val="clear" w:color="auto" w:fill="auto"/>
            <w:vAlign w:val="center"/>
          </w:tcPr>
          <w:p w14:paraId="16F1F294">
            <w:pPr>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szCs w:val="21"/>
                <w:lang w:val="en-US" w:eastAsia="zh-CN"/>
              </w:rPr>
              <w:t>0.0016</w:t>
            </w:r>
          </w:p>
        </w:tc>
        <w:tc>
          <w:tcPr>
            <w:tcW w:w="1006" w:type="dxa"/>
            <w:shd w:val="clear" w:color="auto" w:fill="auto"/>
            <w:vAlign w:val="center"/>
          </w:tcPr>
          <w:p w14:paraId="765BF88B">
            <w:pPr>
              <w:widowControl/>
              <w:jc w:val="center"/>
              <w:textAlignment w:val="center"/>
              <w:rPr>
                <w:rFonts w:ascii="Times New Roman" w:hAnsi="Times New Roman" w:eastAsia="宋体" w:cs="Times New Roman"/>
                <w:color w:val="auto"/>
                <w:kern w:val="0"/>
                <w:sz w:val="22"/>
                <w:szCs w:val="22"/>
                <w:lang w:val="en-US" w:eastAsia="zh-CN" w:bidi="ar"/>
              </w:rPr>
            </w:pPr>
            <w:r>
              <w:rPr>
                <w:rFonts w:cs="Times New Roman"/>
                <w:color w:val="auto"/>
                <w:kern w:val="0"/>
                <w:sz w:val="22"/>
                <w:lang w:bidi="ar"/>
              </w:rPr>
              <w:t>0</w:t>
            </w:r>
          </w:p>
        </w:tc>
      </w:tr>
      <w:tr w14:paraId="71A3AE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trPr>
        <w:tc>
          <w:tcPr>
            <w:tcW w:w="1117" w:type="dxa"/>
            <w:vMerge w:val="restart"/>
            <w:vAlign w:val="center"/>
          </w:tcPr>
          <w:p w14:paraId="6672D4BC">
            <w:pPr>
              <w:spacing w:line="276" w:lineRule="auto"/>
              <w:jc w:val="center"/>
              <w:rPr>
                <w:rFonts w:cs="Times New Roman"/>
                <w:color w:val="auto"/>
                <w:szCs w:val="21"/>
              </w:rPr>
            </w:pPr>
            <w:r>
              <w:rPr>
                <w:rFonts w:cs="Times New Roman"/>
                <w:color w:val="auto"/>
                <w:szCs w:val="21"/>
              </w:rPr>
              <w:t>废水</w:t>
            </w:r>
          </w:p>
        </w:tc>
        <w:tc>
          <w:tcPr>
            <w:tcW w:w="1951" w:type="dxa"/>
            <w:vAlign w:val="center"/>
          </w:tcPr>
          <w:p w14:paraId="3593D1A1">
            <w:pPr>
              <w:spacing w:line="276" w:lineRule="auto"/>
              <w:jc w:val="center"/>
              <w:rPr>
                <w:rFonts w:cs="Times New Roman"/>
                <w:color w:val="auto"/>
                <w:szCs w:val="21"/>
              </w:rPr>
            </w:pPr>
            <w:r>
              <w:rPr>
                <w:rFonts w:cs="Times New Roman"/>
                <w:color w:val="auto"/>
                <w:szCs w:val="21"/>
              </w:rPr>
              <w:t>COD</w:t>
            </w:r>
          </w:p>
        </w:tc>
        <w:tc>
          <w:tcPr>
            <w:tcW w:w="1774" w:type="dxa"/>
            <w:vAlign w:val="center"/>
          </w:tcPr>
          <w:p w14:paraId="71EAE44C">
            <w:pPr>
              <w:spacing w:line="276" w:lineRule="auto"/>
              <w:jc w:val="center"/>
              <w:rPr>
                <w:rFonts w:cs="Times New Roman"/>
                <w:color w:val="auto"/>
                <w:szCs w:val="21"/>
              </w:rPr>
            </w:pPr>
            <w:r>
              <w:rPr>
                <w:rFonts w:cs="Times New Roman"/>
                <w:color w:val="auto"/>
                <w:szCs w:val="21"/>
              </w:rPr>
              <w:t>0</w:t>
            </w:r>
          </w:p>
        </w:tc>
        <w:tc>
          <w:tcPr>
            <w:tcW w:w="1770" w:type="dxa"/>
            <w:vAlign w:val="center"/>
          </w:tcPr>
          <w:p w14:paraId="545E3E29">
            <w:pPr>
              <w:spacing w:line="276" w:lineRule="auto"/>
              <w:jc w:val="center"/>
              <w:rPr>
                <w:rFonts w:cs="Times New Roman"/>
                <w:color w:val="auto"/>
                <w:szCs w:val="21"/>
              </w:rPr>
            </w:pPr>
            <w:r>
              <w:rPr>
                <w:rFonts w:cs="Times New Roman"/>
                <w:color w:val="auto"/>
                <w:szCs w:val="21"/>
              </w:rPr>
              <w:t>0</w:t>
            </w:r>
          </w:p>
        </w:tc>
        <w:tc>
          <w:tcPr>
            <w:tcW w:w="1774" w:type="dxa"/>
            <w:vAlign w:val="center"/>
          </w:tcPr>
          <w:p w14:paraId="090F5C84">
            <w:pPr>
              <w:spacing w:line="276" w:lineRule="auto"/>
              <w:jc w:val="center"/>
              <w:rPr>
                <w:rFonts w:cs="Times New Roman"/>
                <w:color w:val="auto"/>
                <w:szCs w:val="21"/>
              </w:rPr>
            </w:pPr>
            <w:r>
              <w:rPr>
                <w:rFonts w:cs="Times New Roman"/>
                <w:color w:val="auto"/>
                <w:szCs w:val="21"/>
              </w:rPr>
              <w:t>0</w:t>
            </w:r>
          </w:p>
        </w:tc>
        <w:tc>
          <w:tcPr>
            <w:tcW w:w="1775" w:type="dxa"/>
            <w:vAlign w:val="center"/>
          </w:tcPr>
          <w:p w14:paraId="1FEF0245">
            <w:pPr>
              <w:spacing w:line="276" w:lineRule="auto"/>
              <w:jc w:val="center"/>
              <w:rPr>
                <w:rFonts w:cs="Times New Roman"/>
                <w:color w:val="auto"/>
                <w:szCs w:val="21"/>
              </w:rPr>
            </w:pPr>
            <w:r>
              <w:rPr>
                <w:rFonts w:cs="Times New Roman"/>
                <w:color w:val="auto"/>
                <w:szCs w:val="21"/>
              </w:rPr>
              <w:t>0</w:t>
            </w:r>
          </w:p>
        </w:tc>
        <w:tc>
          <w:tcPr>
            <w:tcW w:w="1647" w:type="dxa"/>
            <w:vAlign w:val="center"/>
          </w:tcPr>
          <w:p w14:paraId="0A7EBFB8">
            <w:pPr>
              <w:spacing w:line="276" w:lineRule="auto"/>
              <w:jc w:val="center"/>
              <w:rPr>
                <w:rFonts w:cs="Times New Roman"/>
                <w:color w:val="auto"/>
                <w:szCs w:val="21"/>
              </w:rPr>
            </w:pPr>
            <w:r>
              <w:rPr>
                <w:rFonts w:cs="Times New Roman"/>
                <w:color w:val="auto"/>
                <w:szCs w:val="21"/>
              </w:rPr>
              <w:t>0</w:t>
            </w:r>
          </w:p>
        </w:tc>
        <w:tc>
          <w:tcPr>
            <w:tcW w:w="1903" w:type="dxa"/>
            <w:shd w:val="clear" w:color="auto" w:fill="auto"/>
            <w:vAlign w:val="center"/>
          </w:tcPr>
          <w:p w14:paraId="60E76AAE">
            <w:pPr>
              <w:spacing w:line="276" w:lineRule="auto"/>
              <w:jc w:val="center"/>
              <w:rPr>
                <w:rFonts w:ascii="Times New Roman" w:hAnsi="Times New Roman" w:eastAsia="宋体" w:cs="Times New Roman"/>
                <w:color w:val="auto"/>
                <w:kern w:val="2"/>
                <w:sz w:val="21"/>
                <w:szCs w:val="21"/>
                <w:lang w:val="en-US" w:eastAsia="zh-CN" w:bidi="ar-SA"/>
              </w:rPr>
            </w:pPr>
            <w:r>
              <w:rPr>
                <w:rFonts w:cs="Times New Roman"/>
                <w:color w:val="auto"/>
                <w:szCs w:val="21"/>
              </w:rPr>
              <w:t>0</w:t>
            </w:r>
          </w:p>
        </w:tc>
        <w:tc>
          <w:tcPr>
            <w:tcW w:w="1006" w:type="dxa"/>
            <w:vAlign w:val="center"/>
          </w:tcPr>
          <w:p w14:paraId="286BDD50">
            <w:pPr>
              <w:spacing w:line="276" w:lineRule="auto"/>
              <w:jc w:val="center"/>
              <w:rPr>
                <w:rFonts w:cs="Times New Roman"/>
                <w:color w:val="auto"/>
                <w:szCs w:val="21"/>
              </w:rPr>
            </w:pPr>
            <w:r>
              <w:rPr>
                <w:rFonts w:cs="Times New Roman"/>
                <w:color w:val="auto"/>
                <w:szCs w:val="21"/>
              </w:rPr>
              <w:t>0</w:t>
            </w:r>
          </w:p>
        </w:tc>
      </w:tr>
      <w:tr w14:paraId="10F825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trPr>
        <w:tc>
          <w:tcPr>
            <w:tcW w:w="1117" w:type="dxa"/>
            <w:vMerge w:val="continue"/>
            <w:vAlign w:val="center"/>
          </w:tcPr>
          <w:p w14:paraId="3C60AD49">
            <w:pPr>
              <w:spacing w:line="276" w:lineRule="auto"/>
              <w:jc w:val="center"/>
              <w:rPr>
                <w:rFonts w:cs="Times New Roman"/>
                <w:color w:val="auto"/>
                <w:szCs w:val="21"/>
              </w:rPr>
            </w:pPr>
          </w:p>
        </w:tc>
        <w:tc>
          <w:tcPr>
            <w:tcW w:w="1951" w:type="dxa"/>
            <w:vAlign w:val="center"/>
          </w:tcPr>
          <w:p w14:paraId="168EB334">
            <w:pPr>
              <w:spacing w:line="276" w:lineRule="auto"/>
              <w:jc w:val="center"/>
              <w:rPr>
                <w:rFonts w:cs="Times New Roman"/>
                <w:color w:val="auto"/>
                <w:szCs w:val="21"/>
              </w:rPr>
            </w:pPr>
            <w:r>
              <w:rPr>
                <w:rFonts w:cs="Times New Roman"/>
                <w:color w:val="auto"/>
                <w:szCs w:val="21"/>
              </w:rPr>
              <w:t>NH</w:t>
            </w:r>
            <w:r>
              <w:rPr>
                <w:rFonts w:cs="Times New Roman"/>
                <w:color w:val="auto"/>
                <w:szCs w:val="21"/>
                <w:vertAlign w:val="subscript"/>
              </w:rPr>
              <w:t>3</w:t>
            </w:r>
            <w:r>
              <w:rPr>
                <w:rFonts w:cs="Times New Roman"/>
                <w:color w:val="auto"/>
                <w:szCs w:val="21"/>
              </w:rPr>
              <w:t>-N</w:t>
            </w:r>
          </w:p>
        </w:tc>
        <w:tc>
          <w:tcPr>
            <w:tcW w:w="1774" w:type="dxa"/>
            <w:vAlign w:val="center"/>
          </w:tcPr>
          <w:p w14:paraId="7FDE698C">
            <w:pPr>
              <w:spacing w:line="276" w:lineRule="auto"/>
              <w:jc w:val="center"/>
              <w:rPr>
                <w:rFonts w:cs="Times New Roman"/>
                <w:color w:val="auto"/>
                <w:szCs w:val="21"/>
              </w:rPr>
            </w:pPr>
            <w:r>
              <w:rPr>
                <w:rFonts w:cs="Times New Roman"/>
                <w:color w:val="auto"/>
                <w:szCs w:val="21"/>
              </w:rPr>
              <w:t>0</w:t>
            </w:r>
          </w:p>
        </w:tc>
        <w:tc>
          <w:tcPr>
            <w:tcW w:w="1770" w:type="dxa"/>
            <w:vAlign w:val="center"/>
          </w:tcPr>
          <w:p w14:paraId="33007425">
            <w:pPr>
              <w:spacing w:line="276" w:lineRule="auto"/>
              <w:jc w:val="center"/>
              <w:rPr>
                <w:rFonts w:cs="Times New Roman"/>
                <w:color w:val="auto"/>
                <w:szCs w:val="21"/>
              </w:rPr>
            </w:pPr>
            <w:r>
              <w:rPr>
                <w:rFonts w:cs="Times New Roman"/>
                <w:color w:val="auto"/>
                <w:szCs w:val="21"/>
              </w:rPr>
              <w:t>0</w:t>
            </w:r>
          </w:p>
        </w:tc>
        <w:tc>
          <w:tcPr>
            <w:tcW w:w="1774" w:type="dxa"/>
            <w:vAlign w:val="center"/>
          </w:tcPr>
          <w:p w14:paraId="3527E20E">
            <w:pPr>
              <w:spacing w:line="276" w:lineRule="auto"/>
              <w:jc w:val="center"/>
              <w:rPr>
                <w:rFonts w:cs="Times New Roman"/>
                <w:color w:val="auto"/>
                <w:szCs w:val="21"/>
              </w:rPr>
            </w:pPr>
            <w:r>
              <w:rPr>
                <w:rFonts w:cs="Times New Roman"/>
                <w:color w:val="auto"/>
                <w:szCs w:val="21"/>
              </w:rPr>
              <w:t>0</w:t>
            </w:r>
          </w:p>
        </w:tc>
        <w:tc>
          <w:tcPr>
            <w:tcW w:w="1775" w:type="dxa"/>
            <w:vAlign w:val="center"/>
          </w:tcPr>
          <w:p w14:paraId="534B7954">
            <w:pPr>
              <w:spacing w:line="276" w:lineRule="auto"/>
              <w:jc w:val="center"/>
              <w:rPr>
                <w:rFonts w:cs="Times New Roman"/>
                <w:color w:val="auto"/>
                <w:szCs w:val="21"/>
              </w:rPr>
            </w:pPr>
            <w:r>
              <w:rPr>
                <w:rFonts w:cs="Times New Roman"/>
                <w:color w:val="auto"/>
                <w:szCs w:val="21"/>
              </w:rPr>
              <w:t>0</w:t>
            </w:r>
          </w:p>
        </w:tc>
        <w:tc>
          <w:tcPr>
            <w:tcW w:w="1647" w:type="dxa"/>
            <w:vAlign w:val="center"/>
          </w:tcPr>
          <w:p w14:paraId="53BEE237">
            <w:pPr>
              <w:spacing w:line="276" w:lineRule="auto"/>
              <w:jc w:val="center"/>
              <w:rPr>
                <w:rFonts w:cs="Times New Roman"/>
                <w:color w:val="auto"/>
                <w:szCs w:val="21"/>
              </w:rPr>
            </w:pPr>
            <w:r>
              <w:rPr>
                <w:rFonts w:cs="Times New Roman"/>
                <w:color w:val="auto"/>
                <w:szCs w:val="21"/>
              </w:rPr>
              <w:t>0</w:t>
            </w:r>
          </w:p>
        </w:tc>
        <w:tc>
          <w:tcPr>
            <w:tcW w:w="1903" w:type="dxa"/>
            <w:shd w:val="clear" w:color="auto" w:fill="auto"/>
            <w:vAlign w:val="center"/>
          </w:tcPr>
          <w:p w14:paraId="319C34EA">
            <w:pPr>
              <w:spacing w:line="276" w:lineRule="auto"/>
              <w:jc w:val="center"/>
              <w:rPr>
                <w:rFonts w:ascii="Times New Roman" w:hAnsi="Times New Roman" w:eastAsia="宋体" w:cs="Times New Roman"/>
                <w:color w:val="auto"/>
                <w:kern w:val="2"/>
                <w:sz w:val="21"/>
                <w:szCs w:val="21"/>
                <w:lang w:val="en-US" w:eastAsia="zh-CN" w:bidi="ar-SA"/>
              </w:rPr>
            </w:pPr>
            <w:r>
              <w:rPr>
                <w:rFonts w:cs="Times New Roman"/>
                <w:color w:val="auto"/>
                <w:szCs w:val="21"/>
              </w:rPr>
              <w:t>0</w:t>
            </w:r>
          </w:p>
        </w:tc>
        <w:tc>
          <w:tcPr>
            <w:tcW w:w="1006" w:type="dxa"/>
            <w:vAlign w:val="center"/>
          </w:tcPr>
          <w:p w14:paraId="1A46FE48">
            <w:pPr>
              <w:spacing w:line="276" w:lineRule="auto"/>
              <w:jc w:val="center"/>
              <w:rPr>
                <w:rFonts w:cs="Times New Roman"/>
                <w:color w:val="auto"/>
                <w:szCs w:val="21"/>
              </w:rPr>
            </w:pPr>
            <w:r>
              <w:rPr>
                <w:rFonts w:cs="Times New Roman"/>
                <w:color w:val="auto"/>
                <w:szCs w:val="21"/>
              </w:rPr>
              <w:t>0</w:t>
            </w:r>
          </w:p>
        </w:tc>
      </w:tr>
      <w:tr w14:paraId="407E87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trPr>
        <w:tc>
          <w:tcPr>
            <w:tcW w:w="1117" w:type="dxa"/>
            <w:vMerge w:val="continue"/>
            <w:vAlign w:val="center"/>
          </w:tcPr>
          <w:p w14:paraId="5B20D847">
            <w:pPr>
              <w:spacing w:line="276" w:lineRule="auto"/>
              <w:jc w:val="center"/>
              <w:rPr>
                <w:rFonts w:cs="Times New Roman"/>
                <w:color w:val="auto"/>
                <w:szCs w:val="21"/>
              </w:rPr>
            </w:pPr>
          </w:p>
        </w:tc>
        <w:tc>
          <w:tcPr>
            <w:tcW w:w="1951" w:type="dxa"/>
            <w:vAlign w:val="center"/>
          </w:tcPr>
          <w:p w14:paraId="3CD0DBF3">
            <w:pPr>
              <w:spacing w:line="276" w:lineRule="auto"/>
              <w:jc w:val="center"/>
              <w:rPr>
                <w:rFonts w:cs="Times New Roman"/>
                <w:color w:val="auto"/>
                <w:szCs w:val="21"/>
              </w:rPr>
            </w:pPr>
            <w:r>
              <w:rPr>
                <w:rFonts w:cs="Times New Roman"/>
                <w:color w:val="auto"/>
                <w:szCs w:val="21"/>
              </w:rPr>
              <w:t>TP</w:t>
            </w:r>
          </w:p>
        </w:tc>
        <w:tc>
          <w:tcPr>
            <w:tcW w:w="1774" w:type="dxa"/>
            <w:vAlign w:val="center"/>
          </w:tcPr>
          <w:p w14:paraId="18A005B1">
            <w:pPr>
              <w:spacing w:line="276" w:lineRule="auto"/>
              <w:jc w:val="center"/>
              <w:rPr>
                <w:rFonts w:cs="Times New Roman"/>
                <w:color w:val="auto"/>
                <w:szCs w:val="21"/>
              </w:rPr>
            </w:pPr>
            <w:r>
              <w:rPr>
                <w:rFonts w:cs="Times New Roman"/>
                <w:color w:val="auto"/>
                <w:szCs w:val="21"/>
              </w:rPr>
              <w:t>0</w:t>
            </w:r>
          </w:p>
        </w:tc>
        <w:tc>
          <w:tcPr>
            <w:tcW w:w="1770" w:type="dxa"/>
            <w:vAlign w:val="center"/>
          </w:tcPr>
          <w:p w14:paraId="70EB39E9">
            <w:pPr>
              <w:spacing w:line="276" w:lineRule="auto"/>
              <w:jc w:val="center"/>
              <w:rPr>
                <w:rFonts w:cs="Times New Roman"/>
                <w:color w:val="auto"/>
                <w:szCs w:val="21"/>
              </w:rPr>
            </w:pPr>
            <w:r>
              <w:rPr>
                <w:rFonts w:cs="Times New Roman"/>
                <w:color w:val="auto"/>
                <w:szCs w:val="21"/>
              </w:rPr>
              <w:t>0</w:t>
            </w:r>
          </w:p>
        </w:tc>
        <w:tc>
          <w:tcPr>
            <w:tcW w:w="1774" w:type="dxa"/>
            <w:vAlign w:val="center"/>
          </w:tcPr>
          <w:p w14:paraId="529AB36D">
            <w:pPr>
              <w:spacing w:line="276" w:lineRule="auto"/>
              <w:jc w:val="center"/>
              <w:rPr>
                <w:rFonts w:cs="Times New Roman"/>
                <w:color w:val="auto"/>
                <w:szCs w:val="21"/>
              </w:rPr>
            </w:pPr>
            <w:r>
              <w:rPr>
                <w:rFonts w:cs="Times New Roman"/>
                <w:color w:val="auto"/>
                <w:szCs w:val="21"/>
              </w:rPr>
              <w:t>0</w:t>
            </w:r>
          </w:p>
        </w:tc>
        <w:tc>
          <w:tcPr>
            <w:tcW w:w="1775" w:type="dxa"/>
            <w:vAlign w:val="center"/>
          </w:tcPr>
          <w:p w14:paraId="1085938C">
            <w:pPr>
              <w:spacing w:line="276" w:lineRule="auto"/>
              <w:jc w:val="center"/>
              <w:rPr>
                <w:rFonts w:cs="Times New Roman"/>
                <w:color w:val="auto"/>
                <w:szCs w:val="21"/>
              </w:rPr>
            </w:pPr>
            <w:r>
              <w:rPr>
                <w:rFonts w:cs="Times New Roman"/>
                <w:color w:val="auto"/>
                <w:szCs w:val="21"/>
              </w:rPr>
              <w:t>0</w:t>
            </w:r>
          </w:p>
        </w:tc>
        <w:tc>
          <w:tcPr>
            <w:tcW w:w="1647" w:type="dxa"/>
            <w:vAlign w:val="center"/>
          </w:tcPr>
          <w:p w14:paraId="4B31037C">
            <w:pPr>
              <w:spacing w:line="276" w:lineRule="auto"/>
              <w:jc w:val="center"/>
              <w:rPr>
                <w:rFonts w:cs="Times New Roman"/>
                <w:color w:val="auto"/>
                <w:szCs w:val="21"/>
              </w:rPr>
            </w:pPr>
            <w:r>
              <w:rPr>
                <w:rFonts w:cs="Times New Roman"/>
                <w:color w:val="auto"/>
                <w:szCs w:val="21"/>
              </w:rPr>
              <w:t>0</w:t>
            </w:r>
          </w:p>
        </w:tc>
        <w:tc>
          <w:tcPr>
            <w:tcW w:w="1903" w:type="dxa"/>
            <w:shd w:val="clear" w:color="auto" w:fill="auto"/>
            <w:vAlign w:val="center"/>
          </w:tcPr>
          <w:p w14:paraId="688CD26C">
            <w:pPr>
              <w:spacing w:line="276" w:lineRule="auto"/>
              <w:jc w:val="center"/>
              <w:rPr>
                <w:rFonts w:ascii="Times New Roman" w:hAnsi="Times New Roman" w:eastAsia="宋体" w:cs="Times New Roman"/>
                <w:color w:val="auto"/>
                <w:kern w:val="2"/>
                <w:sz w:val="21"/>
                <w:szCs w:val="21"/>
                <w:lang w:val="en-US" w:eastAsia="zh-CN" w:bidi="ar-SA"/>
              </w:rPr>
            </w:pPr>
            <w:r>
              <w:rPr>
                <w:rFonts w:cs="Times New Roman"/>
                <w:color w:val="auto"/>
                <w:szCs w:val="21"/>
              </w:rPr>
              <w:t>0</w:t>
            </w:r>
          </w:p>
        </w:tc>
        <w:tc>
          <w:tcPr>
            <w:tcW w:w="1006" w:type="dxa"/>
            <w:vAlign w:val="center"/>
          </w:tcPr>
          <w:p w14:paraId="21419262">
            <w:pPr>
              <w:spacing w:line="276" w:lineRule="auto"/>
              <w:jc w:val="center"/>
              <w:rPr>
                <w:rFonts w:cs="Times New Roman"/>
                <w:color w:val="auto"/>
                <w:szCs w:val="21"/>
              </w:rPr>
            </w:pPr>
            <w:r>
              <w:rPr>
                <w:rFonts w:cs="Times New Roman"/>
                <w:color w:val="auto"/>
                <w:szCs w:val="21"/>
              </w:rPr>
              <w:t>0</w:t>
            </w:r>
          </w:p>
        </w:tc>
      </w:tr>
      <w:tr w14:paraId="696CF5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trPr>
        <w:tc>
          <w:tcPr>
            <w:tcW w:w="1117" w:type="dxa"/>
            <w:vMerge w:val="restart"/>
            <w:vAlign w:val="center"/>
          </w:tcPr>
          <w:p w14:paraId="3C20217F">
            <w:pPr>
              <w:spacing w:line="276" w:lineRule="auto"/>
              <w:jc w:val="center"/>
              <w:rPr>
                <w:rFonts w:cs="Times New Roman"/>
                <w:color w:val="auto"/>
                <w:szCs w:val="21"/>
              </w:rPr>
            </w:pPr>
            <w:r>
              <w:rPr>
                <w:rFonts w:cs="Times New Roman"/>
                <w:color w:val="auto"/>
                <w:szCs w:val="21"/>
              </w:rPr>
              <w:t>一般工业</w:t>
            </w:r>
          </w:p>
          <w:p w14:paraId="56FE4D0D">
            <w:pPr>
              <w:spacing w:line="276" w:lineRule="auto"/>
              <w:jc w:val="center"/>
              <w:rPr>
                <w:rFonts w:cs="Times New Roman"/>
                <w:color w:val="auto"/>
                <w:szCs w:val="21"/>
              </w:rPr>
            </w:pPr>
            <w:r>
              <w:rPr>
                <w:rFonts w:cs="Times New Roman"/>
                <w:color w:val="auto"/>
                <w:szCs w:val="21"/>
              </w:rPr>
              <w:t>固体废物</w:t>
            </w:r>
          </w:p>
        </w:tc>
        <w:tc>
          <w:tcPr>
            <w:tcW w:w="1951" w:type="dxa"/>
            <w:vAlign w:val="center"/>
          </w:tcPr>
          <w:p w14:paraId="63020461">
            <w:pPr>
              <w:jc w:val="center"/>
              <w:rPr>
                <w:rFonts w:cs="Times New Roman"/>
                <w:color w:val="auto"/>
                <w:szCs w:val="21"/>
              </w:rPr>
            </w:pPr>
            <w:r>
              <w:rPr>
                <w:rFonts w:cs="Times New Roman"/>
                <w:color w:val="auto"/>
                <w:szCs w:val="21"/>
              </w:rPr>
              <w:t>生活垃圾</w:t>
            </w:r>
          </w:p>
        </w:tc>
        <w:tc>
          <w:tcPr>
            <w:tcW w:w="1774" w:type="dxa"/>
            <w:shd w:val="clear" w:color="auto" w:fill="auto"/>
            <w:vAlign w:val="center"/>
          </w:tcPr>
          <w:p w14:paraId="26952591">
            <w:pPr>
              <w:spacing w:line="276" w:lineRule="auto"/>
              <w:jc w:val="center"/>
              <w:rPr>
                <w:rFonts w:ascii="Times New Roman" w:hAnsi="Times New Roman" w:eastAsia="宋体" w:cs="Times New Roman"/>
                <w:color w:val="auto"/>
                <w:kern w:val="2"/>
                <w:sz w:val="21"/>
                <w:szCs w:val="21"/>
                <w:lang w:val="en-US" w:eastAsia="zh-CN" w:bidi="ar-SA"/>
              </w:rPr>
            </w:pPr>
            <w:r>
              <w:rPr>
                <w:rFonts w:cs="Times New Roman"/>
                <w:color w:val="auto"/>
                <w:szCs w:val="21"/>
              </w:rPr>
              <w:t>0</w:t>
            </w:r>
          </w:p>
        </w:tc>
        <w:tc>
          <w:tcPr>
            <w:tcW w:w="1770" w:type="dxa"/>
            <w:vAlign w:val="center"/>
          </w:tcPr>
          <w:p w14:paraId="29F74AAE">
            <w:pPr>
              <w:spacing w:line="276" w:lineRule="auto"/>
              <w:jc w:val="center"/>
              <w:rPr>
                <w:rFonts w:cs="Times New Roman"/>
                <w:color w:val="auto"/>
                <w:szCs w:val="21"/>
              </w:rPr>
            </w:pPr>
            <w:r>
              <w:rPr>
                <w:rFonts w:cs="Times New Roman"/>
                <w:color w:val="auto"/>
                <w:szCs w:val="21"/>
              </w:rPr>
              <w:t>0</w:t>
            </w:r>
          </w:p>
        </w:tc>
        <w:tc>
          <w:tcPr>
            <w:tcW w:w="1774" w:type="dxa"/>
            <w:vAlign w:val="center"/>
          </w:tcPr>
          <w:p w14:paraId="220C8725">
            <w:pPr>
              <w:spacing w:line="276" w:lineRule="auto"/>
              <w:jc w:val="center"/>
              <w:rPr>
                <w:rFonts w:cs="Times New Roman"/>
                <w:color w:val="auto"/>
                <w:szCs w:val="21"/>
              </w:rPr>
            </w:pPr>
            <w:r>
              <w:rPr>
                <w:rFonts w:cs="Times New Roman"/>
                <w:color w:val="auto"/>
                <w:szCs w:val="21"/>
              </w:rPr>
              <w:t>0</w:t>
            </w:r>
          </w:p>
        </w:tc>
        <w:tc>
          <w:tcPr>
            <w:tcW w:w="1775" w:type="dxa"/>
            <w:shd w:val="clear" w:color="auto" w:fill="auto"/>
            <w:vAlign w:val="center"/>
          </w:tcPr>
          <w:p w14:paraId="03F6620A">
            <w:pPr>
              <w:spacing w:line="276" w:lineRule="auto"/>
              <w:jc w:val="center"/>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2.25</w:t>
            </w:r>
          </w:p>
        </w:tc>
        <w:tc>
          <w:tcPr>
            <w:tcW w:w="1647" w:type="dxa"/>
            <w:vAlign w:val="center"/>
          </w:tcPr>
          <w:p w14:paraId="4201E795">
            <w:pPr>
              <w:spacing w:line="276" w:lineRule="auto"/>
              <w:jc w:val="center"/>
              <w:rPr>
                <w:rFonts w:cs="Times New Roman"/>
                <w:color w:val="auto"/>
                <w:szCs w:val="21"/>
              </w:rPr>
            </w:pPr>
            <w:r>
              <w:rPr>
                <w:rFonts w:cs="Times New Roman"/>
                <w:color w:val="auto"/>
                <w:szCs w:val="21"/>
              </w:rPr>
              <w:t>0</w:t>
            </w:r>
          </w:p>
        </w:tc>
        <w:tc>
          <w:tcPr>
            <w:tcW w:w="1903" w:type="dxa"/>
            <w:shd w:val="clear" w:color="auto" w:fill="auto"/>
            <w:vAlign w:val="center"/>
          </w:tcPr>
          <w:p w14:paraId="59D6BC9E">
            <w:pPr>
              <w:spacing w:line="276" w:lineRule="auto"/>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2.25</w:t>
            </w:r>
          </w:p>
        </w:tc>
        <w:tc>
          <w:tcPr>
            <w:tcW w:w="1006" w:type="dxa"/>
            <w:vAlign w:val="center"/>
          </w:tcPr>
          <w:p w14:paraId="5147A712">
            <w:pPr>
              <w:tabs>
                <w:tab w:val="left" w:pos="1134"/>
              </w:tabs>
              <w:jc w:val="center"/>
              <w:rPr>
                <w:rFonts w:cs="Times New Roman"/>
                <w:color w:val="auto"/>
                <w:szCs w:val="21"/>
              </w:rPr>
            </w:pPr>
            <w:r>
              <w:rPr>
                <w:rFonts w:hint="eastAsia" w:cs="Times New Roman"/>
                <w:color w:val="auto"/>
                <w:szCs w:val="21"/>
              </w:rPr>
              <w:t>0</w:t>
            </w:r>
          </w:p>
        </w:tc>
      </w:tr>
      <w:tr w14:paraId="58C5FC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trPr>
        <w:tc>
          <w:tcPr>
            <w:tcW w:w="1117" w:type="dxa"/>
            <w:vMerge w:val="continue"/>
            <w:vAlign w:val="center"/>
          </w:tcPr>
          <w:p w14:paraId="3649A5AF">
            <w:pPr>
              <w:spacing w:line="276" w:lineRule="auto"/>
              <w:jc w:val="center"/>
              <w:rPr>
                <w:rFonts w:cs="Times New Roman"/>
                <w:color w:val="auto"/>
                <w:szCs w:val="21"/>
              </w:rPr>
            </w:pPr>
          </w:p>
        </w:tc>
        <w:tc>
          <w:tcPr>
            <w:tcW w:w="1951" w:type="dxa"/>
            <w:vAlign w:val="center"/>
          </w:tcPr>
          <w:p w14:paraId="7F88129E">
            <w:pPr>
              <w:jc w:val="center"/>
              <w:rPr>
                <w:rFonts w:cs="Times New Roman"/>
                <w:color w:val="auto"/>
                <w:szCs w:val="21"/>
              </w:rPr>
            </w:pPr>
            <w:r>
              <w:rPr>
                <w:rFonts w:hint="eastAsia" w:cs="Times New Roman"/>
                <w:color w:val="auto"/>
                <w:szCs w:val="21"/>
                <w:lang w:eastAsia="zh-CN"/>
              </w:rPr>
              <w:t>粗</w:t>
            </w:r>
            <w:r>
              <w:rPr>
                <w:rFonts w:cs="Times New Roman"/>
                <w:color w:val="auto"/>
                <w:szCs w:val="21"/>
              </w:rPr>
              <w:t>砂</w:t>
            </w:r>
          </w:p>
        </w:tc>
        <w:tc>
          <w:tcPr>
            <w:tcW w:w="1774" w:type="dxa"/>
            <w:shd w:val="clear" w:color="auto" w:fill="auto"/>
            <w:vAlign w:val="center"/>
          </w:tcPr>
          <w:p w14:paraId="76AD4B26">
            <w:pPr>
              <w:tabs>
                <w:tab w:val="left" w:pos="1134"/>
              </w:tabs>
              <w:jc w:val="center"/>
              <w:rPr>
                <w:rFonts w:ascii="Times New Roman" w:hAnsi="Times New Roman" w:eastAsia="宋体" w:cs="Times New Roman"/>
                <w:color w:val="auto"/>
                <w:kern w:val="2"/>
                <w:sz w:val="21"/>
                <w:szCs w:val="21"/>
                <w:lang w:val="en-US" w:eastAsia="zh-CN" w:bidi="ar-SA"/>
              </w:rPr>
            </w:pPr>
            <w:r>
              <w:rPr>
                <w:rFonts w:hint="eastAsia" w:cs="Times New Roman"/>
                <w:color w:val="auto"/>
                <w:szCs w:val="21"/>
              </w:rPr>
              <w:t>0</w:t>
            </w:r>
          </w:p>
        </w:tc>
        <w:tc>
          <w:tcPr>
            <w:tcW w:w="1770" w:type="dxa"/>
            <w:vAlign w:val="center"/>
          </w:tcPr>
          <w:p w14:paraId="514210EA">
            <w:pPr>
              <w:spacing w:line="276" w:lineRule="auto"/>
              <w:jc w:val="center"/>
              <w:rPr>
                <w:rFonts w:cs="Times New Roman"/>
                <w:color w:val="auto"/>
                <w:szCs w:val="21"/>
              </w:rPr>
            </w:pPr>
            <w:r>
              <w:rPr>
                <w:rFonts w:cs="Times New Roman"/>
                <w:color w:val="auto"/>
                <w:szCs w:val="21"/>
              </w:rPr>
              <w:t>0</w:t>
            </w:r>
          </w:p>
        </w:tc>
        <w:tc>
          <w:tcPr>
            <w:tcW w:w="1774" w:type="dxa"/>
            <w:vAlign w:val="center"/>
          </w:tcPr>
          <w:p w14:paraId="5D0DD635">
            <w:pPr>
              <w:spacing w:line="276" w:lineRule="auto"/>
              <w:jc w:val="center"/>
              <w:rPr>
                <w:rFonts w:cs="Times New Roman"/>
                <w:color w:val="auto"/>
                <w:szCs w:val="21"/>
              </w:rPr>
            </w:pPr>
            <w:r>
              <w:rPr>
                <w:rFonts w:cs="Times New Roman"/>
                <w:color w:val="auto"/>
                <w:szCs w:val="21"/>
              </w:rPr>
              <w:t>0</w:t>
            </w:r>
          </w:p>
        </w:tc>
        <w:tc>
          <w:tcPr>
            <w:tcW w:w="1775" w:type="dxa"/>
            <w:shd w:val="clear" w:color="auto" w:fill="auto"/>
            <w:vAlign w:val="center"/>
          </w:tcPr>
          <w:p w14:paraId="60167AB5">
            <w:pPr>
              <w:tabs>
                <w:tab w:val="left" w:pos="1134"/>
              </w:tabs>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750</w:t>
            </w:r>
          </w:p>
        </w:tc>
        <w:tc>
          <w:tcPr>
            <w:tcW w:w="1647" w:type="dxa"/>
            <w:vAlign w:val="center"/>
          </w:tcPr>
          <w:p w14:paraId="3F212303">
            <w:pPr>
              <w:spacing w:line="276" w:lineRule="auto"/>
              <w:jc w:val="center"/>
              <w:rPr>
                <w:rFonts w:cs="Times New Roman"/>
                <w:color w:val="auto"/>
                <w:szCs w:val="21"/>
              </w:rPr>
            </w:pPr>
            <w:r>
              <w:rPr>
                <w:rFonts w:hint="eastAsia" w:cs="Times New Roman"/>
                <w:color w:val="auto"/>
                <w:szCs w:val="21"/>
              </w:rPr>
              <w:t>0</w:t>
            </w:r>
          </w:p>
        </w:tc>
        <w:tc>
          <w:tcPr>
            <w:tcW w:w="1903" w:type="dxa"/>
            <w:shd w:val="clear" w:color="auto" w:fill="auto"/>
            <w:vAlign w:val="center"/>
          </w:tcPr>
          <w:p w14:paraId="4E73E579">
            <w:pPr>
              <w:tabs>
                <w:tab w:val="left" w:pos="1134"/>
              </w:tabs>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750</w:t>
            </w:r>
          </w:p>
        </w:tc>
        <w:tc>
          <w:tcPr>
            <w:tcW w:w="1006" w:type="dxa"/>
            <w:shd w:val="clear" w:color="auto" w:fill="auto"/>
            <w:vAlign w:val="center"/>
          </w:tcPr>
          <w:p w14:paraId="7A9264F1">
            <w:pPr>
              <w:spacing w:line="276" w:lineRule="auto"/>
              <w:jc w:val="center"/>
              <w:rPr>
                <w:rFonts w:ascii="Times New Roman" w:hAnsi="Times New Roman" w:eastAsia="宋体" w:cs="Times New Roman"/>
                <w:color w:val="auto"/>
                <w:kern w:val="2"/>
                <w:sz w:val="21"/>
                <w:szCs w:val="21"/>
                <w:lang w:val="en-US" w:eastAsia="zh-CN" w:bidi="ar-SA"/>
              </w:rPr>
            </w:pPr>
            <w:r>
              <w:rPr>
                <w:rFonts w:cs="Times New Roman"/>
                <w:color w:val="auto"/>
                <w:szCs w:val="21"/>
              </w:rPr>
              <w:t>0</w:t>
            </w:r>
          </w:p>
        </w:tc>
      </w:tr>
      <w:tr w14:paraId="27B0A1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trPr>
        <w:tc>
          <w:tcPr>
            <w:tcW w:w="1117" w:type="dxa"/>
            <w:vMerge w:val="continue"/>
            <w:vAlign w:val="center"/>
          </w:tcPr>
          <w:p w14:paraId="393A425B">
            <w:pPr>
              <w:spacing w:line="276" w:lineRule="auto"/>
              <w:jc w:val="center"/>
              <w:rPr>
                <w:rFonts w:cs="Times New Roman"/>
                <w:color w:val="auto"/>
                <w:szCs w:val="21"/>
              </w:rPr>
            </w:pPr>
          </w:p>
        </w:tc>
        <w:tc>
          <w:tcPr>
            <w:tcW w:w="1951" w:type="dxa"/>
            <w:vAlign w:val="center"/>
          </w:tcPr>
          <w:p w14:paraId="18363F95">
            <w:pPr>
              <w:jc w:val="center"/>
              <w:rPr>
                <w:rFonts w:cs="Times New Roman"/>
                <w:color w:val="auto"/>
                <w:szCs w:val="21"/>
              </w:rPr>
            </w:pPr>
            <w:r>
              <w:rPr>
                <w:rFonts w:hint="eastAsia" w:cs="Times New Roman"/>
                <w:color w:val="auto"/>
                <w:szCs w:val="21"/>
              </w:rPr>
              <w:t>沉淀池</w:t>
            </w:r>
            <w:r>
              <w:rPr>
                <w:rFonts w:hint="eastAsia" w:cs="Times New Roman"/>
                <w:color w:val="auto"/>
                <w:szCs w:val="21"/>
                <w:lang w:eastAsia="zh-CN"/>
              </w:rPr>
              <w:t>泥沙</w:t>
            </w:r>
          </w:p>
        </w:tc>
        <w:tc>
          <w:tcPr>
            <w:tcW w:w="1774" w:type="dxa"/>
            <w:shd w:val="clear" w:color="auto" w:fill="auto"/>
            <w:vAlign w:val="center"/>
          </w:tcPr>
          <w:p w14:paraId="126DCEE5">
            <w:pPr>
              <w:spacing w:line="276" w:lineRule="auto"/>
              <w:jc w:val="center"/>
              <w:rPr>
                <w:rFonts w:ascii="Times New Roman" w:hAnsi="Times New Roman" w:eastAsia="宋体" w:cs="Times New Roman"/>
                <w:color w:val="auto"/>
                <w:kern w:val="2"/>
                <w:sz w:val="21"/>
                <w:szCs w:val="21"/>
                <w:lang w:val="en-US" w:eastAsia="zh-CN" w:bidi="ar-SA"/>
              </w:rPr>
            </w:pPr>
            <w:r>
              <w:rPr>
                <w:rFonts w:cs="Times New Roman"/>
                <w:color w:val="auto"/>
                <w:szCs w:val="21"/>
              </w:rPr>
              <w:t>0</w:t>
            </w:r>
          </w:p>
        </w:tc>
        <w:tc>
          <w:tcPr>
            <w:tcW w:w="1770" w:type="dxa"/>
            <w:vAlign w:val="center"/>
          </w:tcPr>
          <w:p w14:paraId="66F5ACC5">
            <w:pPr>
              <w:spacing w:line="276" w:lineRule="auto"/>
              <w:jc w:val="center"/>
              <w:rPr>
                <w:rFonts w:cs="Times New Roman"/>
                <w:color w:val="auto"/>
                <w:szCs w:val="21"/>
              </w:rPr>
            </w:pPr>
            <w:r>
              <w:rPr>
                <w:rFonts w:cs="Times New Roman"/>
                <w:color w:val="auto"/>
                <w:szCs w:val="21"/>
              </w:rPr>
              <w:t>0</w:t>
            </w:r>
          </w:p>
        </w:tc>
        <w:tc>
          <w:tcPr>
            <w:tcW w:w="1774" w:type="dxa"/>
            <w:vAlign w:val="center"/>
          </w:tcPr>
          <w:p w14:paraId="76FC5549">
            <w:pPr>
              <w:spacing w:line="276" w:lineRule="auto"/>
              <w:jc w:val="center"/>
              <w:rPr>
                <w:rFonts w:cs="Times New Roman"/>
                <w:color w:val="auto"/>
                <w:szCs w:val="21"/>
              </w:rPr>
            </w:pPr>
            <w:r>
              <w:rPr>
                <w:rFonts w:cs="Times New Roman"/>
                <w:color w:val="auto"/>
                <w:szCs w:val="21"/>
              </w:rPr>
              <w:t>0</w:t>
            </w:r>
          </w:p>
        </w:tc>
        <w:tc>
          <w:tcPr>
            <w:tcW w:w="1775" w:type="dxa"/>
            <w:shd w:val="clear" w:color="auto" w:fill="auto"/>
            <w:vAlign w:val="center"/>
          </w:tcPr>
          <w:p w14:paraId="2359C6F9">
            <w:pPr>
              <w:spacing w:line="276" w:lineRule="auto"/>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500</w:t>
            </w:r>
          </w:p>
        </w:tc>
        <w:tc>
          <w:tcPr>
            <w:tcW w:w="1647" w:type="dxa"/>
            <w:shd w:val="clear" w:color="auto" w:fill="auto"/>
            <w:vAlign w:val="center"/>
          </w:tcPr>
          <w:p w14:paraId="4B6FD2BE">
            <w:pPr>
              <w:spacing w:line="276" w:lineRule="auto"/>
              <w:jc w:val="center"/>
              <w:rPr>
                <w:rFonts w:ascii="Times New Roman" w:hAnsi="Times New Roman" w:eastAsia="宋体" w:cs="Times New Roman"/>
                <w:color w:val="auto"/>
                <w:kern w:val="2"/>
                <w:sz w:val="21"/>
                <w:szCs w:val="21"/>
                <w:lang w:val="en-US" w:eastAsia="zh-CN" w:bidi="ar-SA"/>
              </w:rPr>
            </w:pPr>
            <w:r>
              <w:rPr>
                <w:rFonts w:cs="Times New Roman"/>
                <w:color w:val="auto"/>
                <w:szCs w:val="21"/>
              </w:rPr>
              <w:t>0</w:t>
            </w:r>
          </w:p>
        </w:tc>
        <w:tc>
          <w:tcPr>
            <w:tcW w:w="1903" w:type="dxa"/>
            <w:shd w:val="clear" w:color="auto" w:fill="auto"/>
            <w:vAlign w:val="center"/>
          </w:tcPr>
          <w:p w14:paraId="63086EC7">
            <w:pPr>
              <w:spacing w:line="276" w:lineRule="auto"/>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500</w:t>
            </w:r>
          </w:p>
        </w:tc>
        <w:tc>
          <w:tcPr>
            <w:tcW w:w="1006" w:type="dxa"/>
            <w:shd w:val="clear" w:color="auto" w:fill="auto"/>
            <w:vAlign w:val="center"/>
          </w:tcPr>
          <w:p w14:paraId="7769AC06">
            <w:pPr>
              <w:tabs>
                <w:tab w:val="left" w:pos="1134"/>
              </w:tabs>
              <w:jc w:val="center"/>
              <w:rPr>
                <w:rFonts w:ascii="Times New Roman" w:hAnsi="Times New Roman" w:eastAsia="宋体" w:cs="Times New Roman"/>
                <w:color w:val="auto"/>
                <w:kern w:val="2"/>
                <w:sz w:val="21"/>
                <w:szCs w:val="21"/>
                <w:lang w:val="en-US" w:eastAsia="zh-CN" w:bidi="ar-SA"/>
              </w:rPr>
            </w:pPr>
            <w:r>
              <w:rPr>
                <w:rFonts w:hint="eastAsia" w:cs="Times New Roman"/>
                <w:color w:val="auto"/>
                <w:szCs w:val="21"/>
              </w:rPr>
              <w:t>0</w:t>
            </w:r>
          </w:p>
        </w:tc>
      </w:tr>
      <w:tr w14:paraId="7F48E6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trPr>
        <w:tc>
          <w:tcPr>
            <w:tcW w:w="1117" w:type="dxa"/>
            <w:vMerge w:val="continue"/>
            <w:vAlign w:val="center"/>
          </w:tcPr>
          <w:p w14:paraId="5CB768F6">
            <w:pPr>
              <w:spacing w:line="276" w:lineRule="auto"/>
              <w:jc w:val="center"/>
              <w:rPr>
                <w:rFonts w:cs="Times New Roman"/>
                <w:color w:val="auto"/>
                <w:szCs w:val="21"/>
              </w:rPr>
            </w:pPr>
          </w:p>
        </w:tc>
        <w:tc>
          <w:tcPr>
            <w:tcW w:w="1951" w:type="dxa"/>
            <w:vAlign w:val="center"/>
          </w:tcPr>
          <w:p w14:paraId="422557E8">
            <w:pPr>
              <w:jc w:val="center"/>
              <w:rPr>
                <w:rFonts w:cs="Times New Roman"/>
                <w:color w:val="auto"/>
                <w:szCs w:val="21"/>
              </w:rPr>
            </w:pPr>
            <w:r>
              <w:rPr>
                <w:rFonts w:hint="eastAsia" w:cs="Times New Roman"/>
                <w:color w:val="auto"/>
                <w:szCs w:val="21"/>
              </w:rPr>
              <w:t>废边角料</w:t>
            </w:r>
          </w:p>
        </w:tc>
        <w:tc>
          <w:tcPr>
            <w:tcW w:w="1774" w:type="dxa"/>
            <w:shd w:val="clear" w:color="auto" w:fill="auto"/>
            <w:vAlign w:val="center"/>
          </w:tcPr>
          <w:p w14:paraId="79D5CFC8">
            <w:pPr>
              <w:spacing w:line="276" w:lineRule="auto"/>
              <w:jc w:val="center"/>
              <w:rPr>
                <w:rFonts w:ascii="Times New Roman" w:hAnsi="Times New Roman" w:eastAsia="宋体" w:cs="Times New Roman"/>
                <w:color w:val="auto"/>
                <w:kern w:val="2"/>
                <w:sz w:val="21"/>
                <w:szCs w:val="21"/>
                <w:lang w:val="en-US" w:eastAsia="zh-CN" w:bidi="ar-SA"/>
              </w:rPr>
            </w:pPr>
            <w:r>
              <w:rPr>
                <w:rFonts w:cs="Times New Roman"/>
                <w:color w:val="auto"/>
                <w:szCs w:val="21"/>
              </w:rPr>
              <w:t>0</w:t>
            </w:r>
          </w:p>
        </w:tc>
        <w:tc>
          <w:tcPr>
            <w:tcW w:w="1770" w:type="dxa"/>
            <w:vAlign w:val="center"/>
          </w:tcPr>
          <w:p w14:paraId="1B186429">
            <w:pPr>
              <w:spacing w:line="276" w:lineRule="auto"/>
              <w:jc w:val="center"/>
              <w:rPr>
                <w:rFonts w:cs="Times New Roman"/>
                <w:color w:val="auto"/>
                <w:szCs w:val="21"/>
              </w:rPr>
            </w:pPr>
            <w:r>
              <w:rPr>
                <w:rFonts w:cs="Times New Roman"/>
                <w:color w:val="auto"/>
                <w:szCs w:val="21"/>
              </w:rPr>
              <w:t>0</w:t>
            </w:r>
          </w:p>
        </w:tc>
        <w:tc>
          <w:tcPr>
            <w:tcW w:w="1774" w:type="dxa"/>
            <w:vAlign w:val="center"/>
          </w:tcPr>
          <w:p w14:paraId="48E5212F">
            <w:pPr>
              <w:spacing w:line="276" w:lineRule="auto"/>
              <w:jc w:val="center"/>
              <w:rPr>
                <w:rFonts w:cs="Times New Roman"/>
                <w:color w:val="auto"/>
                <w:szCs w:val="21"/>
              </w:rPr>
            </w:pPr>
            <w:r>
              <w:rPr>
                <w:rFonts w:cs="Times New Roman"/>
                <w:color w:val="auto"/>
                <w:szCs w:val="21"/>
              </w:rPr>
              <w:t>0</w:t>
            </w:r>
          </w:p>
        </w:tc>
        <w:tc>
          <w:tcPr>
            <w:tcW w:w="1775" w:type="dxa"/>
            <w:shd w:val="clear" w:color="auto" w:fill="auto"/>
            <w:vAlign w:val="center"/>
          </w:tcPr>
          <w:p w14:paraId="289AF56A">
            <w:pPr>
              <w:tabs>
                <w:tab w:val="left" w:pos="1134"/>
              </w:tabs>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3750</w:t>
            </w:r>
          </w:p>
        </w:tc>
        <w:tc>
          <w:tcPr>
            <w:tcW w:w="1647" w:type="dxa"/>
            <w:shd w:val="clear" w:color="auto" w:fill="auto"/>
            <w:vAlign w:val="center"/>
          </w:tcPr>
          <w:p w14:paraId="5C036454">
            <w:pPr>
              <w:tabs>
                <w:tab w:val="left" w:pos="1134"/>
              </w:tabs>
              <w:jc w:val="center"/>
              <w:rPr>
                <w:rFonts w:ascii="Times New Roman" w:hAnsi="Times New Roman" w:eastAsia="宋体" w:cs="Times New Roman"/>
                <w:color w:val="auto"/>
                <w:kern w:val="2"/>
                <w:sz w:val="21"/>
                <w:szCs w:val="21"/>
                <w:lang w:val="en-US" w:eastAsia="zh-CN" w:bidi="ar-SA"/>
              </w:rPr>
            </w:pPr>
            <w:r>
              <w:rPr>
                <w:rFonts w:hint="eastAsia" w:cs="Times New Roman"/>
                <w:color w:val="auto"/>
                <w:szCs w:val="21"/>
              </w:rPr>
              <w:t>0</w:t>
            </w:r>
          </w:p>
        </w:tc>
        <w:tc>
          <w:tcPr>
            <w:tcW w:w="1903" w:type="dxa"/>
            <w:shd w:val="clear" w:color="auto" w:fill="auto"/>
            <w:vAlign w:val="center"/>
          </w:tcPr>
          <w:p w14:paraId="29422430">
            <w:pPr>
              <w:tabs>
                <w:tab w:val="left" w:pos="1134"/>
              </w:tabs>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3750</w:t>
            </w:r>
          </w:p>
        </w:tc>
        <w:tc>
          <w:tcPr>
            <w:tcW w:w="1006" w:type="dxa"/>
            <w:shd w:val="clear" w:color="auto" w:fill="auto"/>
            <w:vAlign w:val="center"/>
          </w:tcPr>
          <w:p w14:paraId="2B67DCFA">
            <w:pPr>
              <w:spacing w:line="276" w:lineRule="auto"/>
              <w:jc w:val="center"/>
              <w:rPr>
                <w:rFonts w:ascii="Times New Roman" w:hAnsi="Times New Roman" w:eastAsia="宋体" w:cs="Times New Roman"/>
                <w:color w:val="auto"/>
                <w:kern w:val="2"/>
                <w:sz w:val="21"/>
                <w:szCs w:val="21"/>
                <w:lang w:val="en-US" w:eastAsia="zh-CN" w:bidi="ar-SA"/>
              </w:rPr>
            </w:pPr>
            <w:r>
              <w:rPr>
                <w:rFonts w:cs="Times New Roman"/>
                <w:color w:val="auto"/>
                <w:szCs w:val="21"/>
              </w:rPr>
              <w:t>0</w:t>
            </w:r>
          </w:p>
        </w:tc>
      </w:tr>
      <w:tr w14:paraId="1DA6E6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3" w:hRule="atLeast"/>
        </w:trPr>
        <w:tc>
          <w:tcPr>
            <w:tcW w:w="1117" w:type="dxa"/>
          </w:tcPr>
          <w:p w14:paraId="36903141">
            <w:pPr>
              <w:spacing w:line="276" w:lineRule="auto"/>
              <w:jc w:val="center"/>
              <w:rPr>
                <w:rFonts w:cs="Times New Roman"/>
                <w:color w:val="auto"/>
                <w:szCs w:val="21"/>
              </w:rPr>
            </w:pPr>
            <w:r>
              <w:rPr>
                <w:rFonts w:cs="Times New Roman"/>
                <w:color w:val="auto"/>
                <w:szCs w:val="21"/>
              </w:rPr>
              <w:t>危险废物</w:t>
            </w:r>
          </w:p>
        </w:tc>
        <w:tc>
          <w:tcPr>
            <w:tcW w:w="1951" w:type="dxa"/>
            <w:vAlign w:val="center"/>
          </w:tcPr>
          <w:p w14:paraId="5944946E">
            <w:pPr>
              <w:jc w:val="center"/>
              <w:rPr>
                <w:rFonts w:cs="Times New Roman"/>
                <w:color w:val="auto"/>
                <w:szCs w:val="21"/>
              </w:rPr>
            </w:pPr>
            <w:r>
              <w:rPr>
                <w:rFonts w:cs="Times New Roman"/>
                <w:color w:val="auto"/>
                <w:szCs w:val="21"/>
              </w:rPr>
              <w:t>废机油</w:t>
            </w:r>
          </w:p>
        </w:tc>
        <w:tc>
          <w:tcPr>
            <w:tcW w:w="0" w:type="auto"/>
            <w:shd w:val="clear" w:color="auto" w:fill="auto"/>
            <w:vAlign w:val="center"/>
          </w:tcPr>
          <w:p w14:paraId="47CB6300">
            <w:pPr>
              <w:tabs>
                <w:tab w:val="left" w:pos="1134"/>
              </w:tabs>
              <w:jc w:val="center"/>
              <w:rPr>
                <w:rFonts w:ascii="Times New Roman" w:hAnsi="Times New Roman" w:eastAsia="宋体" w:cs="Times New Roman"/>
                <w:color w:val="auto"/>
                <w:kern w:val="2"/>
                <w:sz w:val="21"/>
                <w:szCs w:val="21"/>
                <w:lang w:val="en-US" w:eastAsia="zh-CN" w:bidi="ar-SA"/>
              </w:rPr>
            </w:pPr>
            <w:r>
              <w:rPr>
                <w:rFonts w:hint="eastAsia" w:cs="Times New Roman"/>
                <w:color w:val="auto"/>
                <w:szCs w:val="21"/>
              </w:rPr>
              <w:t>0</w:t>
            </w:r>
          </w:p>
        </w:tc>
        <w:tc>
          <w:tcPr>
            <w:tcW w:w="0" w:type="auto"/>
          </w:tcPr>
          <w:p w14:paraId="3F4BE670">
            <w:pPr>
              <w:spacing w:line="276" w:lineRule="auto"/>
              <w:jc w:val="center"/>
              <w:rPr>
                <w:rFonts w:cs="Times New Roman"/>
                <w:color w:val="auto"/>
                <w:szCs w:val="21"/>
              </w:rPr>
            </w:pPr>
            <w:r>
              <w:rPr>
                <w:rFonts w:cs="Times New Roman"/>
                <w:color w:val="auto"/>
                <w:szCs w:val="21"/>
              </w:rPr>
              <w:t>0</w:t>
            </w:r>
          </w:p>
        </w:tc>
        <w:tc>
          <w:tcPr>
            <w:tcW w:w="0" w:type="auto"/>
          </w:tcPr>
          <w:p w14:paraId="1D7F2D07">
            <w:pPr>
              <w:spacing w:line="276" w:lineRule="auto"/>
              <w:jc w:val="center"/>
              <w:rPr>
                <w:rFonts w:cs="Times New Roman"/>
                <w:color w:val="auto"/>
                <w:szCs w:val="21"/>
              </w:rPr>
            </w:pPr>
            <w:r>
              <w:rPr>
                <w:rFonts w:cs="Times New Roman"/>
                <w:color w:val="auto"/>
                <w:szCs w:val="21"/>
              </w:rPr>
              <w:t>0</w:t>
            </w:r>
          </w:p>
        </w:tc>
        <w:tc>
          <w:tcPr>
            <w:tcW w:w="0" w:type="auto"/>
            <w:vAlign w:val="center"/>
          </w:tcPr>
          <w:p w14:paraId="49D7A128">
            <w:pPr>
              <w:tabs>
                <w:tab w:val="left" w:pos="1134"/>
              </w:tabs>
              <w:jc w:val="center"/>
              <w:rPr>
                <w:rFonts w:hint="default" w:eastAsia="宋体" w:cs="Times New Roman"/>
                <w:color w:val="auto"/>
                <w:szCs w:val="21"/>
                <w:lang w:val="en-US" w:eastAsia="zh-CN"/>
              </w:rPr>
            </w:pPr>
            <w:r>
              <w:rPr>
                <w:rFonts w:hint="eastAsia" w:cs="Times New Roman"/>
                <w:color w:val="auto"/>
                <w:szCs w:val="21"/>
                <w:lang w:val="en-US" w:eastAsia="zh-CN"/>
              </w:rPr>
              <w:t>0.02</w:t>
            </w:r>
          </w:p>
        </w:tc>
        <w:tc>
          <w:tcPr>
            <w:tcW w:w="1647" w:type="dxa"/>
          </w:tcPr>
          <w:p w14:paraId="53D26E90">
            <w:pPr>
              <w:spacing w:line="276" w:lineRule="auto"/>
              <w:jc w:val="center"/>
              <w:rPr>
                <w:rFonts w:cs="Times New Roman"/>
                <w:color w:val="auto"/>
                <w:szCs w:val="21"/>
              </w:rPr>
            </w:pPr>
            <w:r>
              <w:rPr>
                <w:rFonts w:hint="eastAsia" w:cs="Times New Roman"/>
                <w:color w:val="auto"/>
                <w:szCs w:val="21"/>
              </w:rPr>
              <w:t>0</w:t>
            </w:r>
          </w:p>
        </w:tc>
        <w:tc>
          <w:tcPr>
            <w:tcW w:w="1903" w:type="dxa"/>
            <w:shd w:val="clear" w:color="auto" w:fill="auto"/>
            <w:vAlign w:val="center"/>
          </w:tcPr>
          <w:p w14:paraId="11D416F1">
            <w:pPr>
              <w:tabs>
                <w:tab w:val="left" w:pos="1134"/>
              </w:tabs>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szCs w:val="21"/>
                <w:lang w:val="en-US" w:eastAsia="zh-CN"/>
              </w:rPr>
              <w:t>0.02</w:t>
            </w:r>
          </w:p>
        </w:tc>
        <w:tc>
          <w:tcPr>
            <w:tcW w:w="0" w:type="auto"/>
            <w:shd w:val="clear" w:color="auto" w:fill="auto"/>
            <w:vAlign w:val="center"/>
          </w:tcPr>
          <w:p w14:paraId="24D3EE18">
            <w:pPr>
              <w:tabs>
                <w:tab w:val="left" w:pos="1134"/>
              </w:tabs>
              <w:jc w:val="center"/>
              <w:rPr>
                <w:rFonts w:ascii="Times New Roman" w:hAnsi="Times New Roman" w:eastAsia="宋体" w:cs="Times New Roman"/>
                <w:color w:val="auto"/>
                <w:kern w:val="2"/>
                <w:sz w:val="21"/>
                <w:szCs w:val="21"/>
                <w:lang w:val="en-US" w:eastAsia="zh-CN" w:bidi="ar-SA"/>
              </w:rPr>
            </w:pPr>
            <w:r>
              <w:rPr>
                <w:rFonts w:hint="eastAsia" w:cs="Times New Roman"/>
                <w:color w:val="auto"/>
                <w:szCs w:val="21"/>
              </w:rPr>
              <w:t>0</w:t>
            </w:r>
          </w:p>
        </w:tc>
      </w:tr>
    </w:tbl>
    <w:p w14:paraId="0722D675">
      <w:pPr>
        <w:rPr>
          <w:rFonts w:cs="Times New Roman"/>
          <w:color w:val="auto"/>
          <w:szCs w:val="21"/>
        </w:rPr>
      </w:pPr>
      <w:r>
        <w:rPr>
          <w:rFonts w:cs="Times New Roman"/>
          <w:color w:val="auto"/>
          <w:szCs w:val="21"/>
        </w:rPr>
        <w:t>注：⑥=①+③+④-⑤；⑦=⑥-①。</w:t>
      </w:r>
    </w:p>
    <w:sectPr>
      <w:pgSz w:w="16838" w:h="11906" w:orient="landscape"/>
      <w:pgMar w:top="1134" w:right="1134" w:bottom="1134" w:left="1134" w:header="851" w:footer="992" w:gutter="0"/>
      <w:pgBorders>
        <w:top w:val="none" w:sz="0" w:space="0"/>
        <w:left w:val="none" w:sz="0" w:space="0"/>
        <w:bottom w:val="none" w:sz="0" w:space="0"/>
        <w:right w:val="none" w:sz="0" w:space="0"/>
      </w:pgBorders>
      <w:pgNumType w:fmt="numberInDash"/>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auto"/>
    <w:pitch w:val="default"/>
    <w:sig w:usb0="E0002EFF" w:usb1="C000785B" w:usb2="00000009" w:usb3="00000000" w:csb0="400001FF" w:csb1="FFFF0000"/>
  </w:font>
  <w:font w:name="宋体">
    <w:panose1 w:val="02010600030101010101"/>
    <w:charset w:val="88"/>
    <w:family w:val="roma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9019D3ED-7ACC-4FA6-868C-AE32486535C7}"/>
  </w:font>
  <w:font w:name="Arial">
    <w:panose1 w:val="020B0604020202020204"/>
    <w:charset w:val="01"/>
    <w:family w:val="swiss"/>
    <w:pitch w:val="default"/>
    <w:sig w:usb0="E0002EFF" w:usb1="C000785B" w:usb2="00000009" w:usb3="00000000" w:csb0="400001FF" w:csb1="FFFF0000"/>
    <w:embedRegular r:id="rId2" w:fontKey="{1FBBB4B0-5C80-4435-B74E-D7FAB992DB76}"/>
  </w:font>
  <w:font w:name="黑体">
    <w:panose1 w:val="02010609060101010101"/>
    <w:charset w:val="86"/>
    <w:family w:val="auto"/>
    <w:pitch w:val="default"/>
    <w:sig w:usb0="800002BF" w:usb1="38CF7CFA" w:usb2="00000016" w:usb3="00000000" w:csb0="00040001" w:csb1="00000000"/>
    <w:embedRegular r:id="rId3" w:fontKey="{092A557D-46BD-4F74-9EDD-2DE86088ADCB}"/>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Arial Black">
    <w:panose1 w:val="020B0A04020102020204"/>
    <w:charset w:val="00"/>
    <w:family w:val="swiss"/>
    <w:pitch w:val="default"/>
    <w:sig w:usb0="A00002AF" w:usb1="400078FB" w:usb2="00000000" w:usb3="00000000" w:csb0="6000009F" w:csb1="DFD70000"/>
  </w:font>
  <w:font w:name="新宋体-18030">
    <w:altName w:val="宋体"/>
    <w:panose1 w:val="00000000000000000000"/>
    <w:charset w:val="00"/>
    <w:family w:val="auto"/>
    <w:pitch w:val="default"/>
    <w:sig w:usb0="00000000" w:usb1="00000000" w:usb2="00000000" w:usb3="00000000" w:csb0="00040001" w:csb1="00000000"/>
  </w:font>
  <w:font w:name="仿宋">
    <w:panose1 w:val="02010609060101010101"/>
    <w:charset w:val="86"/>
    <w:family w:val="modern"/>
    <w:pitch w:val="default"/>
    <w:sig w:usb0="800002BF" w:usb1="38CF7CFA" w:usb2="00000016" w:usb3="00000000" w:csb0="00040001" w:csb1="00000000"/>
  </w:font>
  <w:font w:name="方正小标宋_GBK">
    <w:panose1 w:val="02000000000000000000"/>
    <w:charset w:val="86"/>
    <w:family w:val="script"/>
    <w:pitch w:val="default"/>
    <w:sig w:usb0="A00002BF" w:usb1="38CF7CFA" w:usb2="00082016" w:usb3="00000000" w:csb0="00040001" w:csb1="00000000"/>
    <w:embedRegular r:id="rId4" w:fontKey="{1DEA4DAD-BDFF-4E70-AD6C-02864EAD281D}"/>
  </w:font>
  <w:font w:name="Wingdings 2">
    <w:panose1 w:val="05020102010507070707"/>
    <w:charset w:val="02"/>
    <w:family w:val="roman"/>
    <w:pitch w:val="default"/>
    <w:sig w:usb0="00000000" w:usb1="00000000" w:usb2="00000000" w:usb3="00000000" w:csb0="80000000" w:csb1="00000000"/>
    <w:embedRegular r:id="rId5" w:fontKey="{B8AEFF67-D04D-4FDB-8CE9-5F33EFF57879}"/>
  </w:font>
  <w:font w:name="Helvetica">
    <w:altName w:val="Arial"/>
    <w:panose1 w:val="00000000000000000000"/>
    <w:charset w:val="00"/>
    <w:family w:val="roman"/>
    <w:pitch w:val="default"/>
    <w:sig w:usb0="00000000" w:usb1="00000000" w:usb2="00000000" w:usb3="00000000" w:csb0="00000001" w:csb1="00000000"/>
    <w:embedRegular r:id="rId6" w:fontKey="{EF96A592-CBD3-4930-830A-FBF3A757B788}"/>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172C3F">
    <w:pPr>
      <w:pStyle w:val="16"/>
      <w:ind w:right="360" w:firstLine="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3505EA">
    <w:pPr>
      <w:pStyle w:val="16"/>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4" name="文本框 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BFA5934">
                          <w:pPr>
                            <w:pStyle w:val="16"/>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NiTWUtAgAAVw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k7eUKKZQsVPP76f&#10;fj6cfn0jOINArfUzxN1bRIbunenQNsO5x2Hk3VVOxS8YEfgh7/Eir+gC4fHSdDKd5nBx+IYN8LPH&#10;69b58F4YRaJRUIf6JVnZYeNDHzqExGzarBspUw2lJm1Br16/zdOFiwfgUiNHJNE/Nlqh23ZnZltT&#10;HkHMmb43vOXrBsk3zIc75tAMeDDGJdxiqaRBEnO2KKmN+/qv8xiPGsFLSYvmKqjGLFEiP2jUDoBh&#10;MNxgbAdD79WNQbeOMYaWJxMXXJCDWTmjvmCGljEHXExzZCpoGMyb0Dc4ZpCL5TIFodssCxt9b3mE&#10;juJ5u9wHCJh0jaL0Spy1Qr+lypxnIzb0n/sU9fg/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NNiTWUtAgAAVwQAAA4AAAAAAAAAAQAgAAAAHwEAAGRycy9lMm9Eb2MueG1sUEsFBgAAAAAG&#10;AAYAWQEAAL4FAAAAAA==&#10;">
              <v:fill on="f" focussize="0,0"/>
              <v:stroke on="f" weight="0.5pt"/>
              <v:imagedata o:title=""/>
              <o:lock v:ext="edit" aspectratio="f"/>
              <v:textbox inset="0mm,0mm,0mm,0mm" style="mso-fit-shape-to-text:t;">
                <w:txbxContent>
                  <w:p w14:paraId="1BFA5934">
                    <w:pPr>
                      <w:pStyle w:val="16"/>
                    </w:pPr>
                    <w:r>
                      <w:fldChar w:fldCharType="begin"/>
                    </w:r>
                    <w:r>
                      <w:instrText xml:space="preserve"> PAGE  \* MERGEFORMAT </w:instrText>
                    </w:r>
                    <w:r>
                      <w:fldChar w:fldCharType="separate"/>
                    </w:r>
                    <w:r>
                      <w:t>1</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249775"/>
    <w:multiLevelType w:val="singleLevel"/>
    <w:tmpl w:val="00249775"/>
    <w:lvl w:ilvl="0" w:tentative="0">
      <w:start w:val="4"/>
      <w:numFmt w:val="chineseCounting"/>
      <w:suff w:val="nothing"/>
      <w:lvlText w:val="（%1）"/>
      <w:lvlJc w:val="left"/>
      <w:rPr>
        <w:rFonts w:hint="eastAsia"/>
      </w:rPr>
    </w:lvl>
  </w:abstractNum>
  <w:abstractNum w:abstractNumId="1">
    <w:nsid w:val="4384D100"/>
    <w:multiLevelType w:val="singleLevel"/>
    <w:tmpl w:val="4384D100"/>
    <w:lvl w:ilvl="0" w:tentative="0">
      <w:start w:val="1"/>
      <w:numFmt w:val="decimal"/>
      <w:suff w:val="nothing"/>
      <w:lvlText w:val="（%1）"/>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TrueTypeFonts/>
  <w:saveSubsetFonts/>
  <w:bordersDoNotSurroundHeader w:val="0"/>
  <w:bordersDoNotSurroundFooter w:val="0"/>
  <w:hideSpellingErrors/>
  <w:documentProtection w:enforcement="0"/>
  <w:defaultTabStop w:val="420"/>
  <w:drawingGridHorizontalSpacing w:val="105"/>
  <w:drawingGridVerticalSpacing w:val="161"/>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Tg0NzliMGM5NmM3YTZmMzRjNWNlNGZhMGY1MGNjMTMifQ=="/>
  </w:docVars>
  <w:rsids>
    <w:rsidRoot w:val="00172A27"/>
    <w:rsid w:val="00000B5E"/>
    <w:rsid w:val="00000C0A"/>
    <w:rsid w:val="000014A6"/>
    <w:rsid w:val="00001EBA"/>
    <w:rsid w:val="00002A6D"/>
    <w:rsid w:val="00003162"/>
    <w:rsid w:val="00006ACA"/>
    <w:rsid w:val="00006F6D"/>
    <w:rsid w:val="000103CE"/>
    <w:rsid w:val="00011144"/>
    <w:rsid w:val="00013A3F"/>
    <w:rsid w:val="0001444C"/>
    <w:rsid w:val="00014B28"/>
    <w:rsid w:val="00014F13"/>
    <w:rsid w:val="0001552C"/>
    <w:rsid w:val="00016C99"/>
    <w:rsid w:val="00016D8D"/>
    <w:rsid w:val="00017226"/>
    <w:rsid w:val="00017D0D"/>
    <w:rsid w:val="000200E4"/>
    <w:rsid w:val="000206BA"/>
    <w:rsid w:val="000207E9"/>
    <w:rsid w:val="000235FB"/>
    <w:rsid w:val="00024B9E"/>
    <w:rsid w:val="0002546F"/>
    <w:rsid w:val="00025610"/>
    <w:rsid w:val="00025C9E"/>
    <w:rsid w:val="00025EF3"/>
    <w:rsid w:val="0002610A"/>
    <w:rsid w:val="000307AB"/>
    <w:rsid w:val="00031C2C"/>
    <w:rsid w:val="00031D72"/>
    <w:rsid w:val="0003462F"/>
    <w:rsid w:val="00034DCC"/>
    <w:rsid w:val="00034DDA"/>
    <w:rsid w:val="00035AC5"/>
    <w:rsid w:val="00035EB5"/>
    <w:rsid w:val="00037C5C"/>
    <w:rsid w:val="00040855"/>
    <w:rsid w:val="00041755"/>
    <w:rsid w:val="0004272B"/>
    <w:rsid w:val="00043772"/>
    <w:rsid w:val="0004377D"/>
    <w:rsid w:val="000439DD"/>
    <w:rsid w:val="000447BD"/>
    <w:rsid w:val="00044D25"/>
    <w:rsid w:val="000452D7"/>
    <w:rsid w:val="00045304"/>
    <w:rsid w:val="0004673D"/>
    <w:rsid w:val="00046783"/>
    <w:rsid w:val="00050B9A"/>
    <w:rsid w:val="00050F56"/>
    <w:rsid w:val="00050FCF"/>
    <w:rsid w:val="0005183D"/>
    <w:rsid w:val="00051989"/>
    <w:rsid w:val="00051C97"/>
    <w:rsid w:val="00053455"/>
    <w:rsid w:val="00053EE1"/>
    <w:rsid w:val="000554A6"/>
    <w:rsid w:val="0005632A"/>
    <w:rsid w:val="0005647E"/>
    <w:rsid w:val="0005723F"/>
    <w:rsid w:val="000573CB"/>
    <w:rsid w:val="0005747E"/>
    <w:rsid w:val="00057875"/>
    <w:rsid w:val="00061654"/>
    <w:rsid w:val="0006592A"/>
    <w:rsid w:val="000668A4"/>
    <w:rsid w:val="00066A37"/>
    <w:rsid w:val="00067A22"/>
    <w:rsid w:val="00070A81"/>
    <w:rsid w:val="00071368"/>
    <w:rsid w:val="00071779"/>
    <w:rsid w:val="00074010"/>
    <w:rsid w:val="0007412D"/>
    <w:rsid w:val="00074317"/>
    <w:rsid w:val="00074D4F"/>
    <w:rsid w:val="000758A2"/>
    <w:rsid w:val="000758E5"/>
    <w:rsid w:val="000760E6"/>
    <w:rsid w:val="00077478"/>
    <w:rsid w:val="00077A0F"/>
    <w:rsid w:val="000813EA"/>
    <w:rsid w:val="00082F8F"/>
    <w:rsid w:val="00083098"/>
    <w:rsid w:val="00083188"/>
    <w:rsid w:val="000847F7"/>
    <w:rsid w:val="00084A07"/>
    <w:rsid w:val="00084D48"/>
    <w:rsid w:val="000858A9"/>
    <w:rsid w:val="00086637"/>
    <w:rsid w:val="00091E77"/>
    <w:rsid w:val="000929DD"/>
    <w:rsid w:val="00093154"/>
    <w:rsid w:val="00093367"/>
    <w:rsid w:val="0009339C"/>
    <w:rsid w:val="0009484A"/>
    <w:rsid w:val="0009642A"/>
    <w:rsid w:val="000964DC"/>
    <w:rsid w:val="00096636"/>
    <w:rsid w:val="00096A4D"/>
    <w:rsid w:val="00097315"/>
    <w:rsid w:val="000A02FB"/>
    <w:rsid w:val="000A0D5F"/>
    <w:rsid w:val="000A1CCE"/>
    <w:rsid w:val="000A2382"/>
    <w:rsid w:val="000A24F4"/>
    <w:rsid w:val="000A4136"/>
    <w:rsid w:val="000A5070"/>
    <w:rsid w:val="000A6411"/>
    <w:rsid w:val="000A712F"/>
    <w:rsid w:val="000A72C8"/>
    <w:rsid w:val="000B019A"/>
    <w:rsid w:val="000B0212"/>
    <w:rsid w:val="000B2352"/>
    <w:rsid w:val="000B23A4"/>
    <w:rsid w:val="000B47B9"/>
    <w:rsid w:val="000B4CD9"/>
    <w:rsid w:val="000B55FF"/>
    <w:rsid w:val="000B6672"/>
    <w:rsid w:val="000B6983"/>
    <w:rsid w:val="000B79A0"/>
    <w:rsid w:val="000C032C"/>
    <w:rsid w:val="000C1C38"/>
    <w:rsid w:val="000C1CDA"/>
    <w:rsid w:val="000C23BE"/>
    <w:rsid w:val="000C247E"/>
    <w:rsid w:val="000C2E30"/>
    <w:rsid w:val="000C37EB"/>
    <w:rsid w:val="000C5707"/>
    <w:rsid w:val="000C5B08"/>
    <w:rsid w:val="000C5F52"/>
    <w:rsid w:val="000C79F0"/>
    <w:rsid w:val="000C7FAC"/>
    <w:rsid w:val="000D0ADB"/>
    <w:rsid w:val="000D14C0"/>
    <w:rsid w:val="000D2AAA"/>
    <w:rsid w:val="000D318F"/>
    <w:rsid w:val="000D3928"/>
    <w:rsid w:val="000D46E2"/>
    <w:rsid w:val="000D4B06"/>
    <w:rsid w:val="000D50C0"/>
    <w:rsid w:val="000D5606"/>
    <w:rsid w:val="000D58C2"/>
    <w:rsid w:val="000D5C5F"/>
    <w:rsid w:val="000D5D22"/>
    <w:rsid w:val="000D7B34"/>
    <w:rsid w:val="000E0373"/>
    <w:rsid w:val="000E0CBE"/>
    <w:rsid w:val="000E123F"/>
    <w:rsid w:val="000E2B9F"/>
    <w:rsid w:val="000E3687"/>
    <w:rsid w:val="000E4316"/>
    <w:rsid w:val="000E46F4"/>
    <w:rsid w:val="000E6225"/>
    <w:rsid w:val="000E6C9F"/>
    <w:rsid w:val="000E7DAC"/>
    <w:rsid w:val="000F01A4"/>
    <w:rsid w:val="000F09DF"/>
    <w:rsid w:val="000F2090"/>
    <w:rsid w:val="000F2AFB"/>
    <w:rsid w:val="000F2C6D"/>
    <w:rsid w:val="000F3CE6"/>
    <w:rsid w:val="000F4022"/>
    <w:rsid w:val="000F4DC7"/>
    <w:rsid w:val="000F5DE7"/>
    <w:rsid w:val="000F639A"/>
    <w:rsid w:val="000F7CCB"/>
    <w:rsid w:val="00101C0A"/>
    <w:rsid w:val="00101D45"/>
    <w:rsid w:val="00101FE7"/>
    <w:rsid w:val="00102225"/>
    <w:rsid w:val="00102388"/>
    <w:rsid w:val="0010402E"/>
    <w:rsid w:val="001054EA"/>
    <w:rsid w:val="00106D98"/>
    <w:rsid w:val="00107266"/>
    <w:rsid w:val="00110740"/>
    <w:rsid w:val="00110ADB"/>
    <w:rsid w:val="00111FBC"/>
    <w:rsid w:val="00112CF4"/>
    <w:rsid w:val="001137C1"/>
    <w:rsid w:val="00113F84"/>
    <w:rsid w:val="00114D2C"/>
    <w:rsid w:val="001154A8"/>
    <w:rsid w:val="00115880"/>
    <w:rsid w:val="00115FD8"/>
    <w:rsid w:val="00116C46"/>
    <w:rsid w:val="0011732D"/>
    <w:rsid w:val="00117A17"/>
    <w:rsid w:val="0012069F"/>
    <w:rsid w:val="001207E6"/>
    <w:rsid w:val="00120E1C"/>
    <w:rsid w:val="00120F59"/>
    <w:rsid w:val="001217E4"/>
    <w:rsid w:val="001259AA"/>
    <w:rsid w:val="00125D9F"/>
    <w:rsid w:val="00125E98"/>
    <w:rsid w:val="0012683C"/>
    <w:rsid w:val="00127C82"/>
    <w:rsid w:val="00130AAF"/>
    <w:rsid w:val="0013238B"/>
    <w:rsid w:val="0013265F"/>
    <w:rsid w:val="00135DC0"/>
    <w:rsid w:val="001367D8"/>
    <w:rsid w:val="001378AA"/>
    <w:rsid w:val="00140613"/>
    <w:rsid w:val="00141069"/>
    <w:rsid w:val="00143010"/>
    <w:rsid w:val="001433E0"/>
    <w:rsid w:val="00145B98"/>
    <w:rsid w:val="0014630F"/>
    <w:rsid w:val="001473EB"/>
    <w:rsid w:val="00147683"/>
    <w:rsid w:val="00151185"/>
    <w:rsid w:val="001515B7"/>
    <w:rsid w:val="0015240B"/>
    <w:rsid w:val="001524BB"/>
    <w:rsid w:val="00152F00"/>
    <w:rsid w:val="0015377A"/>
    <w:rsid w:val="001556AA"/>
    <w:rsid w:val="001556F6"/>
    <w:rsid w:val="00157B75"/>
    <w:rsid w:val="0016016F"/>
    <w:rsid w:val="00161A8B"/>
    <w:rsid w:val="00162B9A"/>
    <w:rsid w:val="00162C48"/>
    <w:rsid w:val="00162E0F"/>
    <w:rsid w:val="0016321C"/>
    <w:rsid w:val="00164B95"/>
    <w:rsid w:val="00165EBA"/>
    <w:rsid w:val="00166183"/>
    <w:rsid w:val="00167113"/>
    <w:rsid w:val="00167852"/>
    <w:rsid w:val="00167FF0"/>
    <w:rsid w:val="00172388"/>
    <w:rsid w:val="00172630"/>
    <w:rsid w:val="00172A27"/>
    <w:rsid w:val="00173501"/>
    <w:rsid w:val="0017455C"/>
    <w:rsid w:val="00174BBE"/>
    <w:rsid w:val="0017583B"/>
    <w:rsid w:val="001761FF"/>
    <w:rsid w:val="00176491"/>
    <w:rsid w:val="00177391"/>
    <w:rsid w:val="0017764F"/>
    <w:rsid w:val="00177D64"/>
    <w:rsid w:val="001800A3"/>
    <w:rsid w:val="00182CD4"/>
    <w:rsid w:val="00185663"/>
    <w:rsid w:val="00190211"/>
    <w:rsid w:val="00190C01"/>
    <w:rsid w:val="00192DE0"/>
    <w:rsid w:val="00192ECE"/>
    <w:rsid w:val="00193D19"/>
    <w:rsid w:val="00194D46"/>
    <w:rsid w:val="00194FBD"/>
    <w:rsid w:val="001950E3"/>
    <w:rsid w:val="001961A6"/>
    <w:rsid w:val="001963F0"/>
    <w:rsid w:val="00196F8D"/>
    <w:rsid w:val="0019760B"/>
    <w:rsid w:val="00197F59"/>
    <w:rsid w:val="001A0FF0"/>
    <w:rsid w:val="001A1620"/>
    <w:rsid w:val="001A1644"/>
    <w:rsid w:val="001A4240"/>
    <w:rsid w:val="001A5316"/>
    <w:rsid w:val="001A6F59"/>
    <w:rsid w:val="001A7E03"/>
    <w:rsid w:val="001B12B2"/>
    <w:rsid w:val="001B13D5"/>
    <w:rsid w:val="001B15E1"/>
    <w:rsid w:val="001B1E5A"/>
    <w:rsid w:val="001B2801"/>
    <w:rsid w:val="001B2B05"/>
    <w:rsid w:val="001B2D20"/>
    <w:rsid w:val="001B3265"/>
    <w:rsid w:val="001B3BDB"/>
    <w:rsid w:val="001B3D47"/>
    <w:rsid w:val="001B430F"/>
    <w:rsid w:val="001B4F4F"/>
    <w:rsid w:val="001B5E2A"/>
    <w:rsid w:val="001B6F59"/>
    <w:rsid w:val="001B7258"/>
    <w:rsid w:val="001B75BE"/>
    <w:rsid w:val="001B7A91"/>
    <w:rsid w:val="001C12DF"/>
    <w:rsid w:val="001C30B0"/>
    <w:rsid w:val="001C3302"/>
    <w:rsid w:val="001C5180"/>
    <w:rsid w:val="001C5980"/>
    <w:rsid w:val="001C606B"/>
    <w:rsid w:val="001C6610"/>
    <w:rsid w:val="001D1F8C"/>
    <w:rsid w:val="001D2028"/>
    <w:rsid w:val="001D213A"/>
    <w:rsid w:val="001D260C"/>
    <w:rsid w:val="001D43CE"/>
    <w:rsid w:val="001D515D"/>
    <w:rsid w:val="001D6BA0"/>
    <w:rsid w:val="001D7671"/>
    <w:rsid w:val="001D7E10"/>
    <w:rsid w:val="001E0ADF"/>
    <w:rsid w:val="001E10E1"/>
    <w:rsid w:val="001E1EB8"/>
    <w:rsid w:val="001E2B35"/>
    <w:rsid w:val="001E2F0C"/>
    <w:rsid w:val="001E3F64"/>
    <w:rsid w:val="001E4B3B"/>
    <w:rsid w:val="001E5E27"/>
    <w:rsid w:val="001E6B6C"/>
    <w:rsid w:val="001F27AD"/>
    <w:rsid w:val="001F2AAA"/>
    <w:rsid w:val="001F4003"/>
    <w:rsid w:val="001F5082"/>
    <w:rsid w:val="001F62A7"/>
    <w:rsid w:val="00201289"/>
    <w:rsid w:val="00203CDC"/>
    <w:rsid w:val="00204283"/>
    <w:rsid w:val="002043D6"/>
    <w:rsid w:val="00204AA1"/>
    <w:rsid w:val="002063C4"/>
    <w:rsid w:val="00207D07"/>
    <w:rsid w:val="0021038B"/>
    <w:rsid w:val="0021090C"/>
    <w:rsid w:val="00210E1B"/>
    <w:rsid w:val="00211066"/>
    <w:rsid w:val="00211387"/>
    <w:rsid w:val="00211574"/>
    <w:rsid w:val="00212532"/>
    <w:rsid w:val="00212A35"/>
    <w:rsid w:val="00212CF3"/>
    <w:rsid w:val="00213258"/>
    <w:rsid w:val="00213A11"/>
    <w:rsid w:val="00213B8B"/>
    <w:rsid w:val="00213D80"/>
    <w:rsid w:val="00214509"/>
    <w:rsid w:val="00216405"/>
    <w:rsid w:val="0021676F"/>
    <w:rsid w:val="00217984"/>
    <w:rsid w:val="00217D48"/>
    <w:rsid w:val="00220011"/>
    <w:rsid w:val="002208B0"/>
    <w:rsid w:val="00220B98"/>
    <w:rsid w:val="00221BE9"/>
    <w:rsid w:val="0022260A"/>
    <w:rsid w:val="0022462F"/>
    <w:rsid w:val="002254B8"/>
    <w:rsid w:val="0022656E"/>
    <w:rsid w:val="002266E1"/>
    <w:rsid w:val="00230307"/>
    <w:rsid w:val="002329BE"/>
    <w:rsid w:val="00232C82"/>
    <w:rsid w:val="00232DD8"/>
    <w:rsid w:val="002330D6"/>
    <w:rsid w:val="002339F9"/>
    <w:rsid w:val="00233CDD"/>
    <w:rsid w:val="00234DE9"/>
    <w:rsid w:val="002350BB"/>
    <w:rsid w:val="00236693"/>
    <w:rsid w:val="00236916"/>
    <w:rsid w:val="00236D7F"/>
    <w:rsid w:val="00236F89"/>
    <w:rsid w:val="002412AB"/>
    <w:rsid w:val="00241505"/>
    <w:rsid w:val="002424FA"/>
    <w:rsid w:val="002445A1"/>
    <w:rsid w:val="00244AA7"/>
    <w:rsid w:val="00244AAD"/>
    <w:rsid w:val="00244C42"/>
    <w:rsid w:val="0024551A"/>
    <w:rsid w:val="0024662B"/>
    <w:rsid w:val="00246D7E"/>
    <w:rsid w:val="00250999"/>
    <w:rsid w:val="00252432"/>
    <w:rsid w:val="002528B3"/>
    <w:rsid w:val="002546FF"/>
    <w:rsid w:val="002551D2"/>
    <w:rsid w:val="0025626A"/>
    <w:rsid w:val="00256B20"/>
    <w:rsid w:val="00260192"/>
    <w:rsid w:val="00261E4A"/>
    <w:rsid w:val="00262994"/>
    <w:rsid w:val="0026323D"/>
    <w:rsid w:val="00264331"/>
    <w:rsid w:val="00265204"/>
    <w:rsid w:val="0026636F"/>
    <w:rsid w:val="002730EA"/>
    <w:rsid w:val="002743E3"/>
    <w:rsid w:val="00274A0C"/>
    <w:rsid w:val="00274C12"/>
    <w:rsid w:val="002757CC"/>
    <w:rsid w:val="002770D7"/>
    <w:rsid w:val="00280005"/>
    <w:rsid w:val="00280235"/>
    <w:rsid w:val="00280384"/>
    <w:rsid w:val="00280804"/>
    <w:rsid w:val="00280B47"/>
    <w:rsid w:val="00283592"/>
    <w:rsid w:val="002841BD"/>
    <w:rsid w:val="00285C64"/>
    <w:rsid w:val="002866F1"/>
    <w:rsid w:val="00286C77"/>
    <w:rsid w:val="00290BC4"/>
    <w:rsid w:val="00290C11"/>
    <w:rsid w:val="00293586"/>
    <w:rsid w:val="00293BFC"/>
    <w:rsid w:val="0029457F"/>
    <w:rsid w:val="00294C29"/>
    <w:rsid w:val="00295469"/>
    <w:rsid w:val="002955ED"/>
    <w:rsid w:val="002972BD"/>
    <w:rsid w:val="002A08E1"/>
    <w:rsid w:val="002A0ED9"/>
    <w:rsid w:val="002A18D5"/>
    <w:rsid w:val="002A251E"/>
    <w:rsid w:val="002A2756"/>
    <w:rsid w:val="002A29B6"/>
    <w:rsid w:val="002A2A02"/>
    <w:rsid w:val="002A2B69"/>
    <w:rsid w:val="002A38D3"/>
    <w:rsid w:val="002A3AB3"/>
    <w:rsid w:val="002A4A0F"/>
    <w:rsid w:val="002A4F4B"/>
    <w:rsid w:val="002A5C84"/>
    <w:rsid w:val="002A5CD7"/>
    <w:rsid w:val="002A6528"/>
    <w:rsid w:val="002B0DF9"/>
    <w:rsid w:val="002B0E76"/>
    <w:rsid w:val="002B1311"/>
    <w:rsid w:val="002B201A"/>
    <w:rsid w:val="002B24B6"/>
    <w:rsid w:val="002B2C50"/>
    <w:rsid w:val="002B3289"/>
    <w:rsid w:val="002B39A6"/>
    <w:rsid w:val="002B40B3"/>
    <w:rsid w:val="002B411C"/>
    <w:rsid w:val="002B4489"/>
    <w:rsid w:val="002B4C4F"/>
    <w:rsid w:val="002B65F6"/>
    <w:rsid w:val="002C0B3C"/>
    <w:rsid w:val="002C1988"/>
    <w:rsid w:val="002C2AC4"/>
    <w:rsid w:val="002C3A74"/>
    <w:rsid w:val="002C3C79"/>
    <w:rsid w:val="002C3CE0"/>
    <w:rsid w:val="002C3F5E"/>
    <w:rsid w:val="002C45DD"/>
    <w:rsid w:val="002C4B56"/>
    <w:rsid w:val="002C4E1E"/>
    <w:rsid w:val="002C4E39"/>
    <w:rsid w:val="002C5BC6"/>
    <w:rsid w:val="002C5D05"/>
    <w:rsid w:val="002C7193"/>
    <w:rsid w:val="002D0013"/>
    <w:rsid w:val="002D0787"/>
    <w:rsid w:val="002D172E"/>
    <w:rsid w:val="002D1B29"/>
    <w:rsid w:val="002D2E53"/>
    <w:rsid w:val="002D2FBD"/>
    <w:rsid w:val="002D341A"/>
    <w:rsid w:val="002D42E3"/>
    <w:rsid w:val="002D4951"/>
    <w:rsid w:val="002D590C"/>
    <w:rsid w:val="002D70A5"/>
    <w:rsid w:val="002D79CD"/>
    <w:rsid w:val="002E012A"/>
    <w:rsid w:val="002E05E0"/>
    <w:rsid w:val="002E29AB"/>
    <w:rsid w:val="002E301A"/>
    <w:rsid w:val="002E3580"/>
    <w:rsid w:val="002E3595"/>
    <w:rsid w:val="002E3D54"/>
    <w:rsid w:val="002E3F36"/>
    <w:rsid w:val="002E512B"/>
    <w:rsid w:val="002E51FB"/>
    <w:rsid w:val="002E5228"/>
    <w:rsid w:val="002E563E"/>
    <w:rsid w:val="002E607A"/>
    <w:rsid w:val="002E70A6"/>
    <w:rsid w:val="002E75C1"/>
    <w:rsid w:val="002E7838"/>
    <w:rsid w:val="002F0A21"/>
    <w:rsid w:val="002F161E"/>
    <w:rsid w:val="002F1F9C"/>
    <w:rsid w:val="002F23D3"/>
    <w:rsid w:val="002F269A"/>
    <w:rsid w:val="002F3611"/>
    <w:rsid w:val="002F3F58"/>
    <w:rsid w:val="002F6DC8"/>
    <w:rsid w:val="002F6DD1"/>
    <w:rsid w:val="002F72C3"/>
    <w:rsid w:val="003010D2"/>
    <w:rsid w:val="0030122C"/>
    <w:rsid w:val="0030193C"/>
    <w:rsid w:val="00301B78"/>
    <w:rsid w:val="00302271"/>
    <w:rsid w:val="003034DC"/>
    <w:rsid w:val="00304899"/>
    <w:rsid w:val="00306FAA"/>
    <w:rsid w:val="0030760F"/>
    <w:rsid w:val="0031020C"/>
    <w:rsid w:val="00312F22"/>
    <w:rsid w:val="003131A0"/>
    <w:rsid w:val="00313C40"/>
    <w:rsid w:val="00313D1A"/>
    <w:rsid w:val="00314144"/>
    <w:rsid w:val="00314BDA"/>
    <w:rsid w:val="00314FE5"/>
    <w:rsid w:val="0031630B"/>
    <w:rsid w:val="00316AC4"/>
    <w:rsid w:val="00316FCB"/>
    <w:rsid w:val="00320F8F"/>
    <w:rsid w:val="003235DC"/>
    <w:rsid w:val="00323C50"/>
    <w:rsid w:val="00330230"/>
    <w:rsid w:val="0033072E"/>
    <w:rsid w:val="003311F2"/>
    <w:rsid w:val="00331682"/>
    <w:rsid w:val="003326E3"/>
    <w:rsid w:val="00332E63"/>
    <w:rsid w:val="003341ED"/>
    <w:rsid w:val="00335716"/>
    <w:rsid w:val="00335FCB"/>
    <w:rsid w:val="0033779A"/>
    <w:rsid w:val="00337FD8"/>
    <w:rsid w:val="00341AF7"/>
    <w:rsid w:val="003424E2"/>
    <w:rsid w:val="00343B2C"/>
    <w:rsid w:val="00343F97"/>
    <w:rsid w:val="00344193"/>
    <w:rsid w:val="003466D2"/>
    <w:rsid w:val="003468EC"/>
    <w:rsid w:val="00350258"/>
    <w:rsid w:val="00351729"/>
    <w:rsid w:val="0035279C"/>
    <w:rsid w:val="003528D8"/>
    <w:rsid w:val="00352BE4"/>
    <w:rsid w:val="003539C3"/>
    <w:rsid w:val="003550AC"/>
    <w:rsid w:val="00355E36"/>
    <w:rsid w:val="00356DF0"/>
    <w:rsid w:val="003571C6"/>
    <w:rsid w:val="003608CD"/>
    <w:rsid w:val="003618A2"/>
    <w:rsid w:val="003619EF"/>
    <w:rsid w:val="00361A05"/>
    <w:rsid w:val="00363B46"/>
    <w:rsid w:val="00364E7A"/>
    <w:rsid w:val="0036523D"/>
    <w:rsid w:val="00365B74"/>
    <w:rsid w:val="003669E2"/>
    <w:rsid w:val="00366E22"/>
    <w:rsid w:val="0036774A"/>
    <w:rsid w:val="0037030A"/>
    <w:rsid w:val="003706A4"/>
    <w:rsid w:val="00370AE5"/>
    <w:rsid w:val="0037127F"/>
    <w:rsid w:val="00371BD9"/>
    <w:rsid w:val="00371F9C"/>
    <w:rsid w:val="00372C4F"/>
    <w:rsid w:val="00373511"/>
    <w:rsid w:val="003745DF"/>
    <w:rsid w:val="00375980"/>
    <w:rsid w:val="00376CFB"/>
    <w:rsid w:val="0037774A"/>
    <w:rsid w:val="00377C58"/>
    <w:rsid w:val="003818B6"/>
    <w:rsid w:val="00381994"/>
    <w:rsid w:val="00382C42"/>
    <w:rsid w:val="003833C7"/>
    <w:rsid w:val="00385471"/>
    <w:rsid w:val="003854E5"/>
    <w:rsid w:val="00386D44"/>
    <w:rsid w:val="00386E2D"/>
    <w:rsid w:val="00387531"/>
    <w:rsid w:val="00391322"/>
    <w:rsid w:val="00391C44"/>
    <w:rsid w:val="003928B1"/>
    <w:rsid w:val="003936F8"/>
    <w:rsid w:val="003941F3"/>
    <w:rsid w:val="00394E7B"/>
    <w:rsid w:val="003950D0"/>
    <w:rsid w:val="00395477"/>
    <w:rsid w:val="00395626"/>
    <w:rsid w:val="00395F55"/>
    <w:rsid w:val="003A1F67"/>
    <w:rsid w:val="003A2456"/>
    <w:rsid w:val="003A249D"/>
    <w:rsid w:val="003A47EB"/>
    <w:rsid w:val="003A4B3B"/>
    <w:rsid w:val="003A5201"/>
    <w:rsid w:val="003A7449"/>
    <w:rsid w:val="003A783A"/>
    <w:rsid w:val="003B06C5"/>
    <w:rsid w:val="003B09E1"/>
    <w:rsid w:val="003B10DC"/>
    <w:rsid w:val="003B1C40"/>
    <w:rsid w:val="003B2158"/>
    <w:rsid w:val="003B2D28"/>
    <w:rsid w:val="003B3930"/>
    <w:rsid w:val="003B52D3"/>
    <w:rsid w:val="003B608E"/>
    <w:rsid w:val="003B7485"/>
    <w:rsid w:val="003B75F5"/>
    <w:rsid w:val="003C0B3B"/>
    <w:rsid w:val="003C29D9"/>
    <w:rsid w:val="003C2F6B"/>
    <w:rsid w:val="003C3813"/>
    <w:rsid w:val="003C3A3A"/>
    <w:rsid w:val="003C5A0A"/>
    <w:rsid w:val="003C7148"/>
    <w:rsid w:val="003D05B4"/>
    <w:rsid w:val="003D156A"/>
    <w:rsid w:val="003D26CB"/>
    <w:rsid w:val="003D27F0"/>
    <w:rsid w:val="003D2B5C"/>
    <w:rsid w:val="003D5AFA"/>
    <w:rsid w:val="003D6101"/>
    <w:rsid w:val="003D61D2"/>
    <w:rsid w:val="003D774E"/>
    <w:rsid w:val="003D7B50"/>
    <w:rsid w:val="003E043C"/>
    <w:rsid w:val="003E0CFC"/>
    <w:rsid w:val="003E0DEF"/>
    <w:rsid w:val="003E1076"/>
    <w:rsid w:val="003E1502"/>
    <w:rsid w:val="003E31B6"/>
    <w:rsid w:val="003E36CD"/>
    <w:rsid w:val="003E4BA9"/>
    <w:rsid w:val="003E589B"/>
    <w:rsid w:val="003E5A78"/>
    <w:rsid w:val="003E5DF5"/>
    <w:rsid w:val="003E5F2A"/>
    <w:rsid w:val="003E771A"/>
    <w:rsid w:val="003F0853"/>
    <w:rsid w:val="003F1058"/>
    <w:rsid w:val="003F13C2"/>
    <w:rsid w:val="003F43EA"/>
    <w:rsid w:val="003F4CCE"/>
    <w:rsid w:val="003F6133"/>
    <w:rsid w:val="003F639F"/>
    <w:rsid w:val="003F7072"/>
    <w:rsid w:val="003F73FD"/>
    <w:rsid w:val="00400B49"/>
    <w:rsid w:val="00402497"/>
    <w:rsid w:val="00402913"/>
    <w:rsid w:val="00403062"/>
    <w:rsid w:val="0040377C"/>
    <w:rsid w:val="00404EA1"/>
    <w:rsid w:val="0040501C"/>
    <w:rsid w:val="0041017A"/>
    <w:rsid w:val="0041018F"/>
    <w:rsid w:val="00410827"/>
    <w:rsid w:val="00410AB1"/>
    <w:rsid w:val="0041262E"/>
    <w:rsid w:val="004149EF"/>
    <w:rsid w:val="004156B3"/>
    <w:rsid w:val="00415C33"/>
    <w:rsid w:val="004202F6"/>
    <w:rsid w:val="00420465"/>
    <w:rsid w:val="00421E47"/>
    <w:rsid w:val="00421E57"/>
    <w:rsid w:val="004227BC"/>
    <w:rsid w:val="004245BA"/>
    <w:rsid w:val="00424F5E"/>
    <w:rsid w:val="00425235"/>
    <w:rsid w:val="00427BFD"/>
    <w:rsid w:val="00431155"/>
    <w:rsid w:val="00431361"/>
    <w:rsid w:val="00431AB9"/>
    <w:rsid w:val="00432A00"/>
    <w:rsid w:val="00432DEE"/>
    <w:rsid w:val="00432EE3"/>
    <w:rsid w:val="00432FFC"/>
    <w:rsid w:val="0043420C"/>
    <w:rsid w:val="00434665"/>
    <w:rsid w:val="0043615D"/>
    <w:rsid w:val="004362F1"/>
    <w:rsid w:val="004366BD"/>
    <w:rsid w:val="00436B45"/>
    <w:rsid w:val="004376FC"/>
    <w:rsid w:val="00441FA4"/>
    <w:rsid w:val="004422AF"/>
    <w:rsid w:val="00443BAE"/>
    <w:rsid w:val="00443C5C"/>
    <w:rsid w:val="004452D4"/>
    <w:rsid w:val="00445940"/>
    <w:rsid w:val="00445C3E"/>
    <w:rsid w:val="00447692"/>
    <w:rsid w:val="00447AAB"/>
    <w:rsid w:val="0045049A"/>
    <w:rsid w:val="00451499"/>
    <w:rsid w:val="0045444A"/>
    <w:rsid w:val="00455EA3"/>
    <w:rsid w:val="004565C6"/>
    <w:rsid w:val="004601E9"/>
    <w:rsid w:val="00461DD5"/>
    <w:rsid w:val="004639BC"/>
    <w:rsid w:val="00464211"/>
    <w:rsid w:val="00465D23"/>
    <w:rsid w:val="00465D7D"/>
    <w:rsid w:val="00465F0C"/>
    <w:rsid w:val="004662DD"/>
    <w:rsid w:val="0046733F"/>
    <w:rsid w:val="004706DE"/>
    <w:rsid w:val="00470AC7"/>
    <w:rsid w:val="00470E31"/>
    <w:rsid w:val="00471DB4"/>
    <w:rsid w:val="00471F4C"/>
    <w:rsid w:val="00472322"/>
    <w:rsid w:val="00473982"/>
    <w:rsid w:val="00474A2C"/>
    <w:rsid w:val="00474EF9"/>
    <w:rsid w:val="004764F1"/>
    <w:rsid w:val="00476797"/>
    <w:rsid w:val="00477BBE"/>
    <w:rsid w:val="004810CA"/>
    <w:rsid w:val="00481647"/>
    <w:rsid w:val="00481C22"/>
    <w:rsid w:val="00483018"/>
    <w:rsid w:val="0048339E"/>
    <w:rsid w:val="00483722"/>
    <w:rsid w:val="00487046"/>
    <w:rsid w:val="004910CB"/>
    <w:rsid w:val="00493A52"/>
    <w:rsid w:val="00494365"/>
    <w:rsid w:val="00494877"/>
    <w:rsid w:val="004950AC"/>
    <w:rsid w:val="004952B3"/>
    <w:rsid w:val="00495E58"/>
    <w:rsid w:val="004A05A9"/>
    <w:rsid w:val="004A0782"/>
    <w:rsid w:val="004A0A90"/>
    <w:rsid w:val="004A0AD4"/>
    <w:rsid w:val="004A0E10"/>
    <w:rsid w:val="004A109D"/>
    <w:rsid w:val="004A1DC9"/>
    <w:rsid w:val="004A2181"/>
    <w:rsid w:val="004A315B"/>
    <w:rsid w:val="004A332C"/>
    <w:rsid w:val="004A35F2"/>
    <w:rsid w:val="004A3E21"/>
    <w:rsid w:val="004A3F66"/>
    <w:rsid w:val="004A4A7C"/>
    <w:rsid w:val="004A7534"/>
    <w:rsid w:val="004B0B3D"/>
    <w:rsid w:val="004B0EB9"/>
    <w:rsid w:val="004B1705"/>
    <w:rsid w:val="004B21FB"/>
    <w:rsid w:val="004B226F"/>
    <w:rsid w:val="004B3641"/>
    <w:rsid w:val="004B4AE3"/>
    <w:rsid w:val="004B4FCE"/>
    <w:rsid w:val="004B526B"/>
    <w:rsid w:val="004B6126"/>
    <w:rsid w:val="004B6B00"/>
    <w:rsid w:val="004B7320"/>
    <w:rsid w:val="004B7327"/>
    <w:rsid w:val="004B77FE"/>
    <w:rsid w:val="004B7C9D"/>
    <w:rsid w:val="004C005E"/>
    <w:rsid w:val="004C00CA"/>
    <w:rsid w:val="004C0E34"/>
    <w:rsid w:val="004C11EA"/>
    <w:rsid w:val="004C1A51"/>
    <w:rsid w:val="004C2B8B"/>
    <w:rsid w:val="004C4624"/>
    <w:rsid w:val="004C4788"/>
    <w:rsid w:val="004C4FA7"/>
    <w:rsid w:val="004C5182"/>
    <w:rsid w:val="004C5745"/>
    <w:rsid w:val="004C5A98"/>
    <w:rsid w:val="004C5D3A"/>
    <w:rsid w:val="004C60A8"/>
    <w:rsid w:val="004C6507"/>
    <w:rsid w:val="004C6978"/>
    <w:rsid w:val="004C7D36"/>
    <w:rsid w:val="004C7FCE"/>
    <w:rsid w:val="004D00B1"/>
    <w:rsid w:val="004D0245"/>
    <w:rsid w:val="004D1190"/>
    <w:rsid w:val="004D211F"/>
    <w:rsid w:val="004D27AC"/>
    <w:rsid w:val="004D4470"/>
    <w:rsid w:val="004D45EC"/>
    <w:rsid w:val="004D5AA8"/>
    <w:rsid w:val="004D66B6"/>
    <w:rsid w:val="004D72BF"/>
    <w:rsid w:val="004D7744"/>
    <w:rsid w:val="004D7F40"/>
    <w:rsid w:val="004E062B"/>
    <w:rsid w:val="004E0D32"/>
    <w:rsid w:val="004E143F"/>
    <w:rsid w:val="004E1519"/>
    <w:rsid w:val="004E1EEC"/>
    <w:rsid w:val="004E225F"/>
    <w:rsid w:val="004E3838"/>
    <w:rsid w:val="004E4831"/>
    <w:rsid w:val="004E646F"/>
    <w:rsid w:val="004E6BE8"/>
    <w:rsid w:val="004F148F"/>
    <w:rsid w:val="004F1E5D"/>
    <w:rsid w:val="004F315C"/>
    <w:rsid w:val="004F3710"/>
    <w:rsid w:val="004F3C08"/>
    <w:rsid w:val="004F6C0E"/>
    <w:rsid w:val="005009AE"/>
    <w:rsid w:val="0050222A"/>
    <w:rsid w:val="005027B8"/>
    <w:rsid w:val="00503A7F"/>
    <w:rsid w:val="00505B3A"/>
    <w:rsid w:val="00505B84"/>
    <w:rsid w:val="00506439"/>
    <w:rsid w:val="0050730E"/>
    <w:rsid w:val="0051015A"/>
    <w:rsid w:val="005104F4"/>
    <w:rsid w:val="00510A92"/>
    <w:rsid w:val="00511408"/>
    <w:rsid w:val="00512063"/>
    <w:rsid w:val="005134CB"/>
    <w:rsid w:val="005142B9"/>
    <w:rsid w:val="00514E3A"/>
    <w:rsid w:val="00515543"/>
    <w:rsid w:val="00515634"/>
    <w:rsid w:val="005168E4"/>
    <w:rsid w:val="0051691A"/>
    <w:rsid w:val="00516F05"/>
    <w:rsid w:val="00517795"/>
    <w:rsid w:val="00517BC6"/>
    <w:rsid w:val="00520EE7"/>
    <w:rsid w:val="00521550"/>
    <w:rsid w:val="00521907"/>
    <w:rsid w:val="00523A38"/>
    <w:rsid w:val="00524E29"/>
    <w:rsid w:val="0052503F"/>
    <w:rsid w:val="00526D7E"/>
    <w:rsid w:val="0052708C"/>
    <w:rsid w:val="005276A7"/>
    <w:rsid w:val="00530411"/>
    <w:rsid w:val="005327F2"/>
    <w:rsid w:val="00532FE6"/>
    <w:rsid w:val="00533BDE"/>
    <w:rsid w:val="00533D6F"/>
    <w:rsid w:val="00535B2F"/>
    <w:rsid w:val="00535E76"/>
    <w:rsid w:val="0053680C"/>
    <w:rsid w:val="00536BA5"/>
    <w:rsid w:val="00537843"/>
    <w:rsid w:val="00540220"/>
    <w:rsid w:val="00541060"/>
    <w:rsid w:val="005424F7"/>
    <w:rsid w:val="005442E0"/>
    <w:rsid w:val="00544F82"/>
    <w:rsid w:val="005457CE"/>
    <w:rsid w:val="00546715"/>
    <w:rsid w:val="00547161"/>
    <w:rsid w:val="00547427"/>
    <w:rsid w:val="0054788C"/>
    <w:rsid w:val="005479C7"/>
    <w:rsid w:val="005479DF"/>
    <w:rsid w:val="00550217"/>
    <w:rsid w:val="005508E0"/>
    <w:rsid w:val="00550CF5"/>
    <w:rsid w:val="005517AA"/>
    <w:rsid w:val="0055285D"/>
    <w:rsid w:val="00554A05"/>
    <w:rsid w:val="00555F5A"/>
    <w:rsid w:val="0055690B"/>
    <w:rsid w:val="00556BBD"/>
    <w:rsid w:val="00557FB1"/>
    <w:rsid w:val="005602CA"/>
    <w:rsid w:val="005609B4"/>
    <w:rsid w:val="00560DB9"/>
    <w:rsid w:val="00562BEA"/>
    <w:rsid w:val="00564299"/>
    <w:rsid w:val="00564628"/>
    <w:rsid w:val="00564DAE"/>
    <w:rsid w:val="00566178"/>
    <w:rsid w:val="0056664A"/>
    <w:rsid w:val="00567CD8"/>
    <w:rsid w:val="00567DF2"/>
    <w:rsid w:val="005709DF"/>
    <w:rsid w:val="005717EE"/>
    <w:rsid w:val="00571E2D"/>
    <w:rsid w:val="005739E1"/>
    <w:rsid w:val="00573CC5"/>
    <w:rsid w:val="005743A2"/>
    <w:rsid w:val="00574C59"/>
    <w:rsid w:val="00575255"/>
    <w:rsid w:val="005752A0"/>
    <w:rsid w:val="00575788"/>
    <w:rsid w:val="0057775C"/>
    <w:rsid w:val="00577DB9"/>
    <w:rsid w:val="005808DE"/>
    <w:rsid w:val="00581559"/>
    <w:rsid w:val="00584F49"/>
    <w:rsid w:val="005852E4"/>
    <w:rsid w:val="005855E4"/>
    <w:rsid w:val="00585684"/>
    <w:rsid w:val="00586FC9"/>
    <w:rsid w:val="005870EC"/>
    <w:rsid w:val="00587CE2"/>
    <w:rsid w:val="00591B73"/>
    <w:rsid w:val="00592641"/>
    <w:rsid w:val="0059323E"/>
    <w:rsid w:val="00593691"/>
    <w:rsid w:val="00594625"/>
    <w:rsid w:val="00595CD2"/>
    <w:rsid w:val="00595FC8"/>
    <w:rsid w:val="00596333"/>
    <w:rsid w:val="005978DA"/>
    <w:rsid w:val="005A025D"/>
    <w:rsid w:val="005A1BA5"/>
    <w:rsid w:val="005A2769"/>
    <w:rsid w:val="005A2E4D"/>
    <w:rsid w:val="005A3E20"/>
    <w:rsid w:val="005A4B8C"/>
    <w:rsid w:val="005A6E1B"/>
    <w:rsid w:val="005A77DC"/>
    <w:rsid w:val="005B054E"/>
    <w:rsid w:val="005B2668"/>
    <w:rsid w:val="005B292D"/>
    <w:rsid w:val="005B3DA0"/>
    <w:rsid w:val="005B5290"/>
    <w:rsid w:val="005C166D"/>
    <w:rsid w:val="005C2622"/>
    <w:rsid w:val="005C303E"/>
    <w:rsid w:val="005C3655"/>
    <w:rsid w:val="005C397D"/>
    <w:rsid w:val="005C528D"/>
    <w:rsid w:val="005C6BDA"/>
    <w:rsid w:val="005C7C93"/>
    <w:rsid w:val="005D0906"/>
    <w:rsid w:val="005D0A2D"/>
    <w:rsid w:val="005D0D49"/>
    <w:rsid w:val="005D2AF4"/>
    <w:rsid w:val="005D3229"/>
    <w:rsid w:val="005D3B5F"/>
    <w:rsid w:val="005D6871"/>
    <w:rsid w:val="005D7B94"/>
    <w:rsid w:val="005E05DA"/>
    <w:rsid w:val="005E1180"/>
    <w:rsid w:val="005E1824"/>
    <w:rsid w:val="005E1826"/>
    <w:rsid w:val="005E2E89"/>
    <w:rsid w:val="005E3E58"/>
    <w:rsid w:val="005E406D"/>
    <w:rsid w:val="005E5434"/>
    <w:rsid w:val="005E5CCE"/>
    <w:rsid w:val="005E64D5"/>
    <w:rsid w:val="005E75AF"/>
    <w:rsid w:val="005E7CD6"/>
    <w:rsid w:val="005E7CF2"/>
    <w:rsid w:val="005F0D0D"/>
    <w:rsid w:val="005F1679"/>
    <w:rsid w:val="005F23F2"/>
    <w:rsid w:val="005F3973"/>
    <w:rsid w:val="005F444C"/>
    <w:rsid w:val="005F45D7"/>
    <w:rsid w:val="005F4856"/>
    <w:rsid w:val="005F7785"/>
    <w:rsid w:val="005F7A05"/>
    <w:rsid w:val="0060035F"/>
    <w:rsid w:val="006003BE"/>
    <w:rsid w:val="00600EBC"/>
    <w:rsid w:val="006020D1"/>
    <w:rsid w:val="0060216D"/>
    <w:rsid w:val="0060252B"/>
    <w:rsid w:val="00604A3C"/>
    <w:rsid w:val="00605673"/>
    <w:rsid w:val="00605700"/>
    <w:rsid w:val="00605C98"/>
    <w:rsid w:val="006075B4"/>
    <w:rsid w:val="00607B00"/>
    <w:rsid w:val="00611796"/>
    <w:rsid w:val="00611A47"/>
    <w:rsid w:val="00614FB8"/>
    <w:rsid w:val="006152D2"/>
    <w:rsid w:val="00616C0A"/>
    <w:rsid w:val="00616CF8"/>
    <w:rsid w:val="0061748F"/>
    <w:rsid w:val="0062084B"/>
    <w:rsid w:val="00620E5E"/>
    <w:rsid w:val="00620FBE"/>
    <w:rsid w:val="00621009"/>
    <w:rsid w:val="00621121"/>
    <w:rsid w:val="006212E6"/>
    <w:rsid w:val="00622389"/>
    <w:rsid w:val="006235EA"/>
    <w:rsid w:val="00625432"/>
    <w:rsid w:val="006265B5"/>
    <w:rsid w:val="00626814"/>
    <w:rsid w:val="00627E6B"/>
    <w:rsid w:val="0063036F"/>
    <w:rsid w:val="00633C6C"/>
    <w:rsid w:val="00634526"/>
    <w:rsid w:val="00634726"/>
    <w:rsid w:val="00635D10"/>
    <w:rsid w:val="00637142"/>
    <w:rsid w:val="00640F96"/>
    <w:rsid w:val="0064104D"/>
    <w:rsid w:val="00641897"/>
    <w:rsid w:val="00643ABB"/>
    <w:rsid w:val="006450A9"/>
    <w:rsid w:val="00645418"/>
    <w:rsid w:val="0064769B"/>
    <w:rsid w:val="006510E3"/>
    <w:rsid w:val="006518FC"/>
    <w:rsid w:val="00651C42"/>
    <w:rsid w:val="00651E1B"/>
    <w:rsid w:val="00651E3F"/>
    <w:rsid w:val="00653025"/>
    <w:rsid w:val="006537FA"/>
    <w:rsid w:val="00654F98"/>
    <w:rsid w:val="0065718F"/>
    <w:rsid w:val="00657309"/>
    <w:rsid w:val="006622A1"/>
    <w:rsid w:val="00663279"/>
    <w:rsid w:val="0066368B"/>
    <w:rsid w:val="00663D3F"/>
    <w:rsid w:val="00663D81"/>
    <w:rsid w:val="00666CC3"/>
    <w:rsid w:val="00666F66"/>
    <w:rsid w:val="006712DA"/>
    <w:rsid w:val="00672523"/>
    <w:rsid w:val="006725D8"/>
    <w:rsid w:val="00673B2E"/>
    <w:rsid w:val="00674728"/>
    <w:rsid w:val="00675EC0"/>
    <w:rsid w:val="00675EEB"/>
    <w:rsid w:val="00676500"/>
    <w:rsid w:val="0067695E"/>
    <w:rsid w:val="00676C6D"/>
    <w:rsid w:val="00681D65"/>
    <w:rsid w:val="00683AC2"/>
    <w:rsid w:val="00683D99"/>
    <w:rsid w:val="0068496F"/>
    <w:rsid w:val="006864EF"/>
    <w:rsid w:val="0068709D"/>
    <w:rsid w:val="00687A5D"/>
    <w:rsid w:val="0069169D"/>
    <w:rsid w:val="00692378"/>
    <w:rsid w:val="00692977"/>
    <w:rsid w:val="006929DF"/>
    <w:rsid w:val="006944C8"/>
    <w:rsid w:val="00695493"/>
    <w:rsid w:val="00695F04"/>
    <w:rsid w:val="0069608F"/>
    <w:rsid w:val="006963F8"/>
    <w:rsid w:val="0069699F"/>
    <w:rsid w:val="0069714B"/>
    <w:rsid w:val="00697E30"/>
    <w:rsid w:val="006A0265"/>
    <w:rsid w:val="006A1A1B"/>
    <w:rsid w:val="006A1FFB"/>
    <w:rsid w:val="006A437D"/>
    <w:rsid w:val="006A449A"/>
    <w:rsid w:val="006A5852"/>
    <w:rsid w:val="006A6053"/>
    <w:rsid w:val="006A7CB3"/>
    <w:rsid w:val="006B0DC3"/>
    <w:rsid w:val="006B195D"/>
    <w:rsid w:val="006B1C9C"/>
    <w:rsid w:val="006B257F"/>
    <w:rsid w:val="006B262A"/>
    <w:rsid w:val="006B264D"/>
    <w:rsid w:val="006B3A40"/>
    <w:rsid w:val="006B4D3C"/>
    <w:rsid w:val="006B4EF7"/>
    <w:rsid w:val="006B5035"/>
    <w:rsid w:val="006B593D"/>
    <w:rsid w:val="006B5EFF"/>
    <w:rsid w:val="006B6C59"/>
    <w:rsid w:val="006B7C28"/>
    <w:rsid w:val="006C18CC"/>
    <w:rsid w:val="006C3DDB"/>
    <w:rsid w:val="006C5593"/>
    <w:rsid w:val="006C58A0"/>
    <w:rsid w:val="006C5F7A"/>
    <w:rsid w:val="006C68FE"/>
    <w:rsid w:val="006C700C"/>
    <w:rsid w:val="006D10D1"/>
    <w:rsid w:val="006D12AC"/>
    <w:rsid w:val="006D18E7"/>
    <w:rsid w:val="006D2FC2"/>
    <w:rsid w:val="006D3083"/>
    <w:rsid w:val="006D34C0"/>
    <w:rsid w:val="006D4166"/>
    <w:rsid w:val="006D523A"/>
    <w:rsid w:val="006D741C"/>
    <w:rsid w:val="006D75E2"/>
    <w:rsid w:val="006D775A"/>
    <w:rsid w:val="006D7773"/>
    <w:rsid w:val="006E0F01"/>
    <w:rsid w:val="006E1B95"/>
    <w:rsid w:val="006E34CE"/>
    <w:rsid w:val="006E4A3E"/>
    <w:rsid w:val="006E53AA"/>
    <w:rsid w:val="006E5EC9"/>
    <w:rsid w:val="006F03D3"/>
    <w:rsid w:val="006F1474"/>
    <w:rsid w:val="006F1FA0"/>
    <w:rsid w:val="006F3E5F"/>
    <w:rsid w:val="006F40B4"/>
    <w:rsid w:val="006F495F"/>
    <w:rsid w:val="006F5698"/>
    <w:rsid w:val="006F569A"/>
    <w:rsid w:val="006F64D4"/>
    <w:rsid w:val="006F74BD"/>
    <w:rsid w:val="006F79BA"/>
    <w:rsid w:val="00701B08"/>
    <w:rsid w:val="00702F3F"/>
    <w:rsid w:val="00703662"/>
    <w:rsid w:val="0070387B"/>
    <w:rsid w:val="00703B22"/>
    <w:rsid w:val="00704B22"/>
    <w:rsid w:val="00705536"/>
    <w:rsid w:val="00705544"/>
    <w:rsid w:val="00707706"/>
    <w:rsid w:val="0071198F"/>
    <w:rsid w:val="00711CFF"/>
    <w:rsid w:val="00712718"/>
    <w:rsid w:val="007128BF"/>
    <w:rsid w:val="00712A09"/>
    <w:rsid w:val="00712ADA"/>
    <w:rsid w:val="00714B64"/>
    <w:rsid w:val="00714C2E"/>
    <w:rsid w:val="00715040"/>
    <w:rsid w:val="00715D54"/>
    <w:rsid w:val="0071768D"/>
    <w:rsid w:val="00720423"/>
    <w:rsid w:val="007204F8"/>
    <w:rsid w:val="0072091A"/>
    <w:rsid w:val="0072195A"/>
    <w:rsid w:val="00722416"/>
    <w:rsid w:val="007227DD"/>
    <w:rsid w:val="00724918"/>
    <w:rsid w:val="00725381"/>
    <w:rsid w:val="00726300"/>
    <w:rsid w:val="007306D1"/>
    <w:rsid w:val="00730FC5"/>
    <w:rsid w:val="00732E4D"/>
    <w:rsid w:val="00733436"/>
    <w:rsid w:val="00734079"/>
    <w:rsid w:val="007342EF"/>
    <w:rsid w:val="007355F0"/>
    <w:rsid w:val="00735747"/>
    <w:rsid w:val="00736A3E"/>
    <w:rsid w:val="00736D9D"/>
    <w:rsid w:val="00736F53"/>
    <w:rsid w:val="00740279"/>
    <w:rsid w:val="00742E03"/>
    <w:rsid w:val="007441BE"/>
    <w:rsid w:val="00744CAE"/>
    <w:rsid w:val="00744DF5"/>
    <w:rsid w:val="0074699B"/>
    <w:rsid w:val="00747945"/>
    <w:rsid w:val="00750158"/>
    <w:rsid w:val="007514DC"/>
    <w:rsid w:val="007519C5"/>
    <w:rsid w:val="007521DD"/>
    <w:rsid w:val="00752CF5"/>
    <w:rsid w:val="00753190"/>
    <w:rsid w:val="007539D1"/>
    <w:rsid w:val="00754885"/>
    <w:rsid w:val="00755824"/>
    <w:rsid w:val="0075615A"/>
    <w:rsid w:val="00757A0C"/>
    <w:rsid w:val="00760752"/>
    <w:rsid w:val="0076147D"/>
    <w:rsid w:val="00762BE7"/>
    <w:rsid w:val="0076584C"/>
    <w:rsid w:val="00767079"/>
    <w:rsid w:val="007675DB"/>
    <w:rsid w:val="00770BA1"/>
    <w:rsid w:val="00772CEC"/>
    <w:rsid w:val="00773707"/>
    <w:rsid w:val="0077500B"/>
    <w:rsid w:val="007752E7"/>
    <w:rsid w:val="00775812"/>
    <w:rsid w:val="00775C25"/>
    <w:rsid w:val="00775EE4"/>
    <w:rsid w:val="007763CA"/>
    <w:rsid w:val="0077670C"/>
    <w:rsid w:val="00776F11"/>
    <w:rsid w:val="0077720A"/>
    <w:rsid w:val="00777D1B"/>
    <w:rsid w:val="00783E57"/>
    <w:rsid w:val="00783ECB"/>
    <w:rsid w:val="00784706"/>
    <w:rsid w:val="00787B4B"/>
    <w:rsid w:val="00787BAB"/>
    <w:rsid w:val="00790759"/>
    <w:rsid w:val="00791B94"/>
    <w:rsid w:val="00793208"/>
    <w:rsid w:val="007934F3"/>
    <w:rsid w:val="007939E9"/>
    <w:rsid w:val="00793E2A"/>
    <w:rsid w:val="007955E1"/>
    <w:rsid w:val="007958D4"/>
    <w:rsid w:val="00796562"/>
    <w:rsid w:val="007969FE"/>
    <w:rsid w:val="007A039B"/>
    <w:rsid w:val="007A0628"/>
    <w:rsid w:val="007A06DF"/>
    <w:rsid w:val="007A10E8"/>
    <w:rsid w:val="007A351F"/>
    <w:rsid w:val="007A3E90"/>
    <w:rsid w:val="007A4DDC"/>
    <w:rsid w:val="007A5B70"/>
    <w:rsid w:val="007A6F59"/>
    <w:rsid w:val="007A79A9"/>
    <w:rsid w:val="007A7B1A"/>
    <w:rsid w:val="007A7DFC"/>
    <w:rsid w:val="007A7F9A"/>
    <w:rsid w:val="007B01DD"/>
    <w:rsid w:val="007B193D"/>
    <w:rsid w:val="007B1CA5"/>
    <w:rsid w:val="007B205A"/>
    <w:rsid w:val="007B53C2"/>
    <w:rsid w:val="007B695D"/>
    <w:rsid w:val="007B755A"/>
    <w:rsid w:val="007C07C5"/>
    <w:rsid w:val="007C0D69"/>
    <w:rsid w:val="007C52BF"/>
    <w:rsid w:val="007C743D"/>
    <w:rsid w:val="007C77D4"/>
    <w:rsid w:val="007D079B"/>
    <w:rsid w:val="007D080A"/>
    <w:rsid w:val="007D0D61"/>
    <w:rsid w:val="007D1673"/>
    <w:rsid w:val="007D19FB"/>
    <w:rsid w:val="007D4B91"/>
    <w:rsid w:val="007D4C3C"/>
    <w:rsid w:val="007D5528"/>
    <w:rsid w:val="007D6211"/>
    <w:rsid w:val="007D6EC0"/>
    <w:rsid w:val="007D7497"/>
    <w:rsid w:val="007E0496"/>
    <w:rsid w:val="007E04C6"/>
    <w:rsid w:val="007E0677"/>
    <w:rsid w:val="007E0D2C"/>
    <w:rsid w:val="007E1DA7"/>
    <w:rsid w:val="007E2A5C"/>
    <w:rsid w:val="007E452E"/>
    <w:rsid w:val="007E4BAA"/>
    <w:rsid w:val="007E4F94"/>
    <w:rsid w:val="007E6E36"/>
    <w:rsid w:val="007E7343"/>
    <w:rsid w:val="007E7ED8"/>
    <w:rsid w:val="007F068A"/>
    <w:rsid w:val="007F2655"/>
    <w:rsid w:val="007F2E32"/>
    <w:rsid w:val="007F45A9"/>
    <w:rsid w:val="007F5FF0"/>
    <w:rsid w:val="007F6059"/>
    <w:rsid w:val="007F6670"/>
    <w:rsid w:val="007F67B6"/>
    <w:rsid w:val="007F706D"/>
    <w:rsid w:val="007F7835"/>
    <w:rsid w:val="007F7DC3"/>
    <w:rsid w:val="007F7E0F"/>
    <w:rsid w:val="00800F41"/>
    <w:rsid w:val="0080188C"/>
    <w:rsid w:val="00801D89"/>
    <w:rsid w:val="00802127"/>
    <w:rsid w:val="00802EF9"/>
    <w:rsid w:val="00805D86"/>
    <w:rsid w:val="00805EFE"/>
    <w:rsid w:val="00806C6F"/>
    <w:rsid w:val="00806D11"/>
    <w:rsid w:val="00806DD5"/>
    <w:rsid w:val="00806E96"/>
    <w:rsid w:val="00807395"/>
    <w:rsid w:val="008079D8"/>
    <w:rsid w:val="0081083F"/>
    <w:rsid w:val="00810960"/>
    <w:rsid w:val="00810D4C"/>
    <w:rsid w:val="008110D9"/>
    <w:rsid w:val="00811E55"/>
    <w:rsid w:val="00811E8F"/>
    <w:rsid w:val="0081206E"/>
    <w:rsid w:val="0081229B"/>
    <w:rsid w:val="00812361"/>
    <w:rsid w:val="00812F8E"/>
    <w:rsid w:val="00814FBA"/>
    <w:rsid w:val="0081518B"/>
    <w:rsid w:val="00816E6D"/>
    <w:rsid w:val="00820382"/>
    <w:rsid w:val="00820633"/>
    <w:rsid w:val="00821B69"/>
    <w:rsid w:val="00821F4E"/>
    <w:rsid w:val="00822C87"/>
    <w:rsid w:val="00823E69"/>
    <w:rsid w:val="00824405"/>
    <w:rsid w:val="0082441E"/>
    <w:rsid w:val="0082583B"/>
    <w:rsid w:val="00826B90"/>
    <w:rsid w:val="00832ACE"/>
    <w:rsid w:val="00832DA4"/>
    <w:rsid w:val="0083397A"/>
    <w:rsid w:val="0083636E"/>
    <w:rsid w:val="00836489"/>
    <w:rsid w:val="00836716"/>
    <w:rsid w:val="0083700F"/>
    <w:rsid w:val="008377F5"/>
    <w:rsid w:val="0084120F"/>
    <w:rsid w:val="00841989"/>
    <w:rsid w:val="00841AD1"/>
    <w:rsid w:val="0084447B"/>
    <w:rsid w:val="008468C8"/>
    <w:rsid w:val="00846AAA"/>
    <w:rsid w:val="00847609"/>
    <w:rsid w:val="008479E8"/>
    <w:rsid w:val="00850119"/>
    <w:rsid w:val="00851BAB"/>
    <w:rsid w:val="008520B0"/>
    <w:rsid w:val="00853B3C"/>
    <w:rsid w:val="00854018"/>
    <w:rsid w:val="00854099"/>
    <w:rsid w:val="00855646"/>
    <w:rsid w:val="008567AE"/>
    <w:rsid w:val="008578C3"/>
    <w:rsid w:val="008602F0"/>
    <w:rsid w:val="00860F22"/>
    <w:rsid w:val="00862A6E"/>
    <w:rsid w:val="0086387E"/>
    <w:rsid w:val="00864D47"/>
    <w:rsid w:val="0086535D"/>
    <w:rsid w:val="00867024"/>
    <w:rsid w:val="0086790C"/>
    <w:rsid w:val="0086794B"/>
    <w:rsid w:val="00867FE5"/>
    <w:rsid w:val="008704FB"/>
    <w:rsid w:val="00871ADE"/>
    <w:rsid w:val="00871B4A"/>
    <w:rsid w:val="00871E93"/>
    <w:rsid w:val="00872BE4"/>
    <w:rsid w:val="00873927"/>
    <w:rsid w:val="00874B6E"/>
    <w:rsid w:val="008755DC"/>
    <w:rsid w:val="0087751B"/>
    <w:rsid w:val="00877E22"/>
    <w:rsid w:val="00880D3F"/>
    <w:rsid w:val="00880ECE"/>
    <w:rsid w:val="00881702"/>
    <w:rsid w:val="00881D2A"/>
    <w:rsid w:val="00882C21"/>
    <w:rsid w:val="008831B9"/>
    <w:rsid w:val="00884A54"/>
    <w:rsid w:val="00885352"/>
    <w:rsid w:val="00886B90"/>
    <w:rsid w:val="00887DBC"/>
    <w:rsid w:val="008914BC"/>
    <w:rsid w:val="00893649"/>
    <w:rsid w:val="008943C3"/>
    <w:rsid w:val="00894939"/>
    <w:rsid w:val="00897D19"/>
    <w:rsid w:val="00897E23"/>
    <w:rsid w:val="00897FB3"/>
    <w:rsid w:val="008A0D6F"/>
    <w:rsid w:val="008A3197"/>
    <w:rsid w:val="008A3F09"/>
    <w:rsid w:val="008A4D07"/>
    <w:rsid w:val="008A54CE"/>
    <w:rsid w:val="008A5571"/>
    <w:rsid w:val="008A5A1E"/>
    <w:rsid w:val="008A5DE1"/>
    <w:rsid w:val="008A5F83"/>
    <w:rsid w:val="008A6622"/>
    <w:rsid w:val="008A6A8B"/>
    <w:rsid w:val="008B0024"/>
    <w:rsid w:val="008B0979"/>
    <w:rsid w:val="008B1029"/>
    <w:rsid w:val="008B15EA"/>
    <w:rsid w:val="008B16AD"/>
    <w:rsid w:val="008B2B90"/>
    <w:rsid w:val="008B3379"/>
    <w:rsid w:val="008B34EA"/>
    <w:rsid w:val="008B3A71"/>
    <w:rsid w:val="008B4AB8"/>
    <w:rsid w:val="008B4ADF"/>
    <w:rsid w:val="008B5D7B"/>
    <w:rsid w:val="008B6597"/>
    <w:rsid w:val="008B69CD"/>
    <w:rsid w:val="008B7670"/>
    <w:rsid w:val="008B793F"/>
    <w:rsid w:val="008B7B14"/>
    <w:rsid w:val="008C1646"/>
    <w:rsid w:val="008C2EA8"/>
    <w:rsid w:val="008C4FE1"/>
    <w:rsid w:val="008C5287"/>
    <w:rsid w:val="008C67E6"/>
    <w:rsid w:val="008C7031"/>
    <w:rsid w:val="008C7721"/>
    <w:rsid w:val="008C7D04"/>
    <w:rsid w:val="008D0657"/>
    <w:rsid w:val="008D0C12"/>
    <w:rsid w:val="008D1FF7"/>
    <w:rsid w:val="008D2671"/>
    <w:rsid w:val="008D4660"/>
    <w:rsid w:val="008D4C79"/>
    <w:rsid w:val="008D574C"/>
    <w:rsid w:val="008D591A"/>
    <w:rsid w:val="008D5A9B"/>
    <w:rsid w:val="008D5D02"/>
    <w:rsid w:val="008D6C31"/>
    <w:rsid w:val="008E0002"/>
    <w:rsid w:val="008E0A70"/>
    <w:rsid w:val="008E1368"/>
    <w:rsid w:val="008E1502"/>
    <w:rsid w:val="008E16A7"/>
    <w:rsid w:val="008E2AD9"/>
    <w:rsid w:val="008E4390"/>
    <w:rsid w:val="008E6DCA"/>
    <w:rsid w:val="008F0708"/>
    <w:rsid w:val="008F0E22"/>
    <w:rsid w:val="008F1A64"/>
    <w:rsid w:val="008F2070"/>
    <w:rsid w:val="008F3B0E"/>
    <w:rsid w:val="008F4229"/>
    <w:rsid w:val="008F57F4"/>
    <w:rsid w:val="008F5815"/>
    <w:rsid w:val="008F5CA6"/>
    <w:rsid w:val="008F5CE1"/>
    <w:rsid w:val="008F6011"/>
    <w:rsid w:val="008F65B5"/>
    <w:rsid w:val="008F6B2E"/>
    <w:rsid w:val="008F7C87"/>
    <w:rsid w:val="008F7F1A"/>
    <w:rsid w:val="00902476"/>
    <w:rsid w:val="00902D38"/>
    <w:rsid w:val="00904D4D"/>
    <w:rsid w:val="0090628A"/>
    <w:rsid w:val="00906D75"/>
    <w:rsid w:val="0090761F"/>
    <w:rsid w:val="00907EE0"/>
    <w:rsid w:val="00910131"/>
    <w:rsid w:val="00911142"/>
    <w:rsid w:val="0091187D"/>
    <w:rsid w:val="009130B6"/>
    <w:rsid w:val="0091328A"/>
    <w:rsid w:val="00913A18"/>
    <w:rsid w:val="0091477C"/>
    <w:rsid w:val="0091717D"/>
    <w:rsid w:val="00917980"/>
    <w:rsid w:val="00917ACA"/>
    <w:rsid w:val="00917DBB"/>
    <w:rsid w:val="00917FD0"/>
    <w:rsid w:val="009205DA"/>
    <w:rsid w:val="009215AF"/>
    <w:rsid w:val="009221EC"/>
    <w:rsid w:val="00923636"/>
    <w:rsid w:val="00925345"/>
    <w:rsid w:val="00925EC7"/>
    <w:rsid w:val="00926587"/>
    <w:rsid w:val="00927128"/>
    <w:rsid w:val="00930184"/>
    <w:rsid w:val="009305F6"/>
    <w:rsid w:val="0093077D"/>
    <w:rsid w:val="009312CB"/>
    <w:rsid w:val="00932A56"/>
    <w:rsid w:val="009339EB"/>
    <w:rsid w:val="00934700"/>
    <w:rsid w:val="00936C78"/>
    <w:rsid w:val="00937276"/>
    <w:rsid w:val="00940557"/>
    <w:rsid w:val="00941B22"/>
    <w:rsid w:val="00942E85"/>
    <w:rsid w:val="00942FA1"/>
    <w:rsid w:val="00943A94"/>
    <w:rsid w:val="00945C90"/>
    <w:rsid w:val="00945D6A"/>
    <w:rsid w:val="00946805"/>
    <w:rsid w:val="00947F42"/>
    <w:rsid w:val="0095003B"/>
    <w:rsid w:val="00950E36"/>
    <w:rsid w:val="009513D3"/>
    <w:rsid w:val="009521D6"/>
    <w:rsid w:val="009529D6"/>
    <w:rsid w:val="00952DC5"/>
    <w:rsid w:val="00953474"/>
    <w:rsid w:val="00953A1B"/>
    <w:rsid w:val="00953EDA"/>
    <w:rsid w:val="00954277"/>
    <w:rsid w:val="00956397"/>
    <w:rsid w:val="009567CF"/>
    <w:rsid w:val="00957F21"/>
    <w:rsid w:val="0096070B"/>
    <w:rsid w:val="009607BD"/>
    <w:rsid w:val="00962BF7"/>
    <w:rsid w:val="00962E7C"/>
    <w:rsid w:val="00962F00"/>
    <w:rsid w:val="00963F4D"/>
    <w:rsid w:val="009646E5"/>
    <w:rsid w:val="0096478C"/>
    <w:rsid w:val="00965C6B"/>
    <w:rsid w:val="00966AF4"/>
    <w:rsid w:val="00971283"/>
    <w:rsid w:val="009727FF"/>
    <w:rsid w:val="00973014"/>
    <w:rsid w:val="009735A5"/>
    <w:rsid w:val="00973DFD"/>
    <w:rsid w:val="00974272"/>
    <w:rsid w:val="00977925"/>
    <w:rsid w:val="00980112"/>
    <w:rsid w:val="0098132B"/>
    <w:rsid w:val="00981B1F"/>
    <w:rsid w:val="00982295"/>
    <w:rsid w:val="0098385F"/>
    <w:rsid w:val="00983F63"/>
    <w:rsid w:val="009854B1"/>
    <w:rsid w:val="009855E3"/>
    <w:rsid w:val="009860E8"/>
    <w:rsid w:val="009868B1"/>
    <w:rsid w:val="00987803"/>
    <w:rsid w:val="00990032"/>
    <w:rsid w:val="00991B63"/>
    <w:rsid w:val="009932B5"/>
    <w:rsid w:val="009941E4"/>
    <w:rsid w:val="00994A90"/>
    <w:rsid w:val="009967C9"/>
    <w:rsid w:val="009970A8"/>
    <w:rsid w:val="00997A54"/>
    <w:rsid w:val="009A1339"/>
    <w:rsid w:val="009A1A6B"/>
    <w:rsid w:val="009A207C"/>
    <w:rsid w:val="009A4905"/>
    <w:rsid w:val="009A4954"/>
    <w:rsid w:val="009A4B15"/>
    <w:rsid w:val="009A5063"/>
    <w:rsid w:val="009A605D"/>
    <w:rsid w:val="009A6FD5"/>
    <w:rsid w:val="009A7041"/>
    <w:rsid w:val="009A7A3E"/>
    <w:rsid w:val="009B1276"/>
    <w:rsid w:val="009B12E5"/>
    <w:rsid w:val="009B2726"/>
    <w:rsid w:val="009B3A55"/>
    <w:rsid w:val="009B3D52"/>
    <w:rsid w:val="009B4C14"/>
    <w:rsid w:val="009B5477"/>
    <w:rsid w:val="009B5738"/>
    <w:rsid w:val="009B5E0E"/>
    <w:rsid w:val="009B6CB6"/>
    <w:rsid w:val="009B7881"/>
    <w:rsid w:val="009C075E"/>
    <w:rsid w:val="009C084B"/>
    <w:rsid w:val="009C123B"/>
    <w:rsid w:val="009C1614"/>
    <w:rsid w:val="009C1BD3"/>
    <w:rsid w:val="009C1D03"/>
    <w:rsid w:val="009C218C"/>
    <w:rsid w:val="009C2A5E"/>
    <w:rsid w:val="009C4480"/>
    <w:rsid w:val="009C44A1"/>
    <w:rsid w:val="009C44CA"/>
    <w:rsid w:val="009C4CEA"/>
    <w:rsid w:val="009D1CAA"/>
    <w:rsid w:val="009D34C3"/>
    <w:rsid w:val="009D3981"/>
    <w:rsid w:val="009D41A5"/>
    <w:rsid w:val="009D4F4D"/>
    <w:rsid w:val="009D56BF"/>
    <w:rsid w:val="009E1764"/>
    <w:rsid w:val="009E2C67"/>
    <w:rsid w:val="009E3DA2"/>
    <w:rsid w:val="009E43C7"/>
    <w:rsid w:val="009E5960"/>
    <w:rsid w:val="009E7E43"/>
    <w:rsid w:val="009F0087"/>
    <w:rsid w:val="009F0329"/>
    <w:rsid w:val="009F03A7"/>
    <w:rsid w:val="009F1838"/>
    <w:rsid w:val="009F1ED0"/>
    <w:rsid w:val="009F3EE1"/>
    <w:rsid w:val="009F44B8"/>
    <w:rsid w:val="009F4FCE"/>
    <w:rsid w:val="009F76C1"/>
    <w:rsid w:val="009F7FC2"/>
    <w:rsid w:val="00A00DB4"/>
    <w:rsid w:val="00A01BFD"/>
    <w:rsid w:val="00A05058"/>
    <w:rsid w:val="00A0527D"/>
    <w:rsid w:val="00A05320"/>
    <w:rsid w:val="00A056E8"/>
    <w:rsid w:val="00A07A39"/>
    <w:rsid w:val="00A07E98"/>
    <w:rsid w:val="00A11AE6"/>
    <w:rsid w:val="00A14830"/>
    <w:rsid w:val="00A14D3A"/>
    <w:rsid w:val="00A1508A"/>
    <w:rsid w:val="00A15790"/>
    <w:rsid w:val="00A15922"/>
    <w:rsid w:val="00A172FF"/>
    <w:rsid w:val="00A17C22"/>
    <w:rsid w:val="00A20318"/>
    <w:rsid w:val="00A235E2"/>
    <w:rsid w:val="00A25A4A"/>
    <w:rsid w:val="00A25C23"/>
    <w:rsid w:val="00A26230"/>
    <w:rsid w:val="00A271C7"/>
    <w:rsid w:val="00A27432"/>
    <w:rsid w:val="00A31DA6"/>
    <w:rsid w:val="00A3258B"/>
    <w:rsid w:val="00A34618"/>
    <w:rsid w:val="00A350E1"/>
    <w:rsid w:val="00A35194"/>
    <w:rsid w:val="00A35AB1"/>
    <w:rsid w:val="00A35E50"/>
    <w:rsid w:val="00A369E9"/>
    <w:rsid w:val="00A374DD"/>
    <w:rsid w:val="00A37598"/>
    <w:rsid w:val="00A37793"/>
    <w:rsid w:val="00A41741"/>
    <w:rsid w:val="00A4189E"/>
    <w:rsid w:val="00A41A56"/>
    <w:rsid w:val="00A456F2"/>
    <w:rsid w:val="00A462B2"/>
    <w:rsid w:val="00A47986"/>
    <w:rsid w:val="00A50F26"/>
    <w:rsid w:val="00A51C72"/>
    <w:rsid w:val="00A523F0"/>
    <w:rsid w:val="00A52409"/>
    <w:rsid w:val="00A52943"/>
    <w:rsid w:val="00A53758"/>
    <w:rsid w:val="00A53A7B"/>
    <w:rsid w:val="00A53F7B"/>
    <w:rsid w:val="00A5436B"/>
    <w:rsid w:val="00A5449E"/>
    <w:rsid w:val="00A54935"/>
    <w:rsid w:val="00A54C0E"/>
    <w:rsid w:val="00A560D1"/>
    <w:rsid w:val="00A565EA"/>
    <w:rsid w:val="00A56ADB"/>
    <w:rsid w:val="00A575D1"/>
    <w:rsid w:val="00A5779C"/>
    <w:rsid w:val="00A57C9C"/>
    <w:rsid w:val="00A61BBF"/>
    <w:rsid w:val="00A660AC"/>
    <w:rsid w:val="00A66EA2"/>
    <w:rsid w:val="00A67FD5"/>
    <w:rsid w:val="00A704DB"/>
    <w:rsid w:val="00A72243"/>
    <w:rsid w:val="00A729E4"/>
    <w:rsid w:val="00A72FA2"/>
    <w:rsid w:val="00A7305E"/>
    <w:rsid w:val="00A73FC7"/>
    <w:rsid w:val="00A7518E"/>
    <w:rsid w:val="00A764CC"/>
    <w:rsid w:val="00A76C52"/>
    <w:rsid w:val="00A80095"/>
    <w:rsid w:val="00A813AE"/>
    <w:rsid w:val="00A81A0E"/>
    <w:rsid w:val="00A81AD2"/>
    <w:rsid w:val="00A82356"/>
    <w:rsid w:val="00A82681"/>
    <w:rsid w:val="00A83108"/>
    <w:rsid w:val="00A853F8"/>
    <w:rsid w:val="00A85658"/>
    <w:rsid w:val="00A857CF"/>
    <w:rsid w:val="00A86B3F"/>
    <w:rsid w:val="00A872E8"/>
    <w:rsid w:val="00A87363"/>
    <w:rsid w:val="00A9280C"/>
    <w:rsid w:val="00A93368"/>
    <w:rsid w:val="00A93C66"/>
    <w:rsid w:val="00A94075"/>
    <w:rsid w:val="00A94525"/>
    <w:rsid w:val="00A957AB"/>
    <w:rsid w:val="00A971BF"/>
    <w:rsid w:val="00A978C9"/>
    <w:rsid w:val="00AA035A"/>
    <w:rsid w:val="00AA09F8"/>
    <w:rsid w:val="00AA18FE"/>
    <w:rsid w:val="00AA1BB8"/>
    <w:rsid w:val="00AA2479"/>
    <w:rsid w:val="00AA3D56"/>
    <w:rsid w:val="00AA64CF"/>
    <w:rsid w:val="00AA67F2"/>
    <w:rsid w:val="00AA6BFD"/>
    <w:rsid w:val="00AB01C4"/>
    <w:rsid w:val="00AB109C"/>
    <w:rsid w:val="00AB115B"/>
    <w:rsid w:val="00AB1216"/>
    <w:rsid w:val="00AB19FC"/>
    <w:rsid w:val="00AB229A"/>
    <w:rsid w:val="00AB23EA"/>
    <w:rsid w:val="00AB30CB"/>
    <w:rsid w:val="00AB36C1"/>
    <w:rsid w:val="00AB3F62"/>
    <w:rsid w:val="00AB41D6"/>
    <w:rsid w:val="00AB5A0D"/>
    <w:rsid w:val="00AB66A7"/>
    <w:rsid w:val="00AB729D"/>
    <w:rsid w:val="00AC0AE4"/>
    <w:rsid w:val="00AC1341"/>
    <w:rsid w:val="00AC2754"/>
    <w:rsid w:val="00AC2894"/>
    <w:rsid w:val="00AC395A"/>
    <w:rsid w:val="00AC5170"/>
    <w:rsid w:val="00AC5A27"/>
    <w:rsid w:val="00AC5DC0"/>
    <w:rsid w:val="00AC76D2"/>
    <w:rsid w:val="00AC78BF"/>
    <w:rsid w:val="00AD0A71"/>
    <w:rsid w:val="00AD0ABA"/>
    <w:rsid w:val="00AD324B"/>
    <w:rsid w:val="00AD3881"/>
    <w:rsid w:val="00AD48BF"/>
    <w:rsid w:val="00AD4D1A"/>
    <w:rsid w:val="00AD585A"/>
    <w:rsid w:val="00AD60A4"/>
    <w:rsid w:val="00AD63F0"/>
    <w:rsid w:val="00AD695B"/>
    <w:rsid w:val="00AD6D37"/>
    <w:rsid w:val="00AE0061"/>
    <w:rsid w:val="00AE0065"/>
    <w:rsid w:val="00AE063A"/>
    <w:rsid w:val="00AE2209"/>
    <w:rsid w:val="00AE4CD1"/>
    <w:rsid w:val="00AE6350"/>
    <w:rsid w:val="00AE768D"/>
    <w:rsid w:val="00AF1127"/>
    <w:rsid w:val="00AF14FD"/>
    <w:rsid w:val="00AF1853"/>
    <w:rsid w:val="00AF2A5F"/>
    <w:rsid w:val="00AF3457"/>
    <w:rsid w:val="00AF3E62"/>
    <w:rsid w:val="00AF45FE"/>
    <w:rsid w:val="00AF4AAE"/>
    <w:rsid w:val="00AF5408"/>
    <w:rsid w:val="00AF55AC"/>
    <w:rsid w:val="00AF6526"/>
    <w:rsid w:val="00B003ED"/>
    <w:rsid w:val="00B0073C"/>
    <w:rsid w:val="00B0087C"/>
    <w:rsid w:val="00B011D7"/>
    <w:rsid w:val="00B012AB"/>
    <w:rsid w:val="00B01507"/>
    <w:rsid w:val="00B017E7"/>
    <w:rsid w:val="00B019D3"/>
    <w:rsid w:val="00B01EEE"/>
    <w:rsid w:val="00B01F31"/>
    <w:rsid w:val="00B06088"/>
    <w:rsid w:val="00B06605"/>
    <w:rsid w:val="00B112CF"/>
    <w:rsid w:val="00B11422"/>
    <w:rsid w:val="00B11E37"/>
    <w:rsid w:val="00B133A8"/>
    <w:rsid w:val="00B13A2B"/>
    <w:rsid w:val="00B13CB2"/>
    <w:rsid w:val="00B1406F"/>
    <w:rsid w:val="00B15768"/>
    <w:rsid w:val="00B15E6C"/>
    <w:rsid w:val="00B17845"/>
    <w:rsid w:val="00B20117"/>
    <w:rsid w:val="00B21540"/>
    <w:rsid w:val="00B220F1"/>
    <w:rsid w:val="00B22BA0"/>
    <w:rsid w:val="00B22CBB"/>
    <w:rsid w:val="00B23330"/>
    <w:rsid w:val="00B236D2"/>
    <w:rsid w:val="00B259BC"/>
    <w:rsid w:val="00B27731"/>
    <w:rsid w:val="00B27767"/>
    <w:rsid w:val="00B279A7"/>
    <w:rsid w:val="00B30543"/>
    <w:rsid w:val="00B30AAE"/>
    <w:rsid w:val="00B31BE5"/>
    <w:rsid w:val="00B32012"/>
    <w:rsid w:val="00B321AD"/>
    <w:rsid w:val="00B32244"/>
    <w:rsid w:val="00B329E9"/>
    <w:rsid w:val="00B33520"/>
    <w:rsid w:val="00B342FC"/>
    <w:rsid w:val="00B351CB"/>
    <w:rsid w:val="00B35467"/>
    <w:rsid w:val="00B35803"/>
    <w:rsid w:val="00B37FA6"/>
    <w:rsid w:val="00B40086"/>
    <w:rsid w:val="00B40399"/>
    <w:rsid w:val="00B406E7"/>
    <w:rsid w:val="00B413EC"/>
    <w:rsid w:val="00B4158F"/>
    <w:rsid w:val="00B41D9B"/>
    <w:rsid w:val="00B41F7F"/>
    <w:rsid w:val="00B42129"/>
    <w:rsid w:val="00B428E2"/>
    <w:rsid w:val="00B43610"/>
    <w:rsid w:val="00B4667F"/>
    <w:rsid w:val="00B46A81"/>
    <w:rsid w:val="00B46FB9"/>
    <w:rsid w:val="00B47A20"/>
    <w:rsid w:val="00B501D6"/>
    <w:rsid w:val="00B504F2"/>
    <w:rsid w:val="00B506F7"/>
    <w:rsid w:val="00B51FE8"/>
    <w:rsid w:val="00B5237B"/>
    <w:rsid w:val="00B5245F"/>
    <w:rsid w:val="00B52986"/>
    <w:rsid w:val="00B540F7"/>
    <w:rsid w:val="00B54D64"/>
    <w:rsid w:val="00B55BEA"/>
    <w:rsid w:val="00B57515"/>
    <w:rsid w:val="00B6050E"/>
    <w:rsid w:val="00B61D5C"/>
    <w:rsid w:val="00B6494B"/>
    <w:rsid w:val="00B6590F"/>
    <w:rsid w:val="00B66A0A"/>
    <w:rsid w:val="00B670B9"/>
    <w:rsid w:val="00B679A6"/>
    <w:rsid w:val="00B701C4"/>
    <w:rsid w:val="00B70308"/>
    <w:rsid w:val="00B731FC"/>
    <w:rsid w:val="00B7563C"/>
    <w:rsid w:val="00B762A4"/>
    <w:rsid w:val="00B76409"/>
    <w:rsid w:val="00B769FA"/>
    <w:rsid w:val="00B7751F"/>
    <w:rsid w:val="00B804BB"/>
    <w:rsid w:val="00B80609"/>
    <w:rsid w:val="00B80685"/>
    <w:rsid w:val="00B81860"/>
    <w:rsid w:val="00B82466"/>
    <w:rsid w:val="00B83AF6"/>
    <w:rsid w:val="00B84061"/>
    <w:rsid w:val="00B8440C"/>
    <w:rsid w:val="00B861DE"/>
    <w:rsid w:val="00B86825"/>
    <w:rsid w:val="00B86BB6"/>
    <w:rsid w:val="00B86DD7"/>
    <w:rsid w:val="00B87744"/>
    <w:rsid w:val="00B87A7C"/>
    <w:rsid w:val="00B87AB3"/>
    <w:rsid w:val="00B900AB"/>
    <w:rsid w:val="00B935A6"/>
    <w:rsid w:val="00B963AD"/>
    <w:rsid w:val="00B97132"/>
    <w:rsid w:val="00BA0682"/>
    <w:rsid w:val="00BA0EBA"/>
    <w:rsid w:val="00BA1C39"/>
    <w:rsid w:val="00BA2337"/>
    <w:rsid w:val="00BA240E"/>
    <w:rsid w:val="00BA249C"/>
    <w:rsid w:val="00BA3580"/>
    <w:rsid w:val="00BA368D"/>
    <w:rsid w:val="00BA395E"/>
    <w:rsid w:val="00BA523B"/>
    <w:rsid w:val="00BA5341"/>
    <w:rsid w:val="00BA555B"/>
    <w:rsid w:val="00BA74D0"/>
    <w:rsid w:val="00BA7D20"/>
    <w:rsid w:val="00BB0C97"/>
    <w:rsid w:val="00BB21A0"/>
    <w:rsid w:val="00BB3369"/>
    <w:rsid w:val="00BB3A1B"/>
    <w:rsid w:val="00BB3BB6"/>
    <w:rsid w:val="00BB4ED9"/>
    <w:rsid w:val="00BB5DD5"/>
    <w:rsid w:val="00BB67C4"/>
    <w:rsid w:val="00BC07D6"/>
    <w:rsid w:val="00BC3C28"/>
    <w:rsid w:val="00BC40AC"/>
    <w:rsid w:val="00BC4173"/>
    <w:rsid w:val="00BC55AC"/>
    <w:rsid w:val="00BC55C4"/>
    <w:rsid w:val="00BC60C9"/>
    <w:rsid w:val="00BC66D2"/>
    <w:rsid w:val="00BC7D19"/>
    <w:rsid w:val="00BD07C3"/>
    <w:rsid w:val="00BD0D5E"/>
    <w:rsid w:val="00BD12C9"/>
    <w:rsid w:val="00BD1FA5"/>
    <w:rsid w:val="00BD43DC"/>
    <w:rsid w:val="00BD5D82"/>
    <w:rsid w:val="00BD66A8"/>
    <w:rsid w:val="00BE0733"/>
    <w:rsid w:val="00BE0A1F"/>
    <w:rsid w:val="00BE15A1"/>
    <w:rsid w:val="00BE2914"/>
    <w:rsid w:val="00BE3095"/>
    <w:rsid w:val="00BE3272"/>
    <w:rsid w:val="00BE4583"/>
    <w:rsid w:val="00BE4A84"/>
    <w:rsid w:val="00BE529F"/>
    <w:rsid w:val="00BE57C7"/>
    <w:rsid w:val="00BE600D"/>
    <w:rsid w:val="00BF1CEA"/>
    <w:rsid w:val="00BF31F5"/>
    <w:rsid w:val="00BF474E"/>
    <w:rsid w:val="00BF5101"/>
    <w:rsid w:val="00BF5269"/>
    <w:rsid w:val="00BF5FAB"/>
    <w:rsid w:val="00BF6A60"/>
    <w:rsid w:val="00C006CD"/>
    <w:rsid w:val="00C00A66"/>
    <w:rsid w:val="00C016F5"/>
    <w:rsid w:val="00C01F86"/>
    <w:rsid w:val="00C0252D"/>
    <w:rsid w:val="00C02902"/>
    <w:rsid w:val="00C02CA8"/>
    <w:rsid w:val="00C038DF"/>
    <w:rsid w:val="00C04F8B"/>
    <w:rsid w:val="00C05667"/>
    <w:rsid w:val="00C068F2"/>
    <w:rsid w:val="00C06F66"/>
    <w:rsid w:val="00C105EC"/>
    <w:rsid w:val="00C11D75"/>
    <w:rsid w:val="00C13587"/>
    <w:rsid w:val="00C135FA"/>
    <w:rsid w:val="00C1526A"/>
    <w:rsid w:val="00C155BF"/>
    <w:rsid w:val="00C15F13"/>
    <w:rsid w:val="00C16060"/>
    <w:rsid w:val="00C21C55"/>
    <w:rsid w:val="00C22F1A"/>
    <w:rsid w:val="00C23676"/>
    <w:rsid w:val="00C23EE6"/>
    <w:rsid w:val="00C24E18"/>
    <w:rsid w:val="00C25189"/>
    <w:rsid w:val="00C265C2"/>
    <w:rsid w:val="00C26802"/>
    <w:rsid w:val="00C3035E"/>
    <w:rsid w:val="00C31A5E"/>
    <w:rsid w:val="00C32201"/>
    <w:rsid w:val="00C324FB"/>
    <w:rsid w:val="00C3284F"/>
    <w:rsid w:val="00C35348"/>
    <w:rsid w:val="00C36350"/>
    <w:rsid w:val="00C367D0"/>
    <w:rsid w:val="00C3717D"/>
    <w:rsid w:val="00C37C54"/>
    <w:rsid w:val="00C37D6D"/>
    <w:rsid w:val="00C40012"/>
    <w:rsid w:val="00C401EE"/>
    <w:rsid w:val="00C415D7"/>
    <w:rsid w:val="00C418B9"/>
    <w:rsid w:val="00C41A0F"/>
    <w:rsid w:val="00C433F5"/>
    <w:rsid w:val="00C44147"/>
    <w:rsid w:val="00C44451"/>
    <w:rsid w:val="00C4465B"/>
    <w:rsid w:val="00C468DA"/>
    <w:rsid w:val="00C46ED0"/>
    <w:rsid w:val="00C508F9"/>
    <w:rsid w:val="00C51990"/>
    <w:rsid w:val="00C5199A"/>
    <w:rsid w:val="00C5207E"/>
    <w:rsid w:val="00C575F8"/>
    <w:rsid w:val="00C5791D"/>
    <w:rsid w:val="00C609DF"/>
    <w:rsid w:val="00C60D72"/>
    <w:rsid w:val="00C6163D"/>
    <w:rsid w:val="00C625EB"/>
    <w:rsid w:val="00C66614"/>
    <w:rsid w:val="00C679D3"/>
    <w:rsid w:val="00C67A3B"/>
    <w:rsid w:val="00C67F96"/>
    <w:rsid w:val="00C72D5E"/>
    <w:rsid w:val="00C74B03"/>
    <w:rsid w:val="00C74B89"/>
    <w:rsid w:val="00C74D80"/>
    <w:rsid w:val="00C74FF0"/>
    <w:rsid w:val="00C767C3"/>
    <w:rsid w:val="00C778ED"/>
    <w:rsid w:val="00C80A03"/>
    <w:rsid w:val="00C8182F"/>
    <w:rsid w:val="00C834CD"/>
    <w:rsid w:val="00C83B95"/>
    <w:rsid w:val="00C845DC"/>
    <w:rsid w:val="00C859AC"/>
    <w:rsid w:val="00C864FF"/>
    <w:rsid w:val="00C867A0"/>
    <w:rsid w:val="00C86C0F"/>
    <w:rsid w:val="00C87243"/>
    <w:rsid w:val="00C90118"/>
    <w:rsid w:val="00C91EF9"/>
    <w:rsid w:val="00C9227C"/>
    <w:rsid w:val="00C924D3"/>
    <w:rsid w:val="00C93F96"/>
    <w:rsid w:val="00C94500"/>
    <w:rsid w:val="00C97838"/>
    <w:rsid w:val="00C97CAE"/>
    <w:rsid w:val="00CA0BD1"/>
    <w:rsid w:val="00CA0F53"/>
    <w:rsid w:val="00CA27A0"/>
    <w:rsid w:val="00CA2C35"/>
    <w:rsid w:val="00CA39C1"/>
    <w:rsid w:val="00CA3C4A"/>
    <w:rsid w:val="00CB0887"/>
    <w:rsid w:val="00CB2498"/>
    <w:rsid w:val="00CB24FC"/>
    <w:rsid w:val="00CB3C62"/>
    <w:rsid w:val="00CB4DD9"/>
    <w:rsid w:val="00CB58C0"/>
    <w:rsid w:val="00CB78CD"/>
    <w:rsid w:val="00CB79A1"/>
    <w:rsid w:val="00CC02B9"/>
    <w:rsid w:val="00CC066D"/>
    <w:rsid w:val="00CC15CF"/>
    <w:rsid w:val="00CC291D"/>
    <w:rsid w:val="00CC5FA2"/>
    <w:rsid w:val="00CC5FF0"/>
    <w:rsid w:val="00CC6847"/>
    <w:rsid w:val="00CC7A57"/>
    <w:rsid w:val="00CD0E35"/>
    <w:rsid w:val="00CD186B"/>
    <w:rsid w:val="00CD1C68"/>
    <w:rsid w:val="00CD1C9E"/>
    <w:rsid w:val="00CD272A"/>
    <w:rsid w:val="00CD3CC9"/>
    <w:rsid w:val="00CD6985"/>
    <w:rsid w:val="00CD71C2"/>
    <w:rsid w:val="00CE0405"/>
    <w:rsid w:val="00CE13B6"/>
    <w:rsid w:val="00CE1BFA"/>
    <w:rsid w:val="00CE2591"/>
    <w:rsid w:val="00CE2804"/>
    <w:rsid w:val="00CE2EA9"/>
    <w:rsid w:val="00CE32AC"/>
    <w:rsid w:val="00CE33AD"/>
    <w:rsid w:val="00CE3AB5"/>
    <w:rsid w:val="00CE4E80"/>
    <w:rsid w:val="00CE51B5"/>
    <w:rsid w:val="00CE5BD6"/>
    <w:rsid w:val="00CE5CA2"/>
    <w:rsid w:val="00CE691E"/>
    <w:rsid w:val="00CE77FE"/>
    <w:rsid w:val="00CF02D7"/>
    <w:rsid w:val="00CF0F26"/>
    <w:rsid w:val="00CF15FD"/>
    <w:rsid w:val="00CF1DB2"/>
    <w:rsid w:val="00CF482E"/>
    <w:rsid w:val="00CF4B0D"/>
    <w:rsid w:val="00CF4CF8"/>
    <w:rsid w:val="00CF5177"/>
    <w:rsid w:val="00CF5826"/>
    <w:rsid w:val="00CF5A6B"/>
    <w:rsid w:val="00CF5D8E"/>
    <w:rsid w:val="00CF75E8"/>
    <w:rsid w:val="00CF793F"/>
    <w:rsid w:val="00CF7DE8"/>
    <w:rsid w:val="00D01962"/>
    <w:rsid w:val="00D02370"/>
    <w:rsid w:val="00D023A4"/>
    <w:rsid w:val="00D02989"/>
    <w:rsid w:val="00D04564"/>
    <w:rsid w:val="00D05B69"/>
    <w:rsid w:val="00D0711E"/>
    <w:rsid w:val="00D07676"/>
    <w:rsid w:val="00D07D36"/>
    <w:rsid w:val="00D10C5C"/>
    <w:rsid w:val="00D10F45"/>
    <w:rsid w:val="00D11888"/>
    <w:rsid w:val="00D11C3A"/>
    <w:rsid w:val="00D1213E"/>
    <w:rsid w:val="00D12311"/>
    <w:rsid w:val="00D128A4"/>
    <w:rsid w:val="00D12C0D"/>
    <w:rsid w:val="00D1364C"/>
    <w:rsid w:val="00D146DA"/>
    <w:rsid w:val="00D15EDC"/>
    <w:rsid w:val="00D2069D"/>
    <w:rsid w:val="00D208CA"/>
    <w:rsid w:val="00D2186A"/>
    <w:rsid w:val="00D223E9"/>
    <w:rsid w:val="00D22CBB"/>
    <w:rsid w:val="00D23EA4"/>
    <w:rsid w:val="00D23FAA"/>
    <w:rsid w:val="00D2471D"/>
    <w:rsid w:val="00D24DA5"/>
    <w:rsid w:val="00D25029"/>
    <w:rsid w:val="00D25965"/>
    <w:rsid w:val="00D25D01"/>
    <w:rsid w:val="00D26379"/>
    <w:rsid w:val="00D26E57"/>
    <w:rsid w:val="00D27B4E"/>
    <w:rsid w:val="00D30B03"/>
    <w:rsid w:val="00D3143C"/>
    <w:rsid w:val="00D32088"/>
    <w:rsid w:val="00D3240F"/>
    <w:rsid w:val="00D32720"/>
    <w:rsid w:val="00D33253"/>
    <w:rsid w:val="00D33294"/>
    <w:rsid w:val="00D35D91"/>
    <w:rsid w:val="00D378B8"/>
    <w:rsid w:val="00D37A75"/>
    <w:rsid w:val="00D40219"/>
    <w:rsid w:val="00D40500"/>
    <w:rsid w:val="00D4158B"/>
    <w:rsid w:val="00D4195D"/>
    <w:rsid w:val="00D41DB2"/>
    <w:rsid w:val="00D42662"/>
    <w:rsid w:val="00D42D1D"/>
    <w:rsid w:val="00D444C4"/>
    <w:rsid w:val="00D44613"/>
    <w:rsid w:val="00D44719"/>
    <w:rsid w:val="00D454BF"/>
    <w:rsid w:val="00D456C7"/>
    <w:rsid w:val="00D45AFC"/>
    <w:rsid w:val="00D4641C"/>
    <w:rsid w:val="00D46A58"/>
    <w:rsid w:val="00D46CC8"/>
    <w:rsid w:val="00D477EB"/>
    <w:rsid w:val="00D504EF"/>
    <w:rsid w:val="00D509FF"/>
    <w:rsid w:val="00D50D2B"/>
    <w:rsid w:val="00D50EA8"/>
    <w:rsid w:val="00D526BC"/>
    <w:rsid w:val="00D52D29"/>
    <w:rsid w:val="00D533D4"/>
    <w:rsid w:val="00D53C9F"/>
    <w:rsid w:val="00D54E93"/>
    <w:rsid w:val="00D558D1"/>
    <w:rsid w:val="00D5724C"/>
    <w:rsid w:val="00D61381"/>
    <w:rsid w:val="00D631EE"/>
    <w:rsid w:val="00D63C45"/>
    <w:rsid w:val="00D7000D"/>
    <w:rsid w:val="00D702AF"/>
    <w:rsid w:val="00D729C0"/>
    <w:rsid w:val="00D73CCE"/>
    <w:rsid w:val="00D7438D"/>
    <w:rsid w:val="00D75C82"/>
    <w:rsid w:val="00D75F81"/>
    <w:rsid w:val="00D77243"/>
    <w:rsid w:val="00D777E7"/>
    <w:rsid w:val="00D77BB2"/>
    <w:rsid w:val="00D80F58"/>
    <w:rsid w:val="00D8146A"/>
    <w:rsid w:val="00D81B91"/>
    <w:rsid w:val="00D81BFE"/>
    <w:rsid w:val="00D82184"/>
    <w:rsid w:val="00D8304A"/>
    <w:rsid w:val="00D83A5B"/>
    <w:rsid w:val="00D83F9F"/>
    <w:rsid w:val="00D84A80"/>
    <w:rsid w:val="00D861CA"/>
    <w:rsid w:val="00D866B5"/>
    <w:rsid w:val="00D86D23"/>
    <w:rsid w:val="00D87CF4"/>
    <w:rsid w:val="00D907BC"/>
    <w:rsid w:val="00D90879"/>
    <w:rsid w:val="00D90CA5"/>
    <w:rsid w:val="00D91DC3"/>
    <w:rsid w:val="00D92D8E"/>
    <w:rsid w:val="00D93B7A"/>
    <w:rsid w:val="00D947D0"/>
    <w:rsid w:val="00D9598E"/>
    <w:rsid w:val="00DA04BF"/>
    <w:rsid w:val="00DA161C"/>
    <w:rsid w:val="00DA1A0A"/>
    <w:rsid w:val="00DA230B"/>
    <w:rsid w:val="00DA2701"/>
    <w:rsid w:val="00DA3CF4"/>
    <w:rsid w:val="00DA4506"/>
    <w:rsid w:val="00DA477F"/>
    <w:rsid w:val="00DA48C3"/>
    <w:rsid w:val="00DA4D36"/>
    <w:rsid w:val="00DA7F1B"/>
    <w:rsid w:val="00DB063D"/>
    <w:rsid w:val="00DB0D71"/>
    <w:rsid w:val="00DB1E45"/>
    <w:rsid w:val="00DB48F0"/>
    <w:rsid w:val="00DB54F5"/>
    <w:rsid w:val="00DB679F"/>
    <w:rsid w:val="00DB6A22"/>
    <w:rsid w:val="00DB7073"/>
    <w:rsid w:val="00DC1D04"/>
    <w:rsid w:val="00DC3EA2"/>
    <w:rsid w:val="00DC5B9F"/>
    <w:rsid w:val="00DC61EF"/>
    <w:rsid w:val="00DC63FF"/>
    <w:rsid w:val="00DC6DFA"/>
    <w:rsid w:val="00DC6F03"/>
    <w:rsid w:val="00DC7A75"/>
    <w:rsid w:val="00DC7FBF"/>
    <w:rsid w:val="00DD1518"/>
    <w:rsid w:val="00DD2D93"/>
    <w:rsid w:val="00DD3574"/>
    <w:rsid w:val="00DD38F4"/>
    <w:rsid w:val="00DD3CB9"/>
    <w:rsid w:val="00DD422C"/>
    <w:rsid w:val="00DD4EE4"/>
    <w:rsid w:val="00DD5739"/>
    <w:rsid w:val="00DD6A14"/>
    <w:rsid w:val="00DD7E12"/>
    <w:rsid w:val="00DE00FD"/>
    <w:rsid w:val="00DE078C"/>
    <w:rsid w:val="00DE0E5D"/>
    <w:rsid w:val="00DE0F78"/>
    <w:rsid w:val="00DE22AF"/>
    <w:rsid w:val="00DE3850"/>
    <w:rsid w:val="00DE4F01"/>
    <w:rsid w:val="00DE50D7"/>
    <w:rsid w:val="00DE6412"/>
    <w:rsid w:val="00DE65B0"/>
    <w:rsid w:val="00DE66EB"/>
    <w:rsid w:val="00DE682A"/>
    <w:rsid w:val="00DF158F"/>
    <w:rsid w:val="00DF1C6F"/>
    <w:rsid w:val="00DF5C12"/>
    <w:rsid w:val="00DF5C2F"/>
    <w:rsid w:val="00DF6B2B"/>
    <w:rsid w:val="00E016FD"/>
    <w:rsid w:val="00E01AB5"/>
    <w:rsid w:val="00E02318"/>
    <w:rsid w:val="00E02933"/>
    <w:rsid w:val="00E02A4E"/>
    <w:rsid w:val="00E0414F"/>
    <w:rsid w:val="00E049B0"/>
    <w:rsid w:val="00E05E1B"/>
    <w:rsid w:val="00E0606D"/>
    <w:rsid w:val="00E07B80"/>
    <w:rsid w:val="00E10BB1"/>
    <w:rsid w:val="00E10D0C"/>
    <w:rsid w:val="00E112FF"/>
    <w:rsid w:val="00E1221A"/>
    <w:rsid w:val="00E14662"/>
    <w:rsid w:val="00E15002"/>
    <w:rsid w:val="00E1573D"/>
    <w:rsid w:val="00E16EF3"/>
    <w:rsid w:val="00E17A1C"/>
    <w:rsid w:val="00E200FE"/>
    <w:rsid w:val="00E201CF"/>
    <w:rsid w:val="00E205CB"/>
    <w:rsid w:val="00E2090D"/>
    <w:rsid w:val="00E20B49"/>
    <w:rsid w:val="00E21D50"/>
    <w:rsid w:val="00E22B5F"/>
    <w:rsid w:val="00E22D23"/>
    <w:rsid w:val="00E276CE"/>
    <w:rsid w:val="00E27FA7"/>
    <w:rsid w:val="00E30076"/>
    <w:rsid w:val="00E323C4"/>
    <w:rsid w:val="00E332E0"/>
    <w:rsid w:val="00E33486"/>
    <w:rsid w:val="00E334CA"/>
    <w:rsid w:val="00E338A9"/>
    <w:rsid w:val="00E338E4"/>
    <w:rsid w:val="00E33E15"/>
    <w:rsid w:val="00E34214"/>
    <w:rsid w:val="00E34B42"/>
    <w:rsid w:val="00E353E3"/>
    <w:rsid w:val="00E360DC"/>
    <w:rsid w:val="00E36D23"/>
    <w:rsid w:val="00E373AF"/>
    <w:rsid w:val="00E4025A"/>
    <w:rsid w:val="00E40FDF"/>
    <w:rsid w:val="00E41664"/>
    <w:rsid w:val="00E41843"/>
    <w:rsid w:val="00E41F81"/>
    <w:rsid w:val="00E44138"/>
    <w:rsid w:val="00E44644"/>
    <w:rsid w:val="00E465B0"/>
    <w:rsid w:val="00E46CF0"/>
    <w:rsid w:val="00E471E4"/>
    <w:rsid w:val="00E474A5"/>
    <w:rsid w:val="00E47544"/>
    <w:rsid w:val="00E50753"/>
    <w:rsid w:val="00E5129B"/>
    <w:rsid w:val="00E53030"/>
    <w:rsid w:val="00E5698B"/>
    <w:rsid w:val="00E61C5E"/>
    <w:rsid w:val="00E61EC2"/>
    <w:rsid w:val="00E6214F"/>
    <w:rsid w:val="00E63D18"/>
    <w:rsid w:val="00E63D6F"/>
    <w:rsid w:val="00E643D2"/>
    <w:rsid w:val="00E648A2"/>
    <w:rsid w:val="00E6504E"/>
    <w:rsid w:val="00E706E2"/>
    <w:rsid w:val="00E707B2"/>
    <w:rsid w:val="00E7099D"/>
    <w:rsid w:val="00E70A39"/>
    <w:rsid w:val="00E70D50"/>
    <w:rsid w:val="00E717E2"/>
    <w:rsid w:val="00E72F8B"/>
    <w:rsid w:val="00E74999"/>
    <w:rsid w:val="00E768B2"/>
    <w:rsid w:val="00E76ACE"/>
    <w:rsid w:val="00E77C8B"/>
    <w:rsid w:val="00E80145"/>
    <w:rsid w:val="00E80E96"/>
    <w:rsid w:val="00E8151F"/>
    <w:rsid w:val="00E828D2"/>
    <w:rsid w:val="00E83282"/>
    <w:rsid w:val="00E8355E"/>
    <w:rsid w:val="00E839A8"/>
    <w:rsid w:val="00E83AE8"/>
    <w:rsid w:val="00E83D8C"/>
    <w:rsid w:val="00E8519D"/>
    <w:rsid w:val="00E862C4"/>
    <w:rsid w:val="00E865C2"/>
    <w:rsid w:val="00E8677C"/>
    <w:rsid w:val="00E878BD"/>
    <w:rsid w:val="00E90563"/>
    <w:rsid w:val="00E91145"/>
    <w:rsid w:val="00E9181B"/>
    <w:rsid w:val="00E91D20"/>
    <w:rsid w:val="00E93147"/>
    <w:rsid w:val="00E93CA4"/>
    <w:rsid w:val="00E971D5"/>
    <w:rsid w:val="00E971E9"/>
    <w:rsid w:val="00E97B67"/>
    <w:rsid w:val="00E97E84"/>
    <w:rsid w:val="00EA0E42"/>
    <w:rsid w:val="00EA155D"/>
    <w:rsid w:val="00EA2687"/>
    <w:rsid w:val="00EA2C2D"/>
    <w:rsid w:val="00EA2CAA"/>
    <w:rsid w:val="00EA2D5A"/>
    <w:rsid w:val="00EA40AA"/>
    <w:rsid w:val="00EA4800"/>
    <w:rsid w:val="00EA6560"/>
    <w:rsid w:val="00EA65B4"/>
    <w:rsid w:val="00EB0710"/>
    <w:rsid w:val="00EB0A24"/>
    <w:rsid w:val="00EB2085"/>
    <w:rsid w:val="00EB3671"/>
    <w:rsid w:val="00EB4B09"/>
    <w:rsid w:val="00EB5685"/>
    <w:rsid w:val="00EB6603"/>
    <w:rsid w:val="00EB6688"/>
    <w:rsid w:val="00EB74AE"/>
    <w:rsid w:val="00EB7710"/>
    <w:rsid w:val="00EC1353"/>
    <w:rsid w:val="00EC29C1"/>
    <w:rsid w:val="00EC2B13"/>
    <w:rsid w:val="00EC2B88"/>
    <w:rsid w:val="00EC3F37"/>
    <w:rsid w:val="00EC48A4"/>
    <w:rsid w:val="00EC4B4C"/>
    <w:rsid w:val="00EC5404"/>
    <w:rsid w:val="00EC5599"/>
    <w:rsid w:val="00EC7D92"/>
    <w:rsid w:val="00ED0146"/>
    <w:rsid w:val="00ED03E2"/>
    <w:rsid w:val="00ED04DF"/>
    <w:rsid w:val="00ED13AF"/>
    <w:rsid w:val="00ED1826"/>
    <w:rsid w:val="00ED2EF5"/>
    <w:rsid w:val="00ED3B8D"/>
    <w:rsid w:val="00ED3FC4"/>
    <w:rsid w:val="00ED4ECE"/>
    <w:rsid w:val="00ED6A72"/>
    <w:rsid w:val="00EE05D3"/>
    <w:rsid w:val="00EE2684"/>
    <w:rsid w:val="00EE2B67"/>
    <w:rsid w:val="00EE3A3C"/>
    <w:rsid w:val="00EE459D"/>
    <w:rsid w:val="00EE4DC3"/>
    <w:rsid w:val="00EE51E5"/>
    <w:rsid w:val="00EE5479"/>
    <w:rsid w:val="00EE5BB8"/>
    <w:rsid w:val="00EE6C9B"/>
    <w:rsid w:val="00EE7789"/>
    <w:rsid w:val="00EF11EB"/>
    <w:rsid w:val="00EF1D20"/>
    <w:rsid w:val="00EF2778"/>
    <w:rsid w:val="00EF442A"/>
    <w:rsid w:val="00EF5B3B"/>
    <w:rsid w:val="00EF5C17"/>
    <w:rsid w:val="00EF6385"/>
    <w:rsid w:val="00EF64AB"/>
    <w:rsid w:val="00EF7BCE"/>
    <w:rsid w:val="00F01269"/>
    <w:rsid w:val="00F01542"/>
    <w:rsid w:val="00F0185C"/>
    <w:rsid w:val="00F02304"/>
    <w:rsid w:val="00F024AD"/>
    <w:rsid w:val="00F02572"/>
    <w:rsid w:val="00F028C4"/>
    <w:rsid w:val="00F02B36"/>
    <w:rsid w:val="00F0547D"/>
    <w:rsid w:val="00F1073A"/>
    <w:rsid w:val="00F109ED"/>
    <w:rsid w:val="00F10E86"/>
    <w:rsid w:val="00F11D4E"/>
    <w:rsid w:val="00F14082"/>
    <w:rsid w:val="00F146C3"/>
    <w:rsid w:val="00F1480B"/>
    <w:rsid w:val="00F15E3B"/>
    <w:rsid w:val="00F16026"/>
    <w:rsid w:val="00F16216"/>
    <w:rsid w:val="00F16F5E"/>
    <w:rsid w:val="00F17F36"/>
    <w:rsid w:val="00F2071B"/>
    <w:rsid w:val="00F22C56"/>
    <w:rsid w:val="00F23225"/>
    <w:rsid w:val="00F23226"/>
    <w:rsid w:val="00F23BC5"/>
    <w:rsid w:val="00F2513A"/>
    <w:rsid w:val="00F25582"/>
    <w:rsid w:val="00F25AEF"/>
    <w:rsid w:val="00F25D63"/>
    <w:rsid w:val="00F26F89"/>
    <w:rsid w:val="00F275A2"/>
    <w:rsid w:val="00F278ED"/>
    <w:rsid w:val="00F30828"/>
    <w:rsid w:val="00F32AF0"/>
    <w:rsid w:val="00F3305B"/>
    <w:rsid w:val="00F3331E"/>
    <w:rsid w:val="00F33CCA"/>
    <w:rsid w:val="00F343E4"/>
    <w:rsid w:val="00F370B4"/>
    <w:rsid w:val="00F37419"/>
    <w:rsid w:val="00F37D02"/>
    <w:rsid w:val="00F37D6A"/>
    <w:rsid w:val="00F37DD8"/>
    <w:rsid w:val="00F40454"/>
    <w:rsid w:val="00F404AE"/>
    <w:rsid w:val="00F40A4E"/>
    <w:rsid w:val="00F41761"/>
    <w:rsid w:val="00F41F95"/>
    <w:rsid w:val="00F41FAA"/>
    <w:rsid w:val="00F426FE"/>
    <w:rsid w:val="00F42CCA"/>
    <w:rsid w:val="00F43D05"/>
    <w:rsid w:val="00F449FB"/>
    <w:rsid w:val="00F44AE7"/>
    <w:rsid w:val="00F47B2E"/>
    <w:rsid w:val="00F5027B"/>
    <w:rsid w:val="00F51AC2"/>
    <w:rsid w:val="00F51B45"/>
    <w:rsid w:val="00F51F5D"/>
    <w:rsid w:val="00F5287D"/>
    <w:rsid w:val="00F53324"/>
    <w:rsid w:val="00F55320"/>
    <w:rsid w:val="00F5556A"/>
    <w:rsid w:val="00F55629"/>
    <w:rsid w:val="00F56B99"/>
    <w:rsid w:val="00F610F4"/>
    <w:rsid w:val="00F61B3F"/>
    <w:rsid w:val="00F622BE"/>
    <w:rsid w:val="00F62745"/>
    <w:rsid w:val="00F63D25"/>
    <w:rsid w:val="00F640EF"/>
    <w:rsid w:val="00F64582"/>
    <w:rsid w:val="00F6610F"/>
    <w:rsid w:val="00F66EF9"/>
    <w:rsid w:val="00F66EFE"/>
    <w:rsid w:val="00F66F31"/>
    <w:rsid w:val="00F67021"/>
    <w:rsid w:val="00F67CE9"/>
    <w:rsid w:val="00F731C2"/>
    <w:rsid w:val="00F74F0B"/>
    <w:rsid w:val="00F74FC4"/>
    <w:rsid w:val="00F77115"/>
    <w:rsid w:val="00F778E2"/>
    <w:rsid w:val="00F8004F"/>
    <w:rsid w:val="00F8160A"/>
    <w:rsid w:val="00F86B66"/>
    <w:rsid w:val="00F871E7"/>
    <w:rsid w:val="00F900D7"/>
    <w:rsid w:val="00F911C7"/>
    <w:rsid w:val="00F91AD9"/>
    <w:rsid w:val="00F91C71"/>
    <w:rsid w:val="00F92931"/>
    <w:rsid w:val="00F92C6B"/>
    <w:rsid w:val="00F94217"/>
    <w:rsid w:val="00F95073"/>
    <w:rsid w:val="00F962D9"/>
    <w:rsid w:val="00F97A19"/>
    <w:rsid w:val="00F97B6C"/>
    <w:rsid w:val="00FA0563"/>
    <w:rsid w:val="00FA1EC0"/>
    <w:rsid w:val="00FA1FBC"/>
    <w:rsid w:val="00FA274E"/>
    <w:rsid w:val="00FA328A"/>
    <w:rsid w:val="00FA35A5"/>
    <w:rsid w:val="00FA3899"/>
    <w:rsid w:val="00FA4206"/>
    <w:rsid w:val="00FA44DA"/>
    <w:rsid w:val="00FA4836"/>
    <w:rsid w:val="00FA4E76"/>
    <w:rsid w:val="00FA50A3"/>
    <w:rsid w:val="00FA7C56"/>
    <w:rsid w:val="00FB06AB"/>
    <w:rsid w:val="00FB0B4D"/>
    <w:rsid w:val="00FB2CAB"/>
    <w:rsid w:val="00FB4430"/>
    <w:rsid w:val="00FB6910"/>
    <w:rsid w:val="00FB6D3C"/>
    <w:rsid w:val="00FB7226"/>
    <w:rsid w:val="00FB7740"/>
    <w:rsid w:val="00FB7F5D"/>
    <w:rsid w:val="00FC07DB"/>
    <w:rsid w:val="00FC134D"/>
    <w:rsid w:val="00FC1C6D"/>
    <w:rsid w:val="00FC239F"/>
    <w:rsid w:val="00FC3280"/>
    <w:rsid w:val="00FC35E8"/>
    <w:rsid w:val="00FC3C88"/>
    <w:rsid w:val="00FC3D7E"/>
    <w:rsid w:val="00FC4574"/>
    <w:rsid w:val="00FC4D60"/>
    <w:rsid w:val="00FC58DA"/>
    <w:rsid w:val="00FC5A7E"/>
    <w:rsid w:val="00FC633A"/>
    <w:rsid w:val="00FC6CB6"/>
    <w:rsid w:val="00FC6F0D"/>
    <w:rsid w:val="00FC7CC0"/>
    <w:rsid w:val="00FD0BED"/>
    <w:rsid w:val="00FD221A"/>
    <w:rsid w:val="00FD2727"/>
    <w:rsid w:val="00FD2EA8"/>
    <w:rsid w:val="00FD3756"/>
    <w:rsid w:val="00FD658F"/>
    <w:rsid w:val="00FD698D"/>
    <w:rsid w:val="00FD6F23"/>
    <w:rsid w:val="00FD75CF"/>
    <w:rsid w:val="00FE029B"/>
    <w:rsid w:val="00FE2D96"/>
    <w:rsid w:val="00FE38F0"/>
    <w:rsid w:val="00FE42DB"/>
    <w:rsid w:val="00FE696D"/>
    <w:rsid w:val="00FE7175"/>
    <w:rsid w:val="00FE7625"/>
    <w:rsid w:val="00FE7D6A"/>
    <w:rsid w:val="00FF0101"/>
    <w:rsid w:val="00FF0919"/>
    <w:rsid w:val="00FF097F"/>
    <w:rsid w:val="00FF1181"/>
    <w:rsid w:val="00FF3AB1"/>
    <w:rsid w:val="00FF43D4"/>
    <w:rsid w:val="00FF45BD"/>
    <w:rsid w:val="00FF5670"/>
    <w:rsid w:val="00FF6128"/>
    <w:rsid w:val="00FF62BC"/>
    <w:rsid w:val="00FF66C3"/>
    <w:rsid w:val="00FF67B0"/>
    <w:rsid w:val="00FF680E"/>
    <w:rsid w:val="00FF6B55"/>
    <w:rsid w:val="00FF6F60"/>
    <w:rsid w:val="011224FE"/>
    <w:rsid w:val="012B0EF5"/>
    <w:rsid w:val="01333848"/>
    <w:rsid w:val="01343E1F"/>
    <w:rsid w:val="0139378E"/>
    <w:rsid w:val="015D318F"/>
    <w:rsid w:val="016302A4"/>
    <w:rsid w:val="0167130E"/>
    <w:rsid w:val="017716F4"/>
    <w:rsid w:val="01783BDB"/>
    <w:rsid w:val="017D4D3A"/>
    <w:rsid w:val="017E16E3"/>
    <w:rsid w:val="01822782"/>
    <w:rsid w:val="019D55FE"/>
    <w:rsid w:val="01A03AD6"/>
    <w:rsid w:val="01AD2099"/>
    <w:rsid w:val="01B23A13"/>
    <w:rsid w:val="01B6221C"/>
    <w:rsid w:val="01BD137A"/>
    <w:rsid w:val="01D6775D"/>
    <w:rsid w:val="01E13EDF"/>
    <w:rsid w:val="01EA5B99"/>
    <w:rsid w:val="01F13570"/>
    <w:rsid w:val="01FF0067"/>
    <w:rsid w:val="02090B42"/>
    <w:rsid w:val="020C4532"/>
    <w:rsid w:val="021624D9"/>
    <w:rsid w:val="0219400E"/>
    <w:rsid w:val="022707A9"/>
    <w:rsid w:val="024164DA"/>
    <w:rsid w:val="02521E84"/>
    <w:rsid w:val="0254319C"/>
    <w:rsid w:val="0258282F"/>
    <w:rsid w:val="0263637C"/>
    <w:rsid w:val="0267398C"/>
    <w:rsid w:val="027125E7"/>
    <w:rsid w:val="027D7BA4"/>
    <w:rsid w:val="028E20EC"/>
    <w:rsid w:val="029F3581"/>
    <w:rsid w:val="02A8425B"/>
    <w:rsid w:val="02A93B2F"/>
    <w:rsid w:val="02AC142A"/>
    <w:rsid w:val="02B454E1"/>
    <w:rsid w:val="02C32E43"/>
    <w:rsid w:val="02D815A4"/>
    <w:rsid w:val="02DE5767"/>
    <w:rsid w:val="02E5725D"/>
    <w:rsid w:val="0302277B"/>
    <w:rsid w:val="03045209"/>
    <w:rsid w:val="03085120"/>
    <w:rsid w:val="03685798"/>
    <w:rsid w:val="036901FE"/>
    <w:rsid w:val="036B7D08"/>
    <w:rsid w:val="037732C7"/>
    <w:rsid w:val="03920134"/>
    <w:rsid w:val="039F7D41"/>
    <w:rsid w:val="03AD764F"/>
    <w:rsid w:val="03B55A4D"/>
    <w:rsid w:val="03B709A5"/>
    <w:rsid w:val="03BD6ED4"/>
    <w:rsid w:val="03CB609C"/>
    <w:rsid w:val="03D96A1E"/>
    <w:rsid w:val="03EB275C"/>
    <w:rsid w:val="03F23D0A"/>
    <w:rsid w:val="04086FF0"/>
    <w:rsid w:val="04124462"/>
    <w:rsid w:val="04165086"/>
    <w:rsid w:val="041740DE"/>
    <w:rsid w:val="041B1368"/>
    <w:rsid w:val="041C05BB"/>
    <w:rsid w:val="04221DEB"/>
    <w:rsid w:val="043755A5"/>
    <w:rsid w:val="04447FB3"/>
    <w:rsid w:val="045B63A0"/>
    <w:rsid w:val="0462668B"/>
    <w:rsid w:val="046E3819"/>
    <w:rsid w:val="046F46E2"/>
    <w:rsid w:val="04C51ABA"/>
    <w:rsid w:val="04C66C1A"/>
    <w:rsid w:val="04E2157A"/>
    <w:rsid w:val="04E87DBA"/>
    <w:rsid w:val="04FA68C4"/>
    <w:rsid w:val="050769A3"/>
    <w:rsid w:val="051054BA"/>
    <w:rsid w:val="05177A3F"/>
    <w:rsid w:val="051B2158"/>
    <w:rsid w:val="0569194D"/>
    <w:rsid w:val="056F01B0"/>
    <w:rsid w:val="05701DE5"/>
    <w:rsid w:val="057A5434"/>
    <w:rsid w:val="057B088D"/>
    <w:rsid w:val="05A139E2"/>
    <w:rsid w:val="05A5395E"/>
    <w:rsid w:val="05C226D2"/>
    <w:rsid w:val="05C32E8F"/>
    <w:rsid w:val="05C72C4A"/>
    <w:rsid w:val="05C93DFF"/>
    <w:rsid w:val="05E31E62"/>
    <w:rsid w:val="0629379D"/>
    <w:rsid w:val="06316315"/>
    <w:rsid w:val="0633186D"/>
    <w:rsid w:val="063362B9"/>
    <w:rsid w:val="0634080E"/>
    <w:rsid w:val="064E5836"/>
    <w:rsid w:val="0661350E"/>
    <w:rsid w:val="067D4056"/>
    <w:rsid w:val="068B1EC9"/>
    <w:rsid w:val="069D2A73"/>
    <w:rsid w:val="06A00547"/>
    <w:rsid w:val="06B244F7"/>
    <w:rsid w:val="06B9382D"/>
    <w:rsid w:val="06D50229"/>
    <w:rsid w:val="06DF3FC3"/>
    <w:rsid w:val="06E65352"/>
    <w:rsid w:val="06ED4932"/>
    <w:rsid w:val="070659F4"/>
    <w:rsid w:val="07330F96"/>
    <w:rsid w:val="07406744"/>
    <w:rsid w:val="074F3A97"/>
    <w:rsid w:val="07666493"/>
    <w:rsid w:val="07854D3E"/>
    <w:rsid w:val="07BD3C84"/>
    <w:rsid w:val="07CB23B3"/>
    <w:rsid w:val="07DD595F"/>
    <w:rsid w:val="07EA2C20"/>
    <w:rsid w:val="07ED0962"/>
    <w:rsid w:val="07FB5108"/>
    <w:rsid w:val="07FD6542"/>
    <w:rsid w:val="08053B6A"/>
    <w:rsid w:val="08147C9D"/>
    <w:rsid w:val="08161CD1"/>
    <w:rsid w:val="08206641"/>
    <w:rsid w:val="082A6F7C"/>
    <w:rsid w:val="08450161"/>
    <w:rsid w:val="084F33CB"/>
    <w:rsid w:val="085E5E2E"/>
    <w:rsid w:val="0863622A"/>
    <w:rsid w:val="086750FC"/>
    <w:rsid w:val="08732E82"/>
    <w:rsid w:val="08792EF6"/>
    <w:rsid w:val="089B35A4"/>
    <w:rsid w:val="089F35DF"/>
    <w:rsid w:val="08A13C26"/>
    <w:rsid w:val="08B23E7C"/>
    <w:rsid w:val="08C835F4"/>
    <w:rsid w:val="08D579D6"/>
    <w:rsid w:val="08E47DDB"/>
    <w:rsid w:val="08F47EBC"/>
    <w:rsid w:val="09342499"/>
    <w:rsid w:val="09353038"/>
    <w:rsid w:val="09485BF3"/>
    <w:rsid w:val="09562917"/>
    <w:rsid w:val="09623FE0"/>
    <w:rsid w:val="0966277A"/>
    <w:rsid w:val="09694018"/>
    <w:rsid w:val="09760DB5"/>
    <w:rsid w:val="09827219"/>
    <w:rsid w:val="098E3D7F"/>
    <w:rsid w:val="09917A47"/>
    <w:rsid w:val="09A746E7"/>
    <w:rsid w:val="09CB6A81"/>
    <w:rsid w:val="09D973F0"/>
    <w:rsid w:val="09F8748A"/>
    <w:rsid w:val="0A0D281E"/>
    <w:rsid w:val="0A136187"/>
    <w:rsid w:val="0A2543E3"/>
    <w:rsid w:val="0A2C39C3"/>
    <w:rsid w:val="0A2D4FE0"/>
    <w:rsid w:val="0A373D8A"/>
    <w:rsid w:val="0A3E54A5"/>
    <w:rsid w:val="0A3F11F2"/>
    <w:rsid w:val="0A4114B2"/>
    <w:rsid w:val="0A4D7496"/>
    <w:rsid w:val="0A514815"/>
    <w:rsid w:val="0A660074"/>
    <w:rsid w:val="0AA738D2"/>
    <w:rsid w:val="0AA86481"/>
    <w:rsid w:val="0AB243BE"/>
    <w:rsid w:val="0AC309C6"/>
    <w:rsid w:val="0AC402B6"/>
    <w:rsid w:val="0ACD3951"/>
    <w:rsid w:val="0AD63C41"/>
    <w:rsid w:val="0AE0030A"/>
    <w:rsid w:val="0AE23CBD"/>
    <w:rsid w:val="0AFF4AFA"/>
    <w:rsid w:val="0B021C2D"/>
    <w:rsid w:val="0B064109"/>
    <w:rsid w:val="0B0A4B64"/>
    <w:rsid w:val="0B203F8E"/>
    <w:rsid w:val="0B2B4B1C"/>
    <w:rsid w:val="0B3463DC"/>
    <w:rsid w:val="0B3F6303"/>
    <w:rsid w:val="0B4623C0"/>
    <w:rsid w:val="0B470389"/>
    <w:rsid w:val="0B5D1426"/>
    <w:rsid w:val="0B773A5D"/>
    <w:rsid w:val="0B7A57FA"/>
    <w:rsid w:val="0B7C4006"/>
    <w:rsid w:val="0B9037C7"/>
    <w:rsid w:val="0B956FE5"/>
    <w:rsid w:val="0BA32A66"/>
    <w:rsid w:val="0BA44A52"/>
    <w:rsid w:val="0BAC540F"/>
    <w:rsid w:val="0BBC1D32"/>
    <w:rsid w:val="0BC11A15"/>
    <w:rsid w:val="0BC30BF8"/>
    <w:rsid w:val="0BCE4606"/>
    <w:rsid w:val="0BDB6B9A"/>
    <w:rsid w:val="0BE4108E"/>
    <w:rsid w:val="0BF61ABA"/>
    <w:rsid w:val="0C265565"/>
    <w:rsid w:val="0C2F32F7"/>
    <w:rsid w:val="0C393D20"/>
    <w:rsid w:val="0C694173"/>
    <w:rsid w:val="0C882A07"/>
    <w:rsid w:val="0C9B6BDE"/>
    <w:rsid w:val="0CA5278C"/>
    <w:rsid w:val="0CE340E1"/>
    <w:rsid w:val="0CE82A48"/>
    <w:rsid w:val="0CF40FDA"/>
    <w:rsid w:val="0D04253E"/>
    <w:rsid w:val="0D043B1E"/>
    <w:rsid w:val="0D1B387B"/>
    <w:rsid w:val="0D2A6B4B"/>
    <w:rsid w:val="0D40588F"/>
    <w:rsid w:val="0D42452A"/>
    <w:rsid w:val="0D42549E"/>
    <w:rsid w:val="0D5A3A59"/>
    <w:rsid w:val="0D607838"/>
    <w:rsid w:val="0D827B6E"/>
    <w:rsid w:val="0D8F1948"/>
    <w:rsid w:val="0DA92A95"/>
    <w:rsid w:val="0DB63F61"/>
    <w:rsid w:val="0DDB6F3F"/>
    <w:rsid w:val="0DEC6CAA"/>
    <w:rsid w:val="0DF34C7D"/>
    <w:rsid w:val="0E083E00"/>
    <w:rsid w:val="0E0B38F0"/>
    <w:rsid w:val="0E122ED0"/>
    <w:rsid w:val="0E1924B1"/>
    <w:rsid w:val="0E1A2709"/>
    <w:rsid w:val="0E34011B"/>
    <w:rsid w:val="0E345BC0"/>
    <w:rsid w:val="0E40223A"/>
    <w:rsid w:val="0E536488"/>
    <w:rsid w:val="0E717CC7"/>
    <w:rsid w:val="0E7414C9"/>
    <w:rsid w:val="0E75778E"/>
    <w:rsid w:val="0E770F85"/>
    <w:rsid w:val="0E95610E"/>
    <w:rsid w:val="0E9D32AB"/>
    <w:rsid w:val="0EA05236"/>
    <w:rsid w:val="0EA56B64"/>
    <w:rsid w:val="0EA855E3"/>
    <w:rsid w:val="0EB51DC1"/>
    <w:rsid w:val="0EB81736"/>
    <w:rsid w:val="0EC07C41"/>
    <w:rsid w:val="0EC42C1B"/>
    <w:rsid w:val="0ED927E2"/>
    <w:rsid w:val="0EE53289"/>
    <w:rsid w:val="0EF13EB7"/>
    <w:rsid w:val="0F141E3E"/>
    <w:rsid w:val="0F3020DD"/>
    <w:rsid w:val="0F333E6F"/>
    <w:rsid w:val="0F346249"/>
    <w:rsid w:val="0F405BCB"/>
    <w:rsid w:val="0F4309D7"/>
    <w:rsid w:val="0F5D0B31"/>
    <w:rsid w:val="0F5F2145"/>
    <w:rsid w:val="0F70041D"/>
    <w:rsid w:val="0FA405E3"/>
    <w:rsid w:val="0FA82F44"/>
    <w:rsid w:val="0FAC4C5F"/>
    <w:rsid w:val="0FAC6704"/>
    <w:rsid w:val="0FC34737"/>
    <w:rsid w:val="0FC632F6"/>
    <w:rsid w:val="0FC93A62"/>
    <w:rsid w:val="0FCD40D5"/>
    <w:rsid w:val="0FCF460E"/>
    <w:rsid w:val="0FD967CF"/>
    <w:rsid w:val="0FDA1C0E"/>
    <w:rsid w:val="0FFA1FD3"/>
    <w:rsid w:val="0FFF383B"/>
    <w:rsid w:val="1007150B"/>
    <w:rsid w:val="1017657C"/>
    <w:rsid w:val="10195848"/>
    <w:rsid w:val="10245236"/>
    <w:rsid w:val="102806CD"/>
    <w:rsid w:val="103477E1"/>
    <w:rsid w:val="10360CC2"/>
    <w:rsid w:val="1038554B"/>
    <w:rsid w:val="103D03A3"/>
    <w:rsid w:val="10507339"/>
    <w:rsid w:val="10594A08"/>
    <w:rsid w:val="10854085"/>
    <w:rsid w:val="108A31F2"/>
    <w:rsid w:val="108C51BC"/>
    <w:rsid w:val="10A0731E"/>
    <w:rsid w:val="10A80A87"/>
    <w:rsid w:val="10A82F5A"/>
    <w:rsid w:val="10B85FB1"/>
    <w:rsid w:val="10BF1855"/>
    <w:rsid w:val="10C301A8"/>
    <w:rsid w:val="10C67A22"/>
    <w:rsid w:val="10D40911"/>
    <w:rsid w:val="10DC15BE"/>
    <w:rsid w:val="1109680C"/>
    <w:rsid w:val="1118788E"/>
    <w:rsid w:val="111A2D88"/>
    <w:rsid w:val="111D2249"/>
    <w:rsid w:val="11357601"/>
    <w:rsid w:val="11412771"/>
    <w:rsid w:val="114145F4"/>
    <w:rsid w:val="11546706"/>
    <w:rsid w:val="115D229C"/>
    <w:rsid w:val="118E3A13"/>
    <w:rsid w:val="119B31DD"/>
    <w:rsid w:val="11A81CA9"/>
    <w:rsid w:val="11AF29A7"/>
    <w:rsid w:val="11C0052E"/>
    <w:rsid w:val="11C6025A"/>
    <w:rsid w:val="11D07A25"/>
    <w:rsid w:val="11D17DAE"/>
    <w:rsid w:val="11ED1B9B"/>
    <w:rsid w:val="12056664"/>
    <w:rsid w:val="1211524D"/>
    <w:rsid w:val="12377173"/>
    <w:rsid w:val="123827CE"/>
    <w:rsid w:val="12394A8E"/>
    <w:rsid w:val="123D5DA2"/>
    <w:rsid w:val="123E3773"/>
    <w:rsid w:val="124B30FD"/>
    <w:rsid w:val="124B5A0F"/>
    <w:rsid w:val="12505989"/>
    <w:rsid w:val="12586C39"/>
    <w:rsid w:val="125C57BC"/>
    <w:rsid w:val="126A499B"/>
    <w:rsid w:val="12773960"/>
    <w:rsid w:val="127C6B6A"/>
    <w:rsid w:val="12851EC3"/>
    <w:rsid w:val="129F381C"/>
    <w:rsid w:val="12A129EB"/>
    <w:rsid w:val="12AB6427"/>
    <w:rsid w:val="12AB7493"/>
    <w:rsid w:val="12AF1FCF"/>
    <w:rsid w:val="12B216E7"/>
    <w:rsid w:val="12C97D91"/>
    <w:rsid w:val="12CF657E"/>
    <w:rsid w:val="12D52B7B"/>
    <w:rsid w:val="12D73EB3"/>
    <w:rsid w:val="12DB3777"/>
    <w:rsid w:val="12DD31EC"/>
    <w:rsid w:val="12E32EDE"/>
    <w:rsid w:val="12E47692"/>
    <w:rsid w:val="12E75CBF"/>
    <w:rsid w:val="12EF1782"/>
    <w:rsid w:val="12F41C5F"/>
    <w:rsid w:val="12F473A6"/>
    <w:rsid w:val="13292DE0"/>
    <w:rsid w:val="13446299"/>
    <w:rsid w:val="134F427F"/>
    <w:rsid w:val="135F295C"/>
    <w:rsid w:val="13761EAE"/>
    <w:rsid w:val="137B10C2"/>
    <w:rsid w:val="13880B6C"/>
    <w:rsid w:val="13926548"/>
    <w:rsid w:val="13954387"/>
    <w:rsid w:val="139A1147"/>
    <w:rsid w:val="139C08D2"/>
    <w:rsid w:val="13B20360"/>
    <w:rsid w:val="13B9011A"/>
    <w:rsid w:val="13BE1478"/>
    <w:rsid w:val="13C07196"/>
    <w:rsid w:val="140C50F1"/>
    <w:rsid w:val="141A068F"/>
    <w:rsid w:val="141A206E"/>
    <w:rsid w:val="141E09F3"/>
    <w:rsid w:val="141F1EA3"/>
    <w:rsid w:val="144E6F54"/>
    <w:rsid w:val="14535FF1"/>
    <w:rsid w:val="14627FE2"/>
    <w:rsid w:val="14772A73"/>
    <w:rsid w:val="147C5547"/>
    <w:rsid w:val="147E3E04"/>
    <w:rsid w:val="14961452"/>
    <w:rsid w:val="149845D8"/>
    <w:rsid w:val="14A10F94"/>
    <w:rsid w:val="14B72CF4"/>
    <w:rsid w:val="14BB0C18"/>
    <w:rsid w:val="14E568F3"/>
    <w:rsid w:val="14E629C1"/>
    <w:rsid w:val="14FB1D3F"/>
    <w:rsid w:val="14FE7D0A"/>
    <w:rsid w:val="150A66AF"/>
    <w:rsid w:val="150F0169"/>
    <w:rsid w:val="15125204"/>
    <w:rsid w:val="15235B6D"/>
    <w:rsid w:val="152F75D4"/>
    <w:rsid w:val="153A7676"/>
    <w:rsid w:val="154C6C54"/>
    <w:rsid w:val="15557480"/>
    <w:rsid w:val="15842905"/>
    <w:rsid w:val="158A5A42"/>
    <w:rsid w:val="158B147D"/>
    <w:rsid w:val="158F3C06"/>
    <w:rsid w:val="159A3655"/>
    <w:rsid w:val="15A37B93"/>
    <w:rsid w:val="15BF56EC"/>
    <w:rsid w:val="15C20F62"/>
    <w:rsid w:val="15DF5D8E"/>
    <w:rsid w:val="15E61529"/>
    <w:rsid w:val="15E63B99"/>
    <w:rsid w:val="1603681E"/>
    <w:rsid w:val="161B639F"/>
    <w:rsid w:val="161E0D86"/>
    <w:rsid w:val="163B09C1"/>
    <w:rsid w:val="1664658C"/>
    <w:rsid w:val="16696283"/>
    <w:rsid w:val="16707910"/>
    <w:rsid w:val="167A721E"/>
    <w:rsid w:val="169F20F0"/>
    <w:rsid w:val="16A81B55"/>
    <w:rsid w:val="16A8357F"/>
    <w:rsid w:val="16AF095C"/>
    <w:rsid w:val="16AF0CC7"/>
    <w:rsid w:val="16B8459D"/>
    <w:rsid w:val="16BC5201"/>
    <w:rsid w:val="16CD0D19"/>
    <w:rsid w:val="16DC407B"/>
    <w:rsid w:val="16E178E4"/>
    <w:rsid w:val="16E22C12"/>
    <w:rsid w:val="16E2362D"/>
    <w:rsid w:val="16E30EF5"/>
    <w:rsid w:val="16F70437"/>
    <w:rsid w:val="16FA2ADC"/>
    <w:rsid w:val="16FC2072"/>
    <w:rsid w:val="16FD0F5C"/>
    <w:rsid w:val="172305BE"/>
    <w:rsid w:val="174C075A"/>
    <w:rsid w:val="174E2EB7"/>
    <w:rsid w:val="17650515"/>
    <w:rsid w:val="176B75F2"/>
    <w:rsid w:val="176F104E"/>
    <w:rsid w:val="177507CA"/>
    <w:rsid w:val="1778161B"/>
    <w:rsid w:val="178957C0"/>
    <w:rsid w:val="179D32BF"/>
    <w:rsid w:val="17A074B3"/>
    <w:rsid w:val="17A86FB9"/>
    <w:rsid w:val="17B46C9D"/>
    <w:rsid w:val="17B678A0"/>
    <w:rsid w:val="17BB6EEA"/>
    <w:rsid w:val="17C676E8"/>
    <w:rsid w:val="17C81C85"/>
    <w:rsid w:val="17CF388E"/>
    <w:rsid w:val="17D62C90"/>
    <w:rsid w:val="17D724E0"/>
    <w:rsid w:val="17D808C5"/>
    <w:rsid w:val="17E547A3"/>
    <w:rsid w:val="17F3464E"/>
    <w:rsid w:val="17F41529"/>
    <w:rsid w:val="17FF1FAC"/>
    <w:rsid w:val="18026A1B"/>
    <w:rsid w:val="180E4A7A"/>
    <w:rsid w:val="1827199C"/>
    <w:rsid w:val="18416A46"/>
    <w:rsid w:val="185C4733"/>
    <w:rsid w:val="185F6026"/>
    <w:rsid w:val="18633981"/>
    <w:rsid w:val="187F4775"/>
    <w:rsid w:val="18824097"/>
    <w:rsid w:val="188A7C3C"/>
    <w:rsid w:val="18914241"/>
    <w:rsid w:val="189A5F9C"/>
    <w:rsid w:val="189F7AC9"/>
    <w:rsid w:val="18A57374"/>
    <w:rsid w:val="18A96532"/>
    <w:rsid w:val="18B42C61"/>
    <w:rsid w:val="18B828C6"/>
    <w:rsid w:val="18C50FDE"/>
    <w:rsid w:val="18CD49B0"/>
    <w:rsid w:val="18CE4DBC"/>
    <w:rsid w:val="18E216F1"/>
    <w:rsid w:val="190B4A31"/>
    <w:rsid w:val="19135D94"/>
    <w:rsid w:val="192E7CCB"/>
    <w:rsid w:val="19324427"/>
    <w:rsid w:val="19386FF0"/>
    <w:rsid w:val="193D19B1"/>
    <w:rsid w:val="194674E2"/>
    <w:rsid w:val="194A6741"/>
    <w:rsid w:val="194B2176"/>
    <w:rsid w:val="194B2766"/>
    <w:rsid w:val="19776673"/>
    <w:rsid w:val="198364BE"/>
    <w:rsid w:val="199364A5"/>
    <w:rsid w:val="19A47C8B"/>
    <w:rsid w:val="19A90B8D"/>
    <w:rsid w:val="19AF6C2D"/>
    <w:rsid w:val="19C10CE6"/>
    <w:rsid w:val="19C239FC"/>
    <w:rsid w:val="19F623F7"/>
    <w:rsid w:val="19FA779B"/>
    <w:rsid w:val="1A0A60E9"/>
    <w:rsid w:val="1A201E77"/>
    <w:rsid w:val="1A3105DC"/>
    <w:rsid w:val="1A3D48B7"/>
    <w:rsid w:val="1A5756B2"/>
    <w:rsid w:val="1A5D3725"/>
    <w:rsid w:val="1A5F3D37"/>
    <w:rsid w:val="1A703458"/>
    <w:rsid w:val="1A7E085D"/>
    <w:rsid w:val="1A8F30A6"/>
    <w:rsid w:val="1AA40AA4"/>
    <w:rsid w:val="1ABF59D0"/>
    <w:rsid w:val="1ADA2FC8"/>
    <w:rsid w:val="1AFF671E"/>
    <w:rsid w:val="1B09251C"/>
    <w:rsid w:val="1B1A295C"/>
    <w:rsid w:val="1B365E16"/>
    <w:rsid w:val="1B3D4F7E"/>
    <w:rsid w:val="1B4D5548"/>
    <w:rsid w:val="1B4E4C23"/>
    <w:rsid w:val="1B606908"/>
    <w:rsid w:val="1B64563C"/>
    <w:rsid w:val="1B661988"/>
    <w:rsid w:val="1B701236"/>
    <w:rsid w:val="1B813443"/>
    <w:rsid w:val="1B8151F1"/>
    <w:rsid w:val="1B8A357F"/>
    <w:rsid w:val="1B95115E"/>
    <w:rsid w:val="1BCD21D4"/>
    <w:rsid w:val="1BD55FBC"/>
    <w:rsid w:val="1BDA7737"/>
    <w:rsid w:val="1C085913"/>
    <w:rsid w:val="1C0B4F5D"/>
    <w:rsid w:val="1C1D13BE"/>
    <w:rsid w:val="1C264726"/>
    <w:rsid w:val="1C42661B"/>
    <w:rsid w:val="1C440A81"/>
    <w:rsid w:val="1C460A4A"/>
    <w:rsid w:val="1C4E419D"/>
    <w:rsid w:val="1C530E72"/>
    <w:rsid w:val="1C6A3ED7"/>
    <w:rsid w:val="1C6D1F48"/>
    <w:rsid w:val="1CAF0084"/>
    <w:rsid w:val="1CB13480"/>
    <w:rsid w:val="1CB54605"/>
    <w:rsid w:val="1CB77861"/>
    <w:rsid w:val="1CCA3F5F"/>
    <w:rsid w:val="1CD2721A"/>
    <w:rsid w:val="1D1930D4"/>
    <w:rsid w:val="1D266FB6"/>
    <w:rsid w:val="1D333581"/>
    <w:rsid w:val="1D4C5C35"/>
    <w:rsid w:val="1D503CCE"/>
    <w:rsid w:val="1D5746BD"/>
    <w:rsid w:val="1D5E1C8E"/>
    <w:rsid w:val="1D5E2129"/>
    <w:rsid w:val="1D717AA2"/>
    <w:rsid w:val="1D8F62F3"/>
    <w:rsid w:val="1D911EEE"/>
    <w:rsid w:val="1DA633F0"/>
    <w:rsid w:val="1DA86E9A"/>
    <w:rsid w:val="1DC04A8F"/>
    <w:rsid w:val="1DDC049F"/>
    <w:rsid w:val="1E0821D6"/>
    <w:rsid w:val="1E0C0164"/>
    <w:rsid w:val="1E193E07"/>
    <w:rsid w:val="1E1C1FB6"/>
    <w:rsid w:val="1E1D5A5B"/>
    <w:rsid w:val="1E347D99"/>
    <w:rsid w:val="1E3B4446"/>
    <w:rsid w:val="1E47464E"/>
    <w:rsid w:val="1E5C1B65"/>
    <w:rsid w:val="1E5D3CF4"/>
    <w:rsid w:val="1E5F4948"/>
    <w:rsid w:val="1E7E58EA"/>
    <w:rsid w:val="1E8578BB"/>
    <w:rsid w:val="1E873E8D"/>
    <w:rsid w:val="1E8F0475"/>
    <w:rsid w:val="1E92219E"/>
    <w:rsid w:val="1E9846F5"/>
    <w:rsid w:val="1E9A18CE"/>
    <w:rsid w:val="1E9E4A13"/>
    <w:rsid w:val="1EA27958"/>
    <w:rsid w:val="1EB321F6"/>
    <w:rsid w:val="1EB65EE0"/>
    <w:rsid w:val="1EBB59F5"/>
    <w:rsid w:val="1EBE3889"/>
    <w:rsid w:val="1EC009FF"/>
    <w:rsid w:val="1EC21DA9"/>
    <w:rsid w:val="1ED03F93"/>
    <w:rsid w:val="1EE61F3B"/>
    <w:rsid w:val="1EEE7443"/>
    <w:rsid w:val="1EF82A21"/>
    <w:rsid w:val="1F0965DD"/>
    <w:rsid w:val="1F122D30"/>
    <w:rsid w:val="1F231026"/>
    <w:rsid w:val="1F32229F"/>
    <w:rsid w:val="1F374545"/>
    <w:rsid w:val="1F3A3F88"/>
    <w:rsid w:val="1F535444"/>
    <w:rsid w:val="1F59095F"/>
    <w:rsid w:val="1F5C568D"/>
    <w:rsid w:val="1F722353"/>
    <w:rsid w:val="1F7532BF"/>
    <w:rsid w:val="1F9101D8"/>
    <w:rsid w:val="1F92203A"/>
    <w:rsid w:val="1FA31BDA"/>
    <w:rsid w:val="1FAB2560"/>
    <w:rsid w:val="1FBD17B6"/>
    <w:rsid w:val="1FCF03BF"/>
    <w:rsid w:val="1FE676F1"/>
    <w:rsid w:val="200E71EB"/>
    <w:rsid w:val="200F0416"/>
    <w:rsid w:val="20133C7D"/>
    <w:rsid w:val="20383FC2"/>
    <w:rsid w:val="203A6A0B"/>
    <w:rsid w:val="203A6BC1"/>
    <w:rsid w:val="2041079C"/>
    <w:rsid w:val="20527FD6"/>
    <w:rsid w:val="20686931"/>
    <w:rsid w:val="207B66B3"/>
    <w:rsid w:val="20873AF6"/>
    <w:rsid w:val="208D3101"/>
    <w:rsid w:val="208E288A"/>
    <w:rsid w:val="20A6645D"/>
    <w:rsid w:val="20AC520B"/>
    <w:rsid w:val="20B35EED"/>
    <w:rsid w:val="20BF3821"/>
    <w:rsid w:val="20C444FE"/>
    <w:rsid w:val="20C56D36"/>
    <w:rsid w:val="20DE4F6A"/>
    <w:rsid w:val="20EF3933"/>
    <w:rsid w:val="210163ED"/>
    <w:rsid w:val="211B0BF1"/>
    <w:rsid w:val="213C1752"/>
    <w:rsid w:val="215D5AE0"/>
    <w:rsid w:val="2178141F"/>
    <w:rsid w:val="21825DB6"/>
    <w:rsid w:val="21B52AC9"/>
    <w:rsid w:val="21BA464B"/>
    <w:rsid w:val="21C276C6"/>
    <w:rsid w:val="21C978F2"/>
    <w:rsid w:val="21F77FBB"/>
    <w:rsid w:val="22253382"/>
    <w:rsid w:val="22277688"/>
    <w:rsid w:val="223341F6"/>
    <w:rsid w:val="22396190"/>
    <w:rsid w:val="223E208E"/>
    <w:rsid w:val="2245098C"/>
    <w:rsid w:val="225418B2"/>
    <w:rsid w:val="22573150"/>
    <w:rsid w:val="2263040B"/>
    <w:rsid w:val="228326E5"/>
    <w:rsid w:val="229032BD"/>
    <w:rsid w:val="22CB7D75"/>
    <w:rsid w:val="22CE3412"/>
    <w:rsid w:val="22CE5939"/>
    <w:rsid w:val="22D64075"/>
    <w:rsid w:val="22D77C62"/>
    <w:rsid w:val="22E07BE3"/>
    <w:rsid w:val="22ED7C37"/>
    <w:rsid w:val="22FA3B3A"/>
    <w:rsid w:val="23197E99"/>
    <w:rsid w:val="232D7A92"/>
    <w:rsid w:val="23360FB7"/>
    <w:rsid w:val="234822FE"/>
    <w:rsid w:val="234F5BD5"/>
    <w:rsid w:val="235D48BA"/>
    <w:rsid w:val="23694EE9"/>
    <w:rsid w:val="23723779"/>
    <w:rsid w:val="239C1B14"/>
    <w:rsid w:val="23C94C24"/>
    <w:rsid w:val="23CB23F8"/>
    <w:rsid w:val="23CC456F"/>
    <w:rsid w:val="23D33350"/>
    <w:rsid w:val="23E74961"/>
    <w:rsid w:val="23FA0066"/>
    <w:rsid w:val="240739F0"/>
    <w:rsid w:val="24093735"/>
    <w:rsid w:val="24100849"/>
    <w:rsid w:val="2410601E"/>
    <w:rsid w:val="24127BF4"/>
    <w:rsid w:val="24156388"/>
    <w:rsid w:val="241A78AE"/>
    <w:rsid w:val="242279F0"/>
    <w:rsid w:val="24273BF0"/>
    <w:rsid w:val="24316771"/>
    <w:rsid w:val="2479794F"/>
    <w:rsid w:val="248C5097"/>
    <w:rsid w:val="248F0784"/>
    <w:rsid w:val="24CB63F2"/>
    <w:rsid w:val="24D4278F"/>
    <w:rsid w:val="24DB3BC4"/>
    <w:rsid w:val="24F25D15"/>
    <w:rsid w:val="250F1AC0"/>
    <w:rsid w:val="2513598F"/>
    <w:rsid w:val="254F2B8B"/>
    <w:rsid w:val="258411B1"/>
    <w:rsid w:val="25864F36"/>
    <w:rsid w:val="258D1A39"/>
    <w:rsid w:val="259D70CC"/>
    <w:rsid w:val="25AB2D7A"/>
    <w:rsid w:val="25B119B2"/>
    <w:rsid w:val="25B610A5"/>
    <w:rsid w:val="25D77F7D"/>
    <w:rsid w:val="25D9601A"/>
    <w:rsid w:val="25DF1492"/>
    <w:rsid w:val="25F56AF2"/>
    <w:rsid w:val="25F6410F"/>
    <w:rsid w:val="26175410"/>
    <w:rsid w:val="261E083D"/>
    <w:rsid w:val="26414336"/>
    <w:rsid w:val="2644546E"/>
    <w:rsid w:val="264C6631"/>
    <w:rsid w:val="265A320F"/>
    <w:rsid w:val="265F24C5"/>
    <w:rsid w:val="26600825"/>
    <w:rsid w:val="266877EA"/>
    <w:rsid w:val="26694CB8"/>
    <w:rsid w:val="26776A60"/>
    <w:rsid w:val="268362C1"/>
    <w:rsid w:val="26AA2816"/>
    <w:rsid w:val="26B71CCE"/>
    <w:rsid w:val="26BF6625"/>
    <w:rsid w:val="26C3386D"/>
    <w:rsid w:val="270F7B55"/>
    <w:rsid w:val="271F0DEE"/>
    <w:rsid w:val="272A6282"/>
    <w:rsid w:val="27327868"/>
    <w:rsid w:val="273743F1"/>
    <w:rsid w:val="27436F47"/>
    <w:rsid w:val="27793E61"/>
    <w:rsid w:val="279318B5"/>
    <w:rsid w:val="27987D44"/>
    <w:rsid w:val="27B0758A"/>
    <w:rsid w:val="27B16E5E"/>
    <w:rsid w:val="27B83025"/>
    <w:rsid w:val="27D76E3B"/>
    <w:rsid w:val="2804281E"/>
    <w:rsid w:val="281A7C8A"/>
    <w:rsid w:val="281E2746"/>
    <w:rsid w:val="2825407B"/>
    <w:rsid w:val="283616EF"/>
    <w:rsid w:val="2843765A"/>
    <w:rsid w:val="284F029B"/>
    <w:rsid w:val="28527A75"/>
    <w:rsid w:val="28625728"/>
    <w:rsid w:val="286957F3"/>
    <w:rsid w:val="287614C8"/>
    <w:rsid w:val="288240FF"/>
    <w:rsid w:val="288A444A"/>
    <w:rsid w:val="289152B0"/>
    <w:rsid w:val="289451BB"/>
    <w:rsid w:val="289A4CFE"/>
    <w:rsid w:val="28AD5571"/>
    <w:rsid w:val="28C4406E"/>
    <w:rsid w:val="28C71CB3"/>
    <w:rsid w:val="28D0450C"/>
    <w:rsid w:val="28D82873"/>
    <w:rsid w:val="28ED3DDB"/>
    <w:rsid w:val="2903193C"/>
    <w:rsid w:val="29184E96"/>
    <w:rsid w:val="29197B2F"/>
    <w:rsid w:val="292728BE"/>
    <w:rsid w:val="294C32E2"/>
    <w:rsid w:val="29584B90"/>
    <w:rsid w:val="29666D5B"/>
    <w:rsid w:val="297474BC"/>
    <w:rsid w:val="297D7484"/>
    <w:rsid w:val="298725EB"/>
    <w:rsid w:val="29930FB3"/>
    <w:rsid w:val="29A94BD5"/>
    <w:rsid w:val="29AC3E33"/>
    <w:rsid w:val="29AD443F"/>
    <w:rsid w:val="29AE042A"/>
    <w:rsid w:val="29B7714B"/>
    <w:rsid w:val="29BD7D3C"/>
    <w:rsid w:val="29D9384A"/>
    <w:rsid w:val="29EB0205"/>
    <w:rsid w:val="29F24C38"/>
    <w:rsid w:val="2A0F40B8"/>
    <w:rsid w:val="2A2C4EF9"/>
    <w:rsid w:val="2A4346E5"/>
    <w:rsid w:val="2A484217"/>
    <w:rsid w:val="2A487AE0"/>
    <w:rsid w:val="2A5266D7"/>
    <w:rsid w:val="2A5D7228"/>
    <w:rsid w:val="2A783C63"/>
    <w:rsid w:val="2A7F09BF"/>
    <w:rsid w:val="2A8D1AFD"/>
    <w:rsid w:val="2A8D770F"/>
    <w:rsid w:val="2A8E5D9E"/>
    <w:rsid w:val="2A8F08CE"/>
    <w:rsid w:val="2AA40306"/>
    <w:rsid w:val="2AA7405D"/>
    <w:rsid w:val="2AAD433F"/>
    <w:rsid w:val="2AB97C95"/>
    <w:rsid w:val="2AD74711"/>
    <w:rsid w:val="2AF7727E"/>
    <w:rsid w:val="2B0112D9"/>
    <w:rsid w:val="2B020125"/>
    <w:rsid w:val="2B172C77"/>
    <w:rsid w:val="2B1A4D1A"/>
    <w:rsid w:val="2B1F6C7A"/>
    <w:rsid w:val="2B2007AA"/>
    <w:rsid w:val="2B2C043E"/>
    <w:rsid w:val="2B2C0713"/>
    <w:rsid w:val="2B2D2106"/>
    <w:rsid w:val="2B354638"/>
    <w:rsid w:val="2B412655"/>
    <w:rsid w:val="2B4324C3"/>
    <w:rsid w:val="2B5E540C"/>
    <w:rsid w:val="2B954300"/>
    <w:rsid w:val="2BA22264"/>
    <w:rsid w:val="2BA54F2C"/>
    <w:rsid w:val="2BDE46D5"/>
    <w:rsid w:val="2BF37A45"/>
    <w:rsid w:val="2C1125C1"/>
    <w:rsid w:val="2C1B5448"/>
    <w:rsid w:val="2C1B6A0E"/>
    <w:rsid w:val="2C27008D"/>
    <w:rsid w:val="2C2D5CF7"/>
    <w:rsid w:val="2C380015"/>
    <w:rsid w:val="2C7645CC"/>
    <w:rsid w:val="2C7E60D1"/>
    <w:rsid w:val="2C831310"/>
    <w:rsid w:val="2C882884"/>
    <w:rsid w:val="2C8C0524"/>
    <w:rsid w:val="2C8F5C76"/>
    <w:rsid w:val="2C941296"/>
    <w:rsid w:val="2CAD4098"/>
    <w:rsid w:val="2CBE5EC5"/>
    <w:rsid w:val="2CCE400E"/>
    <w:rsid w:val="2CE8602F"/>
    <w:rsid w:val="2CEF5652"/>
    <w:rsid w:val="2CF62334"/>
    <w:rsid w:val="2D1F60E8"/>
    <w:rsid w:val="2D211F8B"/>
    <w:rsid w:val="2D344D56"/>
    <w:rsid w:val="2D463D53"/>
    <w:rsid w:val="2D616C31"/>
    <w:rsid w:val="2D701C7C"/>
    <w:rsid w:val="2D726570"/>
    <w:rsid w:val="2D88252C"/>
    <w:rsid w:val="2D91742F"/>
    <w:rsid w:val="2D977CB0"/>
    <w:rsid w:val="2D9C5E16"/>
    <w:rsid w:val="2DB84824"/>
    <w:rsid w:val="2DEE172B"/>
    <w:rsid w:val="2DF027EB"/>
    <w:rsid w:val="2DF113C2"/>
    <w:rsid w:val="2DF13D0E"/>
    <w:rsid w:val="2DF66D0E"/>
    <w:rsid w:val="2E074D66"/>
    <w:rsid w:val="2E0B53B7"/>
    <w:rsid w:val="2E2B0F8D"/>
    <w:rsid w:val="2E387FCA"/>
    <w:rsid w:val="2E3F4299"/>
    <w:rsid w:val="2E5442E3"/>
    <w:rsid w:val="2E7C5476"/>
    <w:rsid w:val="2E7F34D1"/>
    <w:rsid w:val="2E886FF6"/>
    <w:rsid w:val="2E8B0409"/>
    <w:rsid w:val="2EA40181"/>
    <w:rsid w:val="2EA67EEA"/>
    <w:rsid w:val="2EA77975"/>
    <w:rsid w:val="2EAD2A8F"/>
    <w:rsid w:val="2EBF00B3"/>
    <w:rsid w:val="2EC27F03"/>
    <w:rsid w:val="2ECA2664"/>
    <w:rsid w:val="2ECE479A"/>
    <w:rsid w:val="2EDC57FF"/>
    <w:rsid w:val="2EE04C18"/>
    <w:rsid w:val="2EEC3775"/>
    <w:rsid w:val="2F125CDF"/>
    <w:rsid w:val="2F2A5BE7"/>
    <w:rsid w:val="2F2C0CD3"/>
    <w:rsid w:val="2F372D57"/>
    <w:rsid w:val="2F3A4412"/>
    <w:rsid w:val="2F494525"/>
    <w:rsid w:val="2F4A14FC"/>
    <w:rsid w:val="2F4E083A"/>
    <w:rsid w:val="2F523172"/>
    <w:rsid w:val="2F541FDB"/>
    <w:rsid w:val="2F651083"/>
    <w:rsid w:val="2F656C17"/>
    <w:rsid w:val="2F787408"/>
    <w:rsid w:val="2F7933EA"/>
    <w:rsid w:val="2F8D29E4"/>
    <w:rsid w:val="2F92040F"/>
    <w:rsid w:val="2F95018C"/>
    <w:rsid w:val="2F9B4F5A"/>
    <w:rsid w:val="2FA8548D"/>
    <w:rsid w:val="2FBA1FB1"/>
    <w:rsid w:val="2FC260AC"/>
    <w:rsid w:val="2FC85FE8"/>
    <w:rsid w:val="300A495A"/>
    <w:rsid w:val="301046AC"/>
    <w:rsid w:val="302C05D9"/>
    <w:rsid w:val="303139E4"/>
    <w:rsid w:val="304A34E0"/>
    <w:rsid w:val="304C4CF6"/>
    <w:rsid w:val="305129F5"/>
    <w:rsid w:val="30572418"/>
    <w:rsid w:val="305A1716"/>
    <w:rsid w:val="307F5119"/>
    <w:rsid w:val="30A26718"/>
    <w:rsid w:val="30A77D27"/>
    <w:rsid w:val="30C22BAE"/>
    <w:rsid w:val="30D02294"/>
    <w:rsid w:val="30E12562"/>
    <w:rsid w:val="30E3443D"/>
    <w:rsid w:val="30EB518F"/>
    <w:rsid w:val="30F037CF"/>
    <w:rsid w:val="30FD5825"/>
    <w:rsid w:val="311A02DC"/>
    <w:rsid w:val="311D195B"/>
    <w:rsid w:val="31254AB9"/>
    <w:rsid w:val="31257C11"/>
    <w:rsid w:val="313134D3"/>
    <w:rsid w:val="31443412"/>
    <w:rsid w:val="3145293B"/>
    <w:rsid w:val="317A1BAC"/>
    <w:rsid w:val="317B5F68"/>
    <w:rsid w:val="318550B6"/>
    <w:rsid w:val="31896E18"/>
    <w:rsid w:val="31A32E5F"/>
    <w:rsid w:val="31B859B9"/>
    <w:rsid w:val="31C71704"/>
    <w:rsid w:val="31CE074C"/>
    <w:rsid w:val="31E75CF0"/>
    <w:rsid w:val="31FF2950"/>
    <w:rsid w:val="3201033B"/>
    <w:rsid w:val="32022CFB"/>
    <w:rsid w:val="32037F94"/>
    <w:rsid w:val="320D7387"/>
    <w:rsid w:val="321D4746"/>
    <w:rsid w:val="321F5090"/>
    <w:rsid w:val="322F44D8"/>
    <w:rsid w:val="32532990"/>
    <w:rsid w:val="325A2A82"/>
    <w:rsid w:val="32764F2C"/>
    <w:rsid w:val="327C5A7B"/>
    <w:rsid w:val="328238D1"/>
    <w:rsid w:val="328A09D8"/>
    <w:rsid w:val="328B66B3"/>
    <w:rsid w:val="32C219E5"/>
    <w:rsid w:val="32CD46FA"/>
    <w:rsid w:val="32CD77A7"/>
    <w:rsid w:val="32E12CEE"/>
    <w:rsid w:val="32EE73AD"/>
    <w:rsid w:val="32FA32E6"/>
    <w:rsid w:val="32FB1250"/>
    <w:rsid w:val="33022C64"/>
    <w:rsid w:val="330A262A"/>
    <w:rsid w:val="330B4559"/>
    <w:rsid w:val="33410365"/>
    <w:rsid w:val="334314D7"/>
    <w:rsid w:val="334F654D"/>
    <w:rsid w:val="33552DB4"/>
    <w:rsid w:val="33604C72"/>
    <w:rsid w:val="33632D7C"/>
    <w:rsid w:val="336631F3"/>
    <w:rsid w:val="336D4A47"/>
    <w:rsid w:val="33773E94"/>
    <w:rsid w:val="337C33E4"/>
    <w:rsid w:val="338C30F1"/>
    <w:rsid w:val="33B7197E"/>
    <w:rsid w:val="33BB0DF2"/>
    <w:rsid w:val="33C06C2D"/>
    <w:rsid w:val="33CF1164"/>
    <w:rsid w:val="33CF6C2C"/>
    <w:rsid w:val="33D377F4"/>
    <w:rsid w:val="33F20028"/>
    <w:rsid w:val="340159EB"/>
    <w:rsid w:val="340771EC"/>
    <w:rsid w:val="340F5638"/>
    <w:rsid w:val="34360E17"/>
    <w:rsid w:val="34581C7A"/>
    <w:rsid w:val="345B262C"/>
    <w:rsid w:val="3468176E"/>
    <w:rsid w:val="34694A73"/>
    <w:rsid w:val="346B6F71"/>
    <w:rsid w:val="3478581C"/>
    <w:rsid w:val="34973916"/>
    <w:rsid w:val="34B05C48"/>
    <w:rsid w:val="34B87A7E"/>
    <w:rsid w:val="34C07321"/>
    <w:rsid w:val="34C26EA0"/>
    <w:rsid w:val="34CC4150"/>
    <w:rsid w:val="34DB4489"/>
    <w:rsid w:val="34E05800"/>
    <w:rsid w:val="350D601C"/>
    <w:rsid w:val="352F3309"/>
    <w:rsid w:val="35325A82"/>
    <w:rsid w:val="35401C2F"/>
    <w:rsid w:val="355053EA"/>
    <w:rsid w:val="35585FE3"/>
    <w:rsid w:val="3565547E"/>
    <w:rsid w:val="356E37B3"/>
    <w:rsid w:val="35B92FD6"/>
    <w:rsid w:val="35C27A69"/>
    <w:rsid w:val="35C81F43"/>
    <w:rsid w:val="35D939B0"/>
    <w:rsid w:val="35DA0547"/>
    <w:rsid w:val="35EA010B"/>
    <w:rsid w:val="35F7563C"/>
    <w:rsid w:val="360A03EE"/>
    <w:rsid w:val="361B2B63"/>
    <w:rsid w:val="362938F2"/>
    <w:rsid w:val="362A03A5"/>
    <w:rsid w:val="36355DFA"/>
    <w:rsid w:val="36392E68"/>
    <w:rsid w:val="36674E48"/>
    <w:rsid w:val="367C29EA"/>
    <w:rsid w:val="368049F0"/>
    <w:rsid w:val="3686379D"/>
    <w:rsid w:val="368F65D6"/>
    <w:rsid w:val="36983883"/>
    <w:rsid w:val="36A57B46"/>
    <w:rsid w:val="36D31FEB"/>
    <w:rsid w:val="36DA7EC6"/>
    <w:rsid w:val="36DF5796"/>
    <w:rsid w:val="36EA4B70"/>
    <w:rsid w:val="36EE608B"/>
    <w:rsid w:val="370A20E7"/>
    <w:rsid w:val="3727713D"/>
    <w:rsid w:val="37411CBC"/>
    <w:rsid w:val="37476E97"/>
    <w:rsid w:val="374C50B7"/>
    <w:rsid w:val="37A434CC"/>
    <w:rsid w:val="37A91900"/>
    <w:rsid w:val="37D0796E"/>
    <w:rsid w:val="37EE32C1"/>
    <w:rsid w:val="37F91B66"/>
    <w:rsid w:val="38140290"/>
    <w:rsid w:val="3814146F"/>
    <w:rsid w:val="383E6C98"/>
    <w:rsid w:val="38494CA3"/>
    <w:rsid w:val="384B18C4"/>
    <w:rsid w:val="38500654"/>
    <w:rsid w:val="388A771C"/>
    <w:rsid w:val="38935C5F"/>
    <w:rsid w:val="38997BC6"/>
    <w:rsid w:val="38B33B51"/>
    <w:rsid w:val="38B74B11"/>
    <w:rsid w:val="38E239E1"/>
    <w:rsid w:val="391D1B99"/>
    <w:rsid w:val="3922196A"/>
    <w:rsid w:val="392832BA"/>
    <w:rsid w:val="39333B77"/>
    <w:rsid w:val="393E47A5"/>
    <w:rsid w:val="396F26D5"/>
    <w:rsid w:val="39781A81"/>
    <w:rsid w:val="39840723"/>
    <w:rsid w:val="3985648C"/>
    <w:rsid w:val="39946B51"/>
    <w:rsid w:val="39A405D1"/>
    <w:rsid w:val="39C40C73"/>
    <w:rsid w:val="39C8704A"/>
    <w:rsid w:val="39CB1624"/>
    <w:rsid w:val="39CC6AFF"/>
    <w:rsid w:val="39CF0DA2"/>
    <w:rsid w:val="39CF3215"/>
    <w:rsid w:val="39E10B24"/>
    <w:rsid w:val="3A0D6176"/>
    <w:rsid w:val="3A1741D7"/>
    <w:rsid w:val="3A18424E"/>
    <w:rsid w:val="3A1F310B"/>
    <w:rsid w:val="3A2760E4"/>
    <w:rsid w:val="3A2A3123"/>
    <w:rsid w:val="3A2F750C"/>
    <w:rsid w:val="3A327A7E"/>
    <w:rsid w:val="3A362498"/>
    <w:rsid w:val="3A3D6ACB"/>
    <w:rsid w:val="3A5457E5"/>
    <w:rsid w:val="3A683BE2"/>
    <w:rsid w:val="3A6B26F1"/>
    <w:rsid w:val="3A8027DD"/>
    <w:rsid w:val="3A805B11"/>
    <w:rsid w:val="3A810BBB"/>
    <w:rsid w:val="3AA60D05"/>
    <w:rsid w:val="3AA86AE2"/>
    <w:rsid w:val="3AC70A1B"/>
    <w:rsid w:val="3AD11AB3"/>
    <w:rsid w:val="3ADF64BD"/>
    <w:rsid w:val="3AE44579"/>
    <w:rsid w:val="3AED34FB"/>
    <w:rsid w:val="3AF1337E"/>
    <w:rsid w:val="3AF31810"/>
    <w:rsid w:val="3B0B71E7"/>
    <w:rsid w:val="3B201FB2"/>
    <w:rsid w:val="3B4413D5"/>
    <w:rsid w:val="3B4A68F8"/>
    <w:rsid w:val="3B4F3814"/>
    <w:rsid w:val="3B5322AF"/>
    <w:rsid w:val="3B590826"/>
    <w:rsid w:val="3B614DA3"/>
    <w:rsid w:val="3B631E57"/>
    <w:rsid w:val="3B657F1A"/>
    <w:rsid w:val="3B7F53CB"/>
    <w:rsid w:val="3B8310F3"/>
    <w:rsid w:val="3B9B39CD"/>
    <w:rsid w:val="3BA041DC"/>
    <w:rsid w:val="3BA14F3D"/>
    <w:rsid w:val="3BA614BF"/>
    <w:rsid w:val="3BB93335"/>
    <w:rsid w:val="3BD42E4E"/>
    <w:rsid w:val="3BDB324F"/>
    <w:rsid w:val="3BDD30CB"/>
    <w:rsid w:val="3BDF28AE"/>
    <w:rsid w:val="3BEB54A3"/>
    <w:rsid w:val="3BFC07A0"/>
    <w:rsid w:val="3C07622C"/>
    <w:rsid w:val="3C1B10AA"/>
    <w:rsid w:val="3C3F087D"/>
    <w:rsid w:val="3C430575"/>
    <w:rsid w:val="3C4F6F1A"/>
    <w:rsid w:val="3C501F41"/>
    <w:rsid w:val="3C5F25AF"/>
    <w:rsid w:val="3C601127"/>
    <w:rsid w:val="3C7906D5"/>
    <w:rsid w:val="3C885BC2"/>
    <w:rsid w:val="3C964B49"/>
    <w:rsid w:val="3CA3164A"/>
    <w:rsid w:val="3CB21257"/>
    <w:rsid w:val="3CB70E00"/>
    <w:rsid w:val="3CB925E5"/>
    <w:rsid w:val="3CBF6A63"/>
    <w:rsid w:val="3CC52D38"/>
    <w:rsid w:val="3CD728B6"/>
    <w:rsid w:val="3CDF1CD3"/>
    <w:rsid w:val="3CE16539"/>
    <w:rsid w:val="3CEB74C1"/>
    <w:rsid w:val="3CF13165"/>
    <w:rsid w:val="3CFE26EE"/>
    <w:rsid w:val="3D080C1E"/>
    <w:rsid w:val="3D0F3928"/>
    <w:rsid w:val="3D3A3646"/>
    <w:rsid w:val="3D3D4FD0"/>
    <w:rsid w:val="3D5141D7"/>
    <w:rsid w:val="3D682C08"/>
    <w:rsid w:val="3D911DA4"/>
    <w:rsid w:val="3D955952"/>
    <w:rsid w:val="3DA2459C"/>
    <w:rsid w:val="3DB01C3A"/>
    <w:rsid w:val="3DC47354"/>
    <w:rsid w:val="3DE0157E"/>
    <w:rsid w:val="3DFE2A9F"/>
    <w:rsid w:val="3E1F46CA"/>
    <w:rsid w:val="3E295A9C"/>
    <w:rsid w:val="3E2D6762"/>
    <w:rsid w:val="3E2E0028"/>
    <w:rsid w:val="3E2F19F2"/>
    <w:rsid w:val="3E39371C"/>
    <w:rsid w:val="3E4F6AEB"/>
    <w:rsid w:val="3E530273"/>
    <w:rsid w:val="3E546A69"/>
    <w:rsid w:val="3E71476B"/>
    <w:rsid w:val="3E787E6D"/>
    <w:rsid w:val="3E8D5526"/>
    <w:rsid w:val="3E9E1F10"/>
    <w:rsid w:val="3EA3354D"/>
    <w:rsid w:val="3EA358E2"/>
    <w:rsid w:val="3EAB2402"/>
    <w:rsid w:val="3EB839AE"/>
    <w:rsid w:val="3EC965E3"/>
    <w:rsid w:val="3ED90883"/>
    <w:rsid w:val="3EDC080D"/>
    <w:rsid w:val="3EE002FD"/>
    <w:rsid w:val="3EE22A20"/>
    <w:rsid w:val="3EF038F1"/>
    <w:rsid w:val="3EF23B8C"/>
    <w:rsid w:val="3EF92169"/>
    <w:rsid w:val="3F147860"/>
    <w:rsid w:val="3F1E2131"/>
    <w:rsid w:val="3F2004D3"/>
    <w:rsid w:val="3F24318A"/>
    <w:rsid w:val="3F277CDA"/>
    <w:rsid w:val="3F2A5A1C"/>
    <w:rsid w:val="3F2A77CA"/>
    <w:rsid w:val="3F2D1834"/>
    <w:rsid w:val="3F352DDD"/>
    <w:rsid w:val="3F3972A0"/>
    <w:rsid w:val="3F4C500F"/>
    <w:rsid w:val="3F503942"/>
    <w:rsid w:val="3F6F0A1B"/>
    <w:rsid w:val="3F6F1681"/>
    <w:rsid w:val="3F7559D6"/>
    <w:rsid w:val="3F8244E8"/>
    <w:rsid w:val="3F865EFB"/>
    <w:rsid w:val="3F871CA4"/>
    <w:rsid w:val="3FAD7E35"/>
    <w:rsid w:val="3FB33303"/>
    <w:rsid w:val="3FB377C0"/>
    <w:rsid w:val="3FD04679"/>
    <w:rsid w:val="3FEC2CD2"/>
    <w:rsid w:val="3FFB49A4"/>
    <w:rsid w:val="3FFF5BBF"/>
    <w:rsid w:val="40003751"/>
    <w:rsid w:val="40024AC1"/>
    <w:rsid w:val="40083775"/>
    <w:rsid w:val="401F09B1"/>
    <w:rsid w:val="402A6942"/>
    <w:rsid w:val="403B48D8"/>
    <w:rsid w:val="403E2E27"/>
    <w:rsid w:val="40435F5E"/>
    <w:rsid w:val="40514CFE"/>
    <w:rsid w:val="4081341A"/>
    <w:rsid w:val="4082449F"/>
    <w:rsid w:val="409F1AF2"/>
    <w:rsid w:val="40A95E19"/>
    <w:rsid w:val="40AC7F25"/>
    <w:rsid w:val="40B363D3"/>
    <w:rsid w:val="40B6345F"/>
    <w:rsid w:val="40D246E6"/>
    <w:rsid w:val="40D6636F"/>
    <w:rsid w:val="40EE3E7E"/>
    <w:rsid w:val="41022C69"/>
    <w:rsid w:val="4146538F"/>
    <w:rsid w:val="4148218A"/>
    <w:rsid w:val="414F70AD"/>
    <w:rsid w:val="415C79E3"/>
    <w:rsid w:val="41642F23"/>
    <w:rsid w:val="41662976"/>
    <w:rsid w:val="416722C1"/>
    <w:rsid w:val="416E5ECF"/>
    <w:rsid w:val="41874BF7"/>
    <w:rsid w:val="418F016A"/>
    <w:rsid w:val="41A13D3C"/>
    <w:rsid w:val="41A35612"/>
    <w:rsid w:val="41D818CE"/>
    <w:rsid w:val="41DD4D60"/>
    <w:rsid w:val="41DD55EC"/>
    <w:rsid w:val="41E47B7B"/>
    <w:rsid w:val="41F61BE6"/>
    <w:rsid w:val="41FA7928"/>
    <w:rsid w:val="42030C49"/>
    <w:rsid w:val="42085CF3"/>
    <w:rsid w:val="420A1D42"/>
    <w:rsid w:val="42182FD2"/>
    <w:rsid w:val="42215201"/>
    <w:rsid w:val="424534CC"/>
    <w:rsid w:val="424C0FFB"/>
    <w:rsid w:val="42500727"/>
    <w:rsid w:val="4255075C"/>
    <w:rsid w:val="426B6D38"/>
    <w:rsid w:val="426E3E20"/>
    <w:rsid w:val="42814D0F"/>
    <w:rsid w:val="428A24E6"/>
    <w:rsid w:val="429856D1"/>
    <w:rsid w:val="42991C64"/>
    <w:rsid w:val="42B64197"/>
    <w:rsid w:val="42BC3D58"/>
    <w:rsid w:val="42C14A81"/>
    <w:rsid w:val="42C41CE4"/>
    <w:rsid w:val="42DA1D0D"/>
    <w:rsid w:val="42E934F8"/>
    <w:rsid w:val="43022B82"/>
    <w:rsid w:val="430E3D19"/>
    <w:rsid w:val="433A4C14"/>
    <w:rsid w:val="434E0079"/>
    <w:rsid w:val="436A373C"/>
    <w:rsid w:val="43882D11"/>
    <w:rsid w:val="43900E91"/>
    <w:rsid w:val="439A47AD"/>
    <w:rsid w:val="439C056B"/>
    <w:rsid w:val="43A0005B"/>
    <w:rsid w:val="43A41906"/>
    <w:rsid w:val="43CD2999"/>
    <w:rsid w:val="43CE11F8"/>
    <w:rsid w:val="43E03598"/>
    <w:rsid w:val="43E837B0"/>
    <w:rsid w:val="440005FC"/>
    <w:rsid w:val="44084C8C"/>
    <w:rsid w:val="44182C3B"/>
    <w:rsid w:val="441B2C89"/>
    <w:rsid w:val="442579C1"/>
    <w:rsid w:val="44374BF6"/>
    <w:rsid w:val="443D4E61"/>
    <w:rsid w:val="443F7636"/>
    <w:rsid w:val="4447006A"/>
    <w:rsid w:val="44582860"/>
    <w:rsid w:val="447C2876"/>
    <w:rsid w:val="447D6A17"/>
    <w:rsid w:val="449905D9"/>
    <w:rsid w:val="44BF09B5"/>
    <w:rsid w:val="44CD7749"/>
    <w:rsid w:val="44D734C4"/>
    <w:rsid w:val="44DE551A"/>
    <w:rsid w:val="44FC536A"/>
    <w:rsid w:val="45010FCD"/>
    <w:rsid w:val="453B2421"/>
    <w:rsid w:val="453F38A4"/>
    <w:rsid w:val="45442E9D"/>
    <w:rsid w:val="454B3FF6"/>
    <w:rsid w:val="455B3CD6"/>
    <w:rsid w:val="45725A27"/>
    <w:rsid w:val="459C4852"/>
    <w:rsid w:val="45BD0F5F"/>
    <w:rsid w:val="45BF7BBF"/>
    <w:rsid w:val="45E15906"/>
    <w:rsid w:val="45E2495B"/>
    <w:rsid w:val="45F40D63"/>
    <w:rsid w:val="45F44786"/>
    <w:rsid w:val="46102FD3"/>
    <w:rsid w:val="462D713C"/>
    <w:rsid w:val="46326F64"/>
    <w:rsid w:val="463C09B7"/>
    <w:rsid w:val="46420A17"/>
    <w:rsid w:val="46507129"/>
    <w:rsid w:val="46654707"/>
    <w:rsid w:val="466778DC"/>
    <w:rsid w:val="467152AF"/>
    <w:rsid w:val="467A1037"/>
    <w:rsid w:val="46841F07"/>
    <w:rsid w:val="468661A6"/>
    <w:rsid w:val="4688436F"/>
    <w:rsid w:val="468851D7"/>
    <w:rsid w:val="468A5082"/>
    <w:rsid w:val="468E3910"/>
    <w:rsid w:val="46965077"/>
    <w:rsid w:val="46A152B3"/>
    <w:rsid w:val="46A4138A"/>
    <w:rsid w:val="46C47640"/>
    <w:rsid w:val="46DF6973"/>
    <w:rsid w:val="46F56910"/>
    <w:rsid w:val="46FC5E48"/>
    <w:rsid w:val="471A6FC7"/>
    <w:rsid w:val="471D7DA5"/>
    <w:rsid w:val="472158A5"/>
    <w:rsid w:val="4723522B"/>
    <w:rsid w:val="473465D0"/>
    <w:rsid w:val="474C59F4"/>
    <w:rsid w:val="4770238D"/>
    <w:rsid w:val="47C14A44"/>
    <w:rsid w:val="47C6205A"/>
    <w:rsid w:val="47E96D8F"/>
    <w:rsid w:val="47FB6982"/>
    <w:rsid w:val="48015ECB"/>
    <w:rsid w:val="480768FB"/>
    <w:rsid w:val="48077826"/>
    <w:rsid w:val="4812704D"/>
    <w:rsid w:val="481D430D"/>
    <w:rsid w:val="481D44F1"/>
    <w:rsid w:val="483D1893"/>
    <w:rsid w:val="484E555F"/>
    <w:rsid w:val="485A123B"/>
    <w:rsid w:val="48687C2F"/>
    <w:rsid w:val="486B6887"/>
    <w:rsid w:val="486C0E54"/>
    <w:rsid w:val="48754B55"/>
    <w:rsid w:val="487B1097"/>
    <w:rsid w:val="48947A9F"/>
    <w:rsid w:val="48A57518"/>
    <w:rsid w:val="48AD6B31"/>
    <w:rsid w:val="48B13CBF"/>
    <w:rsid w:val="48BD31A2"/>
    <w:rsid w:val="48DC265F"/>
    <w:rsid w:val="48DE7D46"/>
    <w:rsid w:val="49064E04"/>
    <w:rsid w:val="49065575"/>
    <w:rsid w:val="490779EF"/>
    <w:rsid w:val="49163F98"/>
    <w:rsid w:val="491B30F2"/>
    <w:rsid w:val="492F3277"/>
    <w:rsid w:val="49370211"/>
    <w:rsid w:val="49372552"/>
    <w:rsid w:val="49454C8E"/>
    <w:rsid w:val="495A08D2"/>
    <w:rsid w:val="49996716"/>
    <w:rsid w:val="49B54134"/>
    <w:rsid w:val="49C3360D"/>
    <w:rsid w:val="49CE2073"/>
    <w:rsid w:val="49D72799"/>
    <w:rsid w:val="4A1F71D6"/>
    <w:rsid w:val="4A207C29"/>
    <w:rsid w:val="4A3414FD"/>
    <w:rsid w:val="4A3634C7"/>
    <w:rsid w:val="4A480FB3"/>
    <w:rsid w:val="4A4E1203"/>
    <w:rsid w:val="4A5D5D84"/>
    <w:rsid w:val="4A712751"/>
    <w:rsid w:val="4A720F03"/>
    <w:rsid w:val="4A725C54"/>
    <w:rsid w:val="4A7C6F23"/>
    <w:rsid w:val="4A910BFE"/>
    <w:rsid w:val="4AA8171D"/>
    <w:rsid w:val="4AAD3797"/>
    <w:rsid w:val="4AC30AA9"/>
    <w:rsid w:val="4AC453FB"/>
    <w:rsid w:val="4AC8754C"/>
    <w:rsid w:val="4AD714F4"/>
    <w:rsid w:val="4AD94818"/>
    <w:rsid w:val="4ADE364D"/>
    <w:rsid w:val="4ADF19C0"/>
    <w:rsid w:val="4AE528B3"/>
    <w:rsid w:val="4AE64EED"/>
    <w:rsid w:val="4B1732F9"/>
    <w:rsid w:val="4B2F192E"/>
    <w:rsid w:val="4B322603"/>
    <w:rsid w:val="4B364751"/>
    <w:rsid w:val="4B3B78E8"/>
    <w:rsid w:val="4B524331"/>
    <w:rsid w:val="4B566CA7"/>
    <w:rsid w:val="4B5F09D9"/>
    <w:rsid w:val="4B62430A"/>
    <w:rsid w:val="4B647494"/>
    <w:rsid w:val="4B723F05"/>
    <w:rsid w:val="4B7E5372"/>
    <w:rsid w:val="4B991F60"/>
    <w:rsid w:val="4BA25610"/>
    <w:rsid w:val="4BB42C4A"/>
    <w:rsid w:val="4BC92119"/>
    <w:rsid w:val="4BF1575B"/>
    <w:rsid w:val="4BF94693"/>
    <w:rsid w:val="4C130973"/>
    <w:rsid w:val="4C15710C"/>
    <w:rsid w:val="4C226976"/>
    <w:rsid w:val="4C22797E"/>
    <w:rsid w:val="4C31567B"/>
    <w:rsid w:val="4C360AA9"/>
    <w:rsid w:val="4C3C0B3D"/>
    <w:rsid w:val="4C473B7E"/>
    <w:rsid w:val="4C481290"/>
    <w:rsid w:val="4C5C2F8D"/>
    <w:rsid w:val="4C60222C"/>
    <w:rsid w:val="4C6B4F7E"/>
    <w:rsid w:val="4C6C5A69"/>
    <w:rsid w:val="4C976993"/>
    <w:rsid w:val="4C9C022C"/>
    <w:rsid w:val="4CBB0B8D"/>
    <w:rsid w:val="4CDA034E"/>
    <w:rsid w:val="4CE74F4D"/>
    <w:rsid w:val="4CE9608D"/>
    <w:rsid w:val="4CF17FCE"/>
    <w:rsid w:val="4CF427B1"/>
    <w:rsid w:val="4D122BF3"/>
    <w:rsid w:val="4D2C26A6"/>
    <w:rsid w:val="4D5D2548"/>
    <w:rsid w:val="4D6245D3"/>
    <w:rsid w:val="4D68282A"/>
    <w:rsid w:val="4D69341E"/>
    <w:rsid w:val="4D764DF5"/>
    <w:rsid w:val="4D7872D4"/>
    <w:rsid w:val="4D823F55"/>
    <w:rsid w:val="4D826A23"/>
    <w:rsid w:val="4D8B1D7C"/>
    <w:rsid w:val="4D8C5F97"/>
    <w:rsid w:val="4D900F31"/>
    <w:rsid w:val="4D9F75D5"/>
    <w:rsid w:val="4DA478AD"/>
    <w:rsid w:val="4DC42C88"/>
    <w:rsid w:val="4DC8085E"/>
    <w:rsid w:val="4DC85818"/>
    <w:rsid w:val="4DEA6F9D"/>
    <w:rsid w:val="4DEB7EF5"/>
    <w:rsid w:val="4DF214C3"/>
    <w:rsid w:val="4DF73844"/>
    <w:rsid w:val="4DFC7B4E"/>
    <w:rsid w:val="4E102281"/>
    <w:rsid w:val="4E14178A"/>
    <w:rsid w:val="4E233E1E"/>
    <w:rsid w:val="4E2D698F"/>
    <w:rsid w:val="4E322ADE"/>
    <w:rsid w:val="4E3F1528"/>
    <w:rsid w:val="4E4B26D3"/>
    <w:rsid w:val="4E68461F"/>
    <w:rsid w:val="4E686988"/>
    <w:rsid w:val="4E8A7EF1"/>
    <w:rsid w:val="4E985A3F"/>
    <w:rsid w:val="4E9E3248"/>
    <w:rsid w:val="4EA01857"/>
    <w:rsid w:val="4EA20D07"/>
    <w:rsid w:val="4EA85D29"/>
    <w:rsid w:val="4EAC1FAA"/>
    <w:rsid w:val="4ED52AF6"/>
    <w:rsid w:val="4ED60DD5"/>
    <w:rsid w:val="4EDC2256"/>
    <w:rsid w:val="4EE80B08"/>
    <w:rsid w:val="4F003355"/>
    <w:rsid w:val="4F1049A3"/>
    <w:rsid w:val="4F1F277C"/>
    <w:rsid w:val="4F1F6913"/>
    <w:rsid w:val="4F3068D0"/>
    <w:rsid w:val="4F3212D0"/>
    <w:rsid w:val="4F423649"/>
    <w:rsid w:val="4F555807"/>
    <w:rsid w:val="4F560168"/>
    <w:rsid w:val="4F5A491C"/>
    <w:rsid w:val="4F691B00"/>
    <w:rsid w:val="4F721B3E"/>
    <w:rsid w:val="4F7E5458"/>
    <w:rsid w:val="4F7E691C"/>
    <w:rsid w:val="4F8A1EC0"/>
    <w:rsid w:val="4F936BFA"/>
    <w:rsid w:val="4FAD5FDA"/>
    <w:rsid w:val="4FC52689"/>
    <w:rsid w:val="4FCB13B0"/>
    <w:rsid w:val="4FD00F41"/>
    <w:rsid w:val="4FFA4F97"/>
    <w:rsid w:val="50011412"/>
    <w:rsid w:val="50055E16"/>
    <w:rsid w:val="50063DD3"/>
    <w:rsid w:val="500E158E"/>
    <w:rsid w:val="500E5218"/>
    <w:rsid w:val="502B6EFE"/>
    <w:rsid w:val="503462A6"/>
    <w:rsid w:val="503E4824"/>
    <w:rsid w:val="50431FAF"/>
    <w:rsid w:val="5043249A"/>
    <w:rsid w:val="50454F41"/>
    <w:rsid w:val="505267D9"/>
    <w:rsid w:val="50672F54"/>
    <w:rsid w:val="507546A2"/>
    <w:rsid w:val="508266E2"/>
    <w:rsid w:val="508915C5"/>
    <w:rsid w:val="50940F47"/>
    <w:rsid w:val="50987945"/>
    <w:rsid w:val="50A74526"/>
    <w:rsid w:val="50AA2519"/>
    <w:rsid w:val="50B1478B"/>
    <w:rsid w:val="50BA039F"/>
    <w:rsid w:val="50BB6011"/>
    <w:rsid w:val="50C94831"/>
    <w:rsid w:val="50D92DFE"/>
    <w:rsid w:val="50DB42B0"/>
    <w:rsid w:val="50F0277D"/>
    <w:rsid w:val="50FC2CE4"/>
    <w:rsid w:val="50FC59B6"/>
    <w:rsid w:val="510310B4"/>
    <w:rsid w:val="51293641"/>
    <w:rsid w:val="51446DD8"/>
    <w:rsid w:val="514D7E89"/>
    <w:rsid w:val="515561D0"/>
    <w:rsid w:val="515E50B1"/>
    <w:rsid w:val="515F5A90"/>
    <w:rsid w:val="51745C1E"/>
    <w:rsid w:val="51760011"/>
    <w:rsid w:val="518E49AC"/>
    <w:rsid w:val="51992BBE"/>
    <w:rsid w:val="5199536B"/>
    <w:rsid w:val="519B694D"/>
    <w:rsid w:val="51A00814"/>
    <w:rsid w:val="51AE428B"/>
    <w:rsid w:val="51B3212C"/>
    <w:rsid w:val="51B55C83"/>
    <w:rsid w:val="51BA2C30"/>
    <w:rsid w:val="51C972C4"/>
    <w:rsid w:val="51E312FA"/>
    <w:rsid w:val="51FF0643"/>
    <w:rsid w:val="5259004F"/>
    <w:rsid w:val="5259550D"/>
    <w:rsid w:val="525B1B56"/>
    <w:rsid w:val="526C2699"/>
    <w:rsid w:val="527A416D"/>
    <w:rsid w:val="527F1783"/>
    <w:rsid w:val="52873B67"/>
    <w:rsid w:val="5293138A"/>
    <w:rsid w:val="5297279D"/>
    <w:rsid w:val="52A3737C"/>
    <w:rsid w:val="52AF3C97"/>
    <w:rsid w:val="52B64F3A"/>
    <w:rsid w:val="52C75604"/>
    <w:rsid w:val="52DA3D53"/>
    <w:rsid w:val="52EA3848"/>
    <w:rsid w:val="5307019F"/>
    <w:rsid w:val="53254906"/>
    <w:rsid w:val="533A1C91"/>
    <w:rsid w:val="533A4B08"/>
    <w:rsid w:val="533C1422"/>
    <w:rsid w:val="533C216B"/>
    <w:rsid w:val="534851C2"/>
    <w:rsid w:val="535B41FC"/>
    <w:rsid w:val="53761B3F"/>
    <w:rsid w:val="538826B7"/>
    <w:rsid w:val="53945D1C"/>
    <w:rsid w:val="53976CDE"/>
    <w:rsid w:val="539F1150"/>
    <w:rsid w:val="53A63401"/>
    <w:rsid w:val="53AF1CD0"/>
    <w:rsid w:val="53B447E3"/>
    <w:rsid w:val="53BB4A3D"/>
    <w:rsid w:val="53CC3F1D"/>
    <w:rsid w:val="53D9297D"/>
    <w:rsid w:val="53FA4B30"/>
    <w:rsid w:val="53FF4E30"/>
    <w:rsid w:val="54060DDF"/>
    <w:rsid w:val="5408251D"/>
    <w:rsid w:val="540C5299"/>
    <w:rsid w:val="540E1CEA"/>
    <w:rsid w:val="540E60F4"/>
    <w:rsid w:val="542424AB"/>
    <w:rsid w:val="54261E03"/>
    <w:rsid w:val="543547EF"/>
    <w:rsid w:val="54363B76"/>
    <w:rsid w:val="54414288"/>
    <w:rsid w:val="54706DDA"/>
    <w:rsid w:val="54784B7D"/>
    <w:rsid w:val="547F468A"/>
    <w:rsid w:val="54822A2F"/>
    <w:rsid w:val="548848F4"/>
    <w:rsid w:val="548F4F7A"/>
    <w:rsid w:val="549922F3"/>
    <w:rsid w:val="54AC068E"/>
    <w:rsid w:val="54B00065"/>
    <w:rsid w:val="54B54DB2"/>
    <w:rsid w:val="54CC1CFC"/>
    <w:rsid w:val="54D525EF"/>
    <w:rsid w:val="54D577A2"/>
    <w:rsid w:val="54DE65EB"/>
    <w:rsid w:val="54E01871"/>
    <w:rsid w:val="54FA04B2"/>
    <w:rsid w:val="550D0483"/>
    <w:rsid w:val="553C5E9D"/>
    <w:rsid w:val="553D35A7"/>
    <w:rsid w:val="553D4E90"/>
    <w:rsid w:val="55766011"/>
    <w:rsid w:val="55811DA5"/>
    <w:rsid w:val="558B3C9A"/>
    <w:rsid w:val="55A175A6"/>
    <w:rsid w:val="55C01874"/>
    <w:rsid w:val="55DC01EC"/>
    <w:rsid w:val="55E16B3B"/>
    <w:rsid w:val="55E62245"/>
    <w:rsid w:val="55EB50CC"/>
    <w:rsid w:val="55EC6EE7"/>
    <w:rsid w:val="560F2CB0"/>
    <w:rsid w:val="56197654"/>
    <w:rsid w:val="56257F65"/>
    <w:rsid w:val="563F5EAA"/>
    <w:rsid w:val="56410EA1"/>
    <w:rsid w:val="564329D1"/>
    <w:rsid w:val="565D2237"/>
    <w:rsid w:val="5682113A"/>
    <w:rsid w:val="56B13FD8"/>
    <w:rsid w:val="56B17EE9"/>
    <w:rsid w:val="56BB40F2"/>
    <w:rsid w:val="56C500AD"/>
    <w:rsid w:val="56D241F0"/>
    <w:rsid w:val="56D41A26"/>
    <w:rsid w:val="56E147BB"/>
    <w:rsid w:val="570235A6"/>
    <w:rsid w:val="57032983"/>
    <w:rsid w:val="570E0081"/>
    <w:rsid w:val="5723475B"/>
    <w:rsid w:val="5749487F"/>
    <w:rsid w:val="574A05B2"/>
    <w:rsid w:val="575657CE"/>
    <w:rsid w:val="575B52E7"/>
    <w:rsid w:val="575F7626"/>
    <w:rsid w:val="57631674"/>
    <w:rsid w:val="576E2B10"/>
    <w:rsid w:val="57731C07"/>
    <w:rsid w:val="577B3D89"/>
    <w:rsid w:val="577F7419"/>
    <w:rsid w:val="579460D8"/>
    <w:rsid w:val="57974C8E"/>
    <w:rsid w:val="579E565A"/>
    <w:rsid w:val="57A63600"/>
    <w:rsid w:val="57AB043F"/>
    <w:rsid w:val="57AB7EC1"/>
    <w:rsid w:val="57C73387"/>
    <w:rsid w:val="57CE550D"/>
    <w:rsid w:val="57DE4DEC"/>
    <w:rsid w:val="57E722A5"/>
    <w:rsid w:val="57E82774"/>
    <w:rsid w:val="57F561BE"/>
    <w:rsid w:val="580D7A60"/>
    <w:rsid w:val="580E2F14"/>
    <w:rsid w:val="5812683D"/>
    <w:rsid w:val="58260A99"/>
    <w:rsid w:val="5836173F"/>
    <w:rsid w:val="5844595D"/>
    <w:rsid w:val="584D21A3"/>
    <w:rsid w:val="584E2326"/>
    <w:rsid w:val="58544F00"/>
    <w:rsid w:val="586C6A02"/>
    <w:rsid w:val="586F2F25"/>
    <w:rsid w:val="58757631"/>
    <w:rsid w:val="58AA6037"/>
    <w:rsid w:val="58DC502F"/>
    <w:rsid w:val="58E446C9"/>
    <w:rsid w:val="58E4675B"/>
    <w:rsid w:val="58FA39D8"/>
    <w:rsid w:val="58FE045E"/>
    <w:rsid w:val="590420DE"/>
    <w:rsid w:val="590649AC"/>
    <w:rsid w:val="59097FF9"/>
    <w:rsid w:val="59112C93"/>
    <w:rsid w:val="591405FA"/>
    <w:rsid w:val="59191A73"/>
    <w:rsid w:val="592F21EA"/>
    <w:rsid w:val="59444183"/>
    <w:rsid w:val="595E32DC"/>
    <w:rsid w:val="5963595B"/>
    <w:rsid w:val="596A00DC"/>
    <w:rsid w:val="59701722"/>
    <w:rsid w:val="597929EE"/>
    <w:rsid w:val="59842C4A"/>
    <w:rsid w:val="59913CC9"/>
    <w:rsid w:val="59987845"/>
    <w:rsid w:val="59994F95"/>
    <w:rsid w:val="59A1611D"/>
    <w:rsid w:val="59A214D7"/>
    <w:rsid w:val="59B241EC"/>
    <w:rsid w:val="59B419C2"/>
    <w:rsid w:val="59CE54CA"/>
    <w:rsid w:val="59D708D6"/>
    <w:rsid w:val="59D72B2F"/>
    <w:rsid w:val="59E44536"/>
    <w:rsid w:val="5A112694"/>
    <w:rsid w:val="5A1F61F2"/>
    <w:rsid w:val="5A3E22D1"/>
    <w:rsid w:val="5A421A14"/>
    <w:rsid w:val="5A4A08C9"/>
    <w:rsid w:val="5A587F7D"/>
    <w:rsid w:val="5A5B2A91"/>
    <w:rsid w:val="5A67140D"/>
    <w:rsid w:val="5A741602"/>
    <w:rsid w:val="5A9209EF"/>
    <w:rsid w:val="5AA24261"/>
    <w:rsid w:val="5AA61FA3"/>
    <w:rsid w:val="5ABC29E4"/>
    <w:rsid w:val="5ADC30C6"/>
    <w:rsid w:val="5ADC3BA8"/>
    <w:rsid w:val="5AFE4D46"/>
    <w:rsid w:val="5B064217"/>
    <w:rsid w:val="5B070B67"/>
    <w:rsid w:val="5B2D6AF3"/>
    <w:rsid w:val="5B4A4FF5"/>
    <w:rsid w:val="5B524DA3"/>
    <w:rsid w:val="5B6F4E81"/>
    <w:rsid w:val="5B9329D6"/>
    <w:rsid w:val="5BC47447"/>
    <w:rsid w:val="5BCA5D03"/>
    <w:rsid w:val="5BDD7D75"/>
    <w:rsid w:val="5BE00642"/>
    <w:rsid w:val="5BE70178"/>
    <w:rsid w:val="5C134609"/>
    <w:rsid w:val="5C1473E0"/>
    <w:rsid w:val="5C1A2979"/>
    <w:rsid w:val="5C270EC2"/>
    <w:rsid w:val="5C443177"/>
    <w:rsid w:val="5C507ED6"/>
    <w:rsid w:val="5C571D4E"/>
    <w:rsid w:val="5C5A0A01"/>
    <w:rsid w:val="5C5B1B25"/>
    <w:rsid w:val="5C62639E"/>
    <w:rsid w:val="5C6514C0"/>
    <w:rsid w:val="5C7629D6"/>
    <w:rsid w:val="5C892D0B"/>
    <w:rsid w:val="5C8E1D6B"/>
    <w:rsid w:val="5CA628F7"/>
    <w:rsid w:val="5CAA0818"/>
    <w:rsid w:val="5CB37A83"/>
    <w:rsid w:val="5CB97A26"/>
    <w:rsid w:val="5CCA2F37"/>
    <w:rsid w:val="5CCB6EAA"/>
    <w:rsid w:val="5CED474D"/>
    <w:rsid w:val="5D056AF2"/>
    <w:rsid w:val="5D064F7B"/>
    <w:rsid w:val="5D202A76"/>
    <w:rsid w:val="5D4E3D26"/>
    <w:rsid w:val="5D5201C0"/>
    <w:rsid w:val="5D8167CC"/>
    <w:rsid w:val="5D9028F2"/>
    <w:rsid w:val="5D925B0D"/>
    <w:rsid w:val="5DB354B5"/>
    <w:rsid w:val="5DB55350"/>
    <w:rsid w:val="5DBA17D4"/>
    <w:rsid w:val="5DBB3AE1"/>
    <w:rsid w:val="5DBF1E5F"/>
    <w:rsid w:val="5DE828D3"/>
    <w:rsid w:val="5E14515D"/>
    <w:rsid w:val="5E221460"/>
    <w:rsid w:val="5E2D4D0E"/>
    <w:rsid w:val="5E357F45"/>
    <w:rsid w:val="5E446D0A"/>
    <w:rsid w:val="5E59518E"/>
    <w:rsid w:val="5E596800"/>
    <w:rsid w:val="5E5A0938"/>
    <w:rsid w:val="5E5C1740"/>
    <w:rsid w:val="5E735A90"/>
    <w:rsid w:val="5E8336C9"/>
    <w:rsid w:val="5E8670BD"/>
    <w:rsid w:val="5E91682F"/>
    <w:rsid w:val="5E9F6493"/>
    <w:rsid w:val="5EA36B33"/>
    <w:rsid w:val="5EA50BC4"/>
    <w:rsid w:val="5EA92062"/>
    <w:rsid w:val="5EA93E10"/>
    <w:rsid w:val="5EBC2342"/>
    <w:rsid w:val="5EC16208"/>
    <w:rsid w:val="5EDA7D59"/>
    <w:rsid w:val="5EDC5744"/>
    <w:rsid w:val="5EDF0196"/>
    <w:rsid w:val="5EEF6AEF"/>
    <w:rsid w:val="5F000AC8"/>
    <w:rsid w:val="5F1F545B"/>
    <w:rsid w:val="5F293A1B"/>
    <w:rsid w:val="5F3822D0"/>
    <w:rsid w:val="5F3913F3"/>
    <w:rsid w:val="5F6B1B68"/>
    <w:rsid w:val="5F6E6884"/>
    <w:rsid w:val="5F7A5064"/>
    <w:rsid w:val="5F8B62BE"/>
    <w:rsid w:val="5FA32F55"/>
    <w:rsid w:val="5FA42829"/>
    <w:rsid w:val="5FA46E5C"/>
    <w:rsid w:val="5FAB7BF2"/>
    <w:rsid w:val="5FB255DF"/>
    <w:rsid w:val="5FCE4022"/>
    <w:rsid w:val="5FE94ADE"/>
    <w:rsid w:val="5FEE2A01"/>
    <w:rsid w:val="5FF26ACB"/>
    <w:rsid w:val="5FF7215C"/>
    <w:rsid w:val="5FF76DFD"/>
    <w:rsid w:val="60007B34"/>
    <w:rsid w:val="60026CA8"/>
    <w:rsid w:val="600B193B"/>
    <w:rsid w:val="60387556"/>
    <w:rsid w:val="60392E2E"/>
    <w:rsid w:val="606466DA"/>
    <w:rsid w:val="60685D35"/>
    <w:rsid w:val="607940A4"/>
    <w:rsid w:val="60802CB5"/>
    <w:rsid w:val="60A07495"/>
    <w:rsid w:val="60BD4E6A"/>
    <w:rsid w:val="60BE30C0"/>
    <w:rsid w:val="60C33898"/>
    <w:rsid w:val="60C94B26"/>
    <w:rsid w:val="60E3092F"/>
    <w:rsid w:val="60F83D92"/>
    <w:rsid w:val="61076BE5"/>
    <w:rsid w:val="610D0C72"/>
    <w:rsid w:val="61121C1F"/>
    <w:rsid w:val="61132FB0"/>
    <w:rsid w:val="612956DC"/>
    <w:rsid w:val="613C1835"/>
    <w:rsid w:val="6152014D"/>
    <w:rsid w:val="616462AF"/>
    <w:rsid w:val="61656B6E"/>
    <w:rsid w:val="616C6292"/>
    <w:rsid w:val="618A11EB"/>
    <w:rsid w:val="618C323D"/>
    <w:rsid w:val="619D5782"/>
    <w:rsid w:val="61A00F51"/>
    <w:rsid w:val="61A36BE3"/>
    <w:rsid w:val="61C71504"/>
    <w:rsid w:val="61F51F86"/>
    <w:rsid w:val="61F62C86"/>
    <w:rsid w:val="61F65C1C"/>
    <w:rsid w:val="62057B6D"/>
    <w:rsid w:val="620A0372"/>
    <w:rsid w:val="621576B3"/>
    <w:rsid w:val="621F70BE"/>
    <w:rsid w:val="622F0BA6"/>
    <w:rsid w:val="624327CD"/>
    <w:rsid w:val="62500A46"/>
    <w:rsid w:val="6269361E"/>
    <w:rsid w:val="62844A6E"/>
    <w:rsid w:val="629C5FF1"/>
    <w:rsid w:val="62AD385D"/>
    <w:rsid w:val="62B85E1F"/>
    <w:rsid w:val="62C40C4A"/>
    <w:rsid w:val="631B5DAA"/>
    <w:rsid w:val="632A50F1"/>
    <w:rsid w:val="633640E0"/>
    <w:rsid w:val="63595715"/>
    <w:rsid w:val="637D2130"/>
    <w:rsid w:val="637D721E"/>
    <w:rsid w:val="637E41FF"/>
    <w:rsid w:val="637F0F07"/>
    <w:rsid w:val="63864720"/>
    <w:rsid w:val="63B81AC2"/>
    <w:rsid w:val="63C21069"/>
    <w:rsid w:val="63C33BC6"/>
    <w:rsid w:val="63C43F9D"/>
    <w:rsid w:val="63C84487"/>
    <w:rsid w:val="63D06AB5"/>
    <w:rsid w:val="63D97ED3"/>
    <w:rsid w:val="63F50717"/>
    <w:rsid w:val="63F923F3"/>
    <w:rsid w:val="64077497"/>
    <w:rsid w:val="642B52C7"/>
    <w:rsid w:val="642E248D"/>
    <w:rsid w:val="64370BC6"/>
    <w:rsid w:val="643A05FA"/>
    <w:rsid w:val="644A561F"/>
    <w:rsid w:val="645C3FA4"/>
    <w:rsid w:val="645E7808"/>
    <w:rsid w:val="64731F81"/>
    <w:rsid w:val="647B13BB"/>
    <w:rsid w:val="64812DEB"/>
    <w:rsid w:val="64835BC0"/>
    <w:rsid w:val="64990EF3"/>
    <w:rsid w:val="64A94E83"/>
    <w:rsid w:val="64BB664B"/>
    <w:rsid w:val="64C07645"/>
    <w:rsid w:val="64CA68EA"/>
    <w:rsid w:val="64D157D9"/>
    <w:rsid w:val="64D4595F"/>
    <w:rsid w:val="64E81CE8"/>
    <w:rsid w:val="64F33C21"/>
    <w:rsid w:val="64F733FB"/>
    <w:rsid w:val="65085608"/>
    <w:rsid w:val="65261AD9"/>
    <w:rsid w:val="65353A93"/>
    <w:rsid w:val="653B0AC8"/>
    <w:rsid w:val="6546685C"/>
    <w:rsid w:val="655C618A"/>
    <w:rsid w:val="657F3B1C"/>
    <w:rsid w:val="658516B3"/>
    <w:rsid w:val="65876E75"/>
    <w:rsid w:val="65943783"/>
    <w:rsid w:val="659C34FD"/>
    <w:rsid w:val="65A842A2"/>
    <w:rsid w:val="65B95486"/>
    <w:rsid w:val="65B9767B"/>
    <w:rsid w:val="65BB493F"/>
    <w:rsid w:val="65CB5859"/>
    <w:rsid w:val="65DB2FC5"/>
    <w:rsid w:val="65E552B8"/>
    <w:rsid w:val="65EF593A"/>
    <w:rsid w:val="65F63CF3"/>
    <w:rsid w:val="66110EB2"/>
    <w:rsid w:val="66111B19"/>
    <w:rsid w:val="66195D1F"/>
    <w:rsid w:val="662367CA"/>
    <w:rsid w:val="66273120"/>
    <w:rsid w:val="662746FD"/>
    <w:rsid w:val="663718FB"/>
    <w:rsid w:val="66754F1F"/>
    <w:rsid w:val="667C005C"/>
    <w:rsid w:val="669C06FE"/>
    <w:rsid w:val="66AA66AF"/>
    <w:rsid w:val="66C227CA"/>
    <w:rsid w:val="66DC45F8"/>
    <w:rsid w:val="66ED5FF5"/>
    <w:rsid w:val="66FC1424"/>
    <w:rsid w:val="670238C5"/>
    <w:rsid w:val="670664EA"/>
    <w:rsid w:val="672F0BE3"/>
    <w:rsid w:val="673051D2"/>
    <w:rsid w:val="6747402E"/>
    <w:rsid w:val="67493A9D"/>
    <w:rsid w:val="6759039D"/>
    <w:rsid w:val="6769310D"/>
    <w:rsid w:val="67792589"/>
    <w:rsid w:val="678A373C"/>
    <w:rsid w:val="678D4508"/>
    <w:rsid w:val="679D64DC"/>
    <w:rsid w:val="67B76EB7"/>
    <w:rsid w:val="67C57AA3"/>
    <w:rsid w:val="67D650DE"/>
    <w:rsid w:val="67DA0714"/>
    <w:rsid w:val="67F726BC"/>
    <w:rsid w:val="681668C6"/>
    <w:rsid w:val="68175259"/>
    <w:rsid w:val="68210EBB"/>
    <w:rsid w:val="682E00B6"/>
    <w:rsid w:val="682F47C8"/>
    <w:rsid w:val="683D43BC"/>
    <w:rsid w:val="684848BE"/>
    <w:rsid w:val="685E13B0"/>
    <w:rsid w:val="68655499"/>
    <w:rsid w:val="688431F8"/>
    <w:rsid w:val="688E447B"/>
    <w:rsid w:val="68993147"/>
    <w:rsid w:val="68A67612"/>
    <w:rsid w:val="68BB3F7B"/>
    <w:rsid w:val="68C434B9"/>
    <w:rsid w:val="68C80D9B"/>
    <w:rsid w:val="68D02BEC"/>
    <w:rsid w:val="68D93421"/>
    <w:rsid w:val="68E35372"/>
    <w:rsid w:val="68F243AF"/>
    <w:rsid w:val="68F565A6"/>
    <w:rsid w:val="68F640F6"/>
    <w:rsid w:val="690E575F"/>
    <w:rsid w:val="69124CA8"/>
    <w:rsid w:val="69202CA9"/>
    <w:rsid w:val="692313ED"/>
    <w:rsid w:val="692D59A5"/>
    <w:rsid w:val="693410C2"/>
    <w:rsid w:val="69416EAD"/>
    <w:rsid w:val="69422F6B"/>
    <w:rsid w:val="69565FE2"/>
    <w:rsid w:val="69574104"/>
    <w:rsid w:val="69691679"/>
    <w:rsid w:val="696A0640"/>
    <w:rsid w:val="696B1E57"/>
    <w:rsid w:val="69712043"/>
    <w:rsid w:val="69745898"/>
    <w:rsid w:val="697B65DC"/>
    <w:rsid w:val="699317E4"/>
    <w:rsid w:val="69A70735"/>
    <w:rsid w:val="69EF1C44"/>
    <w:rsid w:val="6A0E7AF1"/>
    <w:rsid w:val="6A114F5F"/>
    <w:rsid w:val="6A127BEA"/>
    <w:rsid w:val="6A260536"/>
    <w:rsid w:val="6A273F09"/>
    <w:rsid w:val="6A2C6A3C"/>
    <w:rsid w:val="6A366774"/>
    <w:rsid w:val="6A3B295B"/>
    <w:rsid w:val="6A3B368F"/>
    <w:rsid w:val="6A5D1B1A"/>
    <w:rsid w:val="6A5E57EF"/>
    <w:rsid w:val="6A652756"/>
    <w:rsid w:val="6A6D0581"/>
    <w:rsid w:val="6A707ED8"/>
    <w:rsid w:val="6A7177BA"/>
    <w:rsid w:val="6A7528F3"/>
    <w:rsid w:val="6A7B0302"/>
    <w:rsid w:val="6A972321"/>
    <w:rsid w:val="6AA54025"/>
    <w:rsid w:val="6AA77936"/>
    <w:rsid w:val="6AB12F58"/>
    <w:rsid w:val="6AD30890"/>
    <w:rsid w:val="6AEF34F2"/>
    <w:rsid w:val="6B126770"/>
    <w:rsid w:val="6B2C05AD"/>
    <w:rsid w:val="6B5862AA"/>
    <w:rsid w:val="6B5C045C"/>
    <w:rsid w:val="6B685053"/>
    <w:rsid w:val="6B7208C9"/>
    <w:rsid w:val="6B7739CC"/>
    <w:rsid w:val="6B8302C4"/>
    <w:rsid w:val="6B8845FA"/>
    <w:rsid w:val="6B8E6561"/>
    <w:rsid w:val="6B9B2172"/>
    <w:rsid w:val="6BB27FAE"/>
    <w:rsid w:val="6BC24763"/>
    <w:rsid w:val="6BE8664A"/>
    <w:rsid w:val="6BFC528A"/>
    <w:rsid w:val="6C0B435C"/>
    <w:rsid w:val="6C0D1A0B"/>
    <w:rsid w:val="6C142268"/>
    <w:rsid w:val="6C2216A6"/>
    <w:rsid w:val="6C240BE7"/>
    <w:rsid w:val="6C2D3185"/>
    <w:rsid w:val="6C311952"/>
    <w:rsid w:val="6C31572D"/>
    <w:rsid w:val="6C447F32"/>
    <w:rsid w:val="6C5A0E3F"/>
    <w:rsid w:val="6C66039E"/>
    <w:rsid w:val="6C6C1EB2"/>
    <w:rsid w:val="6C8477D1"/>
    <w:rsid w:val="6C8E2897"/>
    <w:rsid w:val="6C977AFE"/>
    <w:rsid w:val="6CA75BF7"/>
    <w:rsid w:val="6CAA2B0F"/>
    <w:rsid w:val="6CCE28EA"/>
    <w:rsid w:val="6CDB39FC"/>
    <w:rsid w:val="6CE66B6E"/>
    <w:rsid w:val="6CEA2D2E"/>
    <w:rsid w:val="6D002FBE"/>
    <w:rsid w:val="6D0051DC"/>
    <w:rsid w:val="6D01279B"/>
    <w:rsid w:val="6D12414D"/>
    <w:rsid w:val="6D2756E1"/>
    <w:rsid w:val="6D3A7859"/>
    <w:rsid w:val="6D580CDC"/>
    <w:rsid w:val="6D77157D"/>
    <w:rsid w:val="6D841E4C"/>
    <w:rsid w:val="6D853C9A"/>
    <w:rsid w:val="6D882E73"/>
    <w:rsid w:val="6D9D19A6"/>
    <w:rsid w:val="6DA274AF"/>
    <w:rsid w:val="6DAD31F1"/>
    <w:rsid w:val="6DB34CEB"/>
    <w:rsid w:val="6DBC5A46"/>
    <w:rsid w:val="6DD97F2E"/>
    <w:rsid w:val="6DE84D2A"/>
    <w:rsid w:val="6DE9247B"/>
    <w:rsid w:val="6DEE7D03"/>
    <w:rsid w:val="6DF71E80"/>
    <w:rsid w:val="6E071C62"/>
    <w:rsid w:val="6E1D2977"/>
    <w:rsid w:val="6E1E5318"/>
    <w:rsid w:val="6E283010"/>
    <w:rsid w:val="6E2C72F0"/>
    <w:rsid w:val="6E3D3F41"/>
    <w:rsid w:val="6E421B8B"/>
    <w:rsid w:val="6E4C485A"/>
    <w:rsid w:val="6E5E27AB"/>
    <w:rsid w:val="6E612994"/>
    <w:rsid w:val="6E6645E0"/>
    <w:rsid w:val="6E6803C8"/>
    <w:rsid w:val="6E7872A7"/>
    <w:rsid w:val="6E90012A"/>
    <w:rsid w:val="6E9A5523"/>
    <w:rsid w:val="6EBC5602"/>
    <w:rsid w:val="6EBC6FBF"/>
    <w:rsid w:val="6ED20A73"/>
    <w:rsid w:val="6ED517E9"/>
    <w:rsid w:val="6EE029C6"/>
    <w:rsid w:val="6EE466FD"/>
    <w:rsid w:val="6F012FA0"/>
    <w:rsid w:val="6F0D6517"/>
    <w:rsid w:val="6F101C89"/>
    <w:rsid w:val="6F174B38"/>
    <w:rsid w:val="6F1D0EF1"/>
    <w:rsid w:val="6F2F7149"/>
    <w:rsid w:val="6F397330"/>
    <w:rsid w:val="6F415FBF"/>
    <w:rsid w:val="6F437BA9"/>
    <w:rsid w:val="6F524050"/>
    <w:rsid w:val="6F5C1230"/>
    <w:rsid w:val="6F614704"/>
    <w:rsid w:val="6F63095A"/>
    <w:rsid w:val="6F8C1F27"/>
    <w:rsid w:val="6FBB0776"/>
    <w:rsid w:val="6FE0629E"/>
    <w:rsid w:val="6FE63B07"/>
    <w:rsid w:val="6FE92F16"/>
    <w:rsid w:val="6FF5141A"/>
    <w:rsid w:val="6FFE46CD"/>
    <w:rsid w:val="70141305"/>
    <w:rsid w:val="70202F08"/>
    <w:rsid w:val="70204EB2"/>
    <w:rsid w:val="702D56CE"/>
    <w:rsid w:val="704E6E9A"/>
    <w:rsid w:val="704F55F3"/>
    <w:rsid w:val="70516995"/>
    <w:rsid w:val="7070716A"/>
    <w:rsid w:val="707D7387"/>
    <w:rsid w:val="7082711C"/>
    <w:rsid w:val="70900ABF"/>
    <w:rsid w:val="70A03792"/>
    <w:rsid w:val="70C139D4"/>
    <w:rsid w:val="70C14F41"/>
    <w:rsid w:val="70C85E77"/>
    <w:rsid w:val="70D07DE0"/>
    <w:rsid w:val="70DF074B"/>
    <w:rsid w:val="70E17439"/>
    <w:rsid w:val="70F25AEA"/>
    <w:rsid w:val="710728D6"/>
    <w:rsid w:val="71080E6A"/>
    <w:rsid w:val="71097952"/>
    <w:rsid w:val="712125C1"/>
    <w:rsid w:val="712E63F7"/>
    <w:rsid w:val="71306BAA"/>
    <w:rsid w:val="71594D33"/>
    <w:rsid w:val="71770F3C"/>
    <w:rsid w:val="718C5009"/>
    <w:rsid w:val="71AF6A35"/>
    <w:rsid w:val="71B65312"/>
    <w:rsid w:val="71B92164"/>
    <w:rsid w:val="71C1345D"/>
    <w:rsid w:val="71DF0B2D"/>
    <w:rsid w:val="720D7D27"/>
    <w:rsid w:val="721970A7"/>
    <w:rsid w:val="721F207B"/>
    <w:rsid w:val="72330757"/>
    <w:rsid w:val="7238370F"/>
    <w:rsid w:val="723F7CBD"/>
    <w:rsid w:val="72423D3C"/>
    <w:rsid w:val="72480BA0"/>
    <w:rsid w:val="725138C5"/>
    <w:rsid w:val="72541131"/>
    <w:rsid w:val="72620926"/>
    <w:rsid w:val="72655822"/>
    <w:rsid w:val="72AA0772"/>
    <w:rsid w:val="72B71B6E"/>
    <w:rsid w:val="72C54B39"/>
    <w:rsid w:val="72D33542"/>
    <w:rsid w:val="72EB2491"/>
    <w:rsid w:val="72F86293"/>
    <w:rsid w:val="72FB055A"/>
    <w:rsid w:val="731B45A4"/>
    <w:rsid w:val="73216B6B"/>
    <w:rsid w:val="73223D39"/>
    <w:rsid w:val="73301622"/>
    <w:rsid w:val="733C129F"/>
    <w:rsid w:val="733D31FE"/>
    <w:rsid w:val="73506BDD"/>
    <w:rsid w:val="73510C58"/>
    <w:rsid w:val="7354438F"/>
    <w:rsid w:val="736A172E"/>
    <w:rsid w:val="73736376"/>
    <w:rsid w:val="737F2F3A"/>
    <w:rsid w:val="73834F73"/>
    <w:rsid w:val="738D4061"/>
    <w:rsid w:val="73AF6C96"/>
    <w:rsid w:val="73C161F4"/>
    <w:rsid w:val="73C33969"/>
    <w:rsid w:val="73C878FB"/>
    <w:rsid w:val="73F531FC"/>
    <w:rsid w:val="740305F1"/>
    <w:rsid w:val="741661E7"/>
    <w:rsid w:val="741950ED"/>
    <w:rsid w:val="741E2752"/>
    <w:rsid w:val="74252D9B"/>
    <w:rsid w:val="742553A1"/>
    <w:rsid w:val="743957DE"/>
    <w:rsid w:val="74470E83"/>
    <w:rsid w:val="745919DD"/>
    <w:rsid w:val="74806D71"/>
    <w:rsid w:val="7483523C"/>
    <w:rsid w:val="748B3D8C"/>
    <w:rsid w:val="74926B16"/>
    <w:rsid w:val="74A57896"/>
    <w:rsid w:val="74B36BD4"/>
    <w:rsid w:val="74B66E2F"/>
    <w:rsid w:val="74BB5821"/>
    <w:rsid w:val="74C66D2B"/>
    <w:rsid w:val="74C74391"/>
    <w:rsid w:val="74D23A3D"/>
    <w:rsid w:val="74D76839"/>
    <w:rsid w:val="74E90984"/>
    <w:rsid w:val="74EA18DC"/>
    <w:rsid w:val="74F87447"/>
    <w:rsid w:val="74FD6C40"/>
    <w:rsid w:val="74FE5C82"/>
    <w:rsid w:val="7502373A"/>
    <w:rsid w:val="7503324B"/>
    <w:rsid w:val="750A647B"/>
    <w:rsid w:val="752F13C9"/>
    <w:rsid w:val="75376EE8"/>
    <w:rsid w:val="75513A71"/>
    <w:rsid w:val="7572331F"/>
    <w:rsid w:val="757C256B"/>
    <w:rsid w:val="757E5938"/>
    <w:rsid w:val="759311F7"/>
    <w:rsid w:val="759A1F6E"/>
    <w:rsid w:val="759B68E5"/>
    <w:rsid w:val="75A4312B"/>
    <w:rsid w:val="75AB270C"/>
    <w:rsid w:val="75B61AC7"/>
    <w:rsid w:val="75BA7197"/>
    <w:rsid w:val="75D93360"/>
    <w:rsid w:val="76077540"/>
    <w:rsid w:val="761F2641"/>
    <w:rsid w:val="76211766"/>
    <w:rsid w:val="76335855"/>
    <w:rsid w:val="76417535"/>
    <w:rsid w:val="764D76B7"/>
    <w:rsid w:val="764F0BA0"/>
    <w:rsid w:val="76515048"/>
    <w:rsid w:val="765777EF"/>
    <w:rsid w:val="765B7F10"/>
    <w:rsid w:val="766C4DAD"/>
    <w:rsid w:val="767939DD"/>
    <w:rsid w:val="768B39A6"/>
    <w:rsid w:val="76B16AD4"/>
    <w:rsid w:val="76BA1844"/>
    <w:rsid w:val="76BB33E2"/>
    <w:rsid w:val="76C71F9C"/>
    <w:rsid w:val="76C84501"/>
    <w:rsid w:val="76D65566"/>
    <w:rsid w:val="76DC5A16"/>
    <w:rsid w:val="76F23CED"/>
    <w:rsid w:val="76FA290F"/>
    <w:rsid w:val="77072E6C"/>
    <w:rsid w:val="772321C6"/>
    <w:rsid w:val="775725EB"/>
    <w:rsid w:val="77623408"/>
    <w:rsid w:val="776D2980"/>
    <w:rsid w:val="77892BF6"/>
    <w:rsid w:val="7792410A"/>
    <w:rsid w:val="779500A7"/>
    <w:rsid w:val="77973F1E"/>
    <w:rsid w:val="77BA7B83"/>
    <w:rsid w:val="77C84A1B"/>
    <w:rsid w:val="77CA01D6"/>
    <w:rsid w:val="77D52550"/>
    <w:rsid w:val="7807223C"/>
    <w:rsid w:val="783074DF"/>
    <w:rsid w:val="78422AC1"/>
    <w:rsid w:val="78424338"/>
    <w:rsid w:val="784B3ED9"/>
    <w:rsid w:val="78533409"/>
    <w:rsid w:val="78803AD2"/>
    <w:rsid w:val="78A95890"/>
    <w:rsid w:val="78B93018"/>
    <w:rsid w:val="78BC0F0D"/>
    <w:rsid w:val="78C86D74"/>
    <w:rsid w:val="78CE1F8A"/>
    <w:rsid w:val="78CF4397"/>
    <w:rsid w:val="78DC41DA"/>
    <w:rsid w:val="78E20EF9"/>
    <w:rsid w:val="78E93ADE"/>
    <w:rsid w:val="78EF1A00"/>
    <w:rsid w:val="79065AB5"/>
    <w:rsid w:val="79077C59"/>
    <w:rsid w:val="79132AA2"/>
    <w:rsid w:val="79416086"/>
    <w:rsid w:val="794644CA"/>
    <w:rsid w:val="794B223C"/>
    <w:rsid w:val="794D7D52"/>
    <w:rsid w:val="79546F23"/>
    <w:rsid w:val="796F63ED"/>
    <w:rsid w:val="79733540"/>
    <w:rsid w:val="797B7AD9"/>
    <w:rsid w:val="798E2F39"/>
    <w:rsid w:val="799534B7"/>
    <w:rsid w:val="79A11E5C"/>
    <w:rsid w:val="79A15D2D"/>
    <w:rsid w:val="79AE0B68"/>
    <w:rsid w:val="79B71F8B"/>
    <w:rsid w:val="79B80F53"/>
    <w:rsid w:val="79C35C3C"/>
    <w:rsid w:val="79CB5891"/>
    <w:rsid w:val="79CB60C5"/>
    <w:rsid w:val="79CD3576"/>
    <w:rsid w:val="79CE42F2"/>
    <w:rsid w:val="79D42231"/>
    <w:rsid w:val="79F71A7C"/>
    <w:rsid w:val="79FD689F"/>
    <w:rsid w:val="7A36248D"/>
    <w:rsid w:val="7A385D2E"/>
    <w:rsid w:val="7A4B766C"/>
    <w:rsid w:val="7A54151E"/>
    <w:rsid w:val="7A572693"/>
    <w:rsid w:val="7A7F6A1E"/>
    <w:rsid w:val="7A856461"/>
    <w:rsid w:val="7A9967AE"/>
    <w:rsid w:val="7AA1145D"/>
    <w:rsid w:val="7AA94628"/>
    <w:rsid w:val="7AAB0E6A"/>
    <w:rsid w:val="7AAE6DEF"/>
    <w:rsid w:val="7AAF72D7"/>
    <w:rsid w:val="7AB731D7"/>
    <w:rsid w:val="7ABF7E05"/>
    <w:rsid w:val="7AC20D73"/>
    <w:rsid w:val="7AC676A0"/>
    <w:rsid w:val="7AE25E5C"/>
    <w:rsid w:val="7AE76E04"/>
    <w:rsid w:val="7AED4CA8"/>
    <w:rsid w:val="7AF17191"/>
    <w:rsid w:val="7AF679AD"/>
    <w:rsid w:val="7B081662"/>
    <w:rsid w:val="7B164183"/>
    <w:rsid w:val="7B256ABC"/>
    <w:rsid w:val="7B396C3C"/>
    <w:rsid w:val="7B3C2E18"/>
    <w:rsid w:val="7B452AA4"/>
    <w:rsid w:val="7B4707E1"/>
    <w:rsid w:val="7B5178B1"/>
    <w:rsid w:val="7B6C2761"/>
    <w:rsid w:val="7B7610C6"/>
    <w:rsid w:val="7B7705E7"/>
    <w:rsid w:val="7B822466"/>
    <w:rsid w:val="7B9D6653"/>
    <w:rsid w:val="7BA93EBE"/>
    <w:rsid w:val="7BB8151E"/>
    <w:rsid w:val="7BB938A7"/>
    <w:rsid w:val="7BC2650E"/>
    <w:rsid w:val="7BDE35DB"/>
    <w:rsid w:val="7BEE611A"/>
    <w:rsid w:val="7C162051"/>
    <w:rsid w:val="7C1A41E0"/>
    <w:rsid w:val="7C3511B2"/>
    <w:rsid w:val="7C382CBD"/>
    <w:rsid w:val="7C4B2553"/>
    <w:rsid w:val="7C4D30F8"/>
    <w:rsid w:val="7C571603"/>
    <w:rsid w:val="7C7346FC"/>
    <w:rsid w:val="7C82580A"/>
    <w:rsid w:val="7CA42566"/>
    <w:rsid w:val="7CA7686B"/>
    <w:rsid w:val="7CA85674"/>
    <w:rsid w:val="7CAE04A4"/>
    <w:rsid w:val="7CB5297B"/>
    <w:rsid w:val="7CC320EC"/>
    <w:rsid w:val="7CC55E61"/>
    <w:rsid w:val="7CE41BCC"/>
    <w:rsid w:val="7CE840C9"/>
    <w:rsid w:val="7CFA3A06"/>
    <w:rsid w:val="7CFE0911"/>
    <w:rsid w:val="7D031664"/>
    <w:rsid w:val="7D065993"/>
    <w:rsid w:val="7D165246"/>
    <w:rsid w:val="7D52589C"/>
    <w:rsid w:val="7D576182"/>
    <w:rsid w:val="7D5D42EC"/>
    <w:rsid w:val="7D6A6A08"/>
    <w:rsid w:val="7D7D3C6D"/>
    <w:rsid w:val="7D9D3A60"/>
    <w:rsid w:val="7D9D5371"/>
    <w:rsid w:val="7D9F5613"/>
    <w:rsid w:val="7DA74661"/>
    <w:rsid w:val="7DAE0FEB"/>
    <w:rsid w:val="7DBC3708"/>
    <w:rsid w:val="7DD60649"/>
    <w:rsid w:val="7E0462D0"/>
    <w:rsid w:val="7E153A97"/>
    <w:rsid w:val="7E257192"/>
    <w:rsid w:val="7E46208E"/>
    <w:rsid w:val="7E6F78B7"/>
    <w:rsid w:val="7E7A59E2"/>
    <w:rsid w:val="7E864025"/>
    <w:rsid w:val="7E8B0515"/>
    <w:rsid w:val="7EA43E8A"/>
    <w:rsid w:val="7F191EFA"/>
    <w:rsid w:val="7F304AA5"/>
    <w:rsid w:val="7F421F36"/>
    <w:rsid w:val="7F613E48"/>
    <w:rsid w:val="7F6141AF"/>
    <w:rsid w:val="7F6652DD"/>
    <w:rsid w:val="7F6A7194"/>
    <w:rsid w:val="7F6E6D71"/>
    <w:rsid w:val="7F7842ED"/>
    <w:rsid w:val="7F806F96"/>
    <w:rsid w:val="7F83434C"/>
    <w:rsid w:val="7F913292"/>
    <w:rsid w:val="7F9B1DF3"/>
    <w:rsid w:val="7FA220B4"/>
    <w:rsid w:val="7FAF1288"/>
    <w:rsid w:val="7FB54037"/>
    <w:rsid w:val="7FBE4DEA"/>
    <w:rsid w:val="7FC25D4D"/>
    <w:rsid w:val="7FCB7EEE"/>
    <w:rsid w:val="7FCF5C28"/>
    <w:rsid w:val="7FD10B7C"/>
    <w:rsid w:val="7FD350D8"/>
    <w:rsid w:val="7FD91C2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o:fill type="gradientUnscaled" v:ext="backwardCompatible"/>
      </v:fill>
      <v:stroke weight="1.25pt" color="#739CC3"/>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9" w:name="heading 3"/>
    <w:lsdException w:qFormat="1" w:unhideWhenUsed="0"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0" w:name="Normal Indent"/>
    <w:lsdException w:uiPriority="0" w:name="footnote text"/>
    <w:lsdException w:qFormat="1" w:uiPriority="99" w:semiHidden="0" w:name="annotation text"/>
    <w:lsdException w:qFormat="1" w:uiPriority="99" w:semiHidden="0" w:name="header"/>
    <w:lsdException w:qFormat="1" w:uiPriority="99" w:semiHidden="0" w:name="footer"/>
    <w:lsdException w:uiPriority="0" w:name="index heading"/>
    <w:lsdException w:qFormat="1" w:unhideWhenUsed="0" w:uiPriority="0" w:semiHidden="0" w:name="caption"/>
    <w:lsdException w:qFormat="1" w:unhideWhenUsed="0" w:uiPriority="0" w:semiHidden="0" w:name="table of figures"/>
    <w:lsdException w:uiPriority="0" w:name="envelope address"/>
    <w:lsdException w:uiPriority="0" w:name="envelope return"/>
    <w:lsdException w:uiPriority="0" w:name="footnote reference"/>
    <w:lsdException w:qFormat="1" w:uiPriority="99" w:semiHidden="0" w:name="annotation reference"/>
    <w:lsdException w:uiPriority="0" w:name="line number"/>
    <w:lsdException w:qFormat="1" w:unhideWhenUsed="0" w:uiPriority="0" w:semiHidden="0" w:name="page number"/>
    <w:lsdException w:uiPriority="0" w:name="endnote reference"/>
    <w:lsdException w:uiPriority="0" w:name="endnote text"/>
    <w:lsdException w:uiPriority="0" w:name="table of authorities"/>
    <w:lsdException w:uiPriority="0" w:name="macro"/>
    <w:lsdException w:qFormat="1" w:unhideWhenUsed="0" w:uiPriority="0" w:semiHidden="0" w:name="toa heading"/>
    <w:lsdException w:uiPriority="0" w:name="List"/>
    <w:lsdException w:uiPriority="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10" w:semiHidden="0" w:name="Title"/>
    <w:lsdException w:uiPriority="0" w:name="Closing"/>
    <w:lsdException w:uiPriority="0" w:name="Signature"/>
    <w:lsdException w:qFormat="1" w:uiPriority="1" w:name="Default Paragraph Font"/>
    <w:lsdException w:qFormat="1" w:unhideWhenUsed="0" w:uiPriority="0" w:semiHidden="0" w:name="Body Text"/>
    <w:lsdException w:qFormat="1" w:uiPriority="99" w:semiHidden="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11" w:semiHidden="0" w:name="Subtitle"/>
    <w:lsdException w:uiPriority="0" w:name="Salutation"/>
    <w:lsdException w:uiPriority="0" w:name="Date"/>
    <w:lsdException w:uiPriority="0" w:name="Body Text First Indent"/>
    <w:lsdException w:qFormat="1" w:uiPriority="99" w:semiHidden="0" w:name="Body Text First Indent 2"/>
    <w:lsdException w:uiPriority="0" w:name="Note Heading"/>
    <w:lsdException w:uiPriority="0" w:name="Body Text 2"/>
    <w:lsdException w:uiPriority="0" w:name="Body Text 3"/>
    <w:lsdException w:qFormat="1" w:unhideWhenUsed="0" w:uiPriority="0" w:semiHidden="0" w:name="Body Text Indent 2"/>
    <w:lsdException w:qFormat="1" w:uiPriority="0" w:semiHidden="0" w:name="Body Text Indent 3"/>
    <w:lsdException w:uiPriority="0" w:name="Block Text"/>
    <w:lsdException w:qFormat="1" w:uiPriority="0" w:name="Hyperlink"/>
    <w:lsdException w:qFormat="1" w:uiPriority="0" w:name="FollowedHyperlink"/>
    <w:lsdException w:qFormat="1" w:unhideWhenUsed="0" w:uiPriority="22" w:semiHidden="0" w:name="Strong"/>
    <w:lsdException w:qFormat="1" w:unhideWhenUsed="0" w:uiPriority="20" w:semiHidden="0" w:name="Emphasis"/>
    <w:lsdException w:qFormat="1" w:uiPriority="99" w:semiHidden="0" w:name="Document Map"/>
    <w:lsdException w:qFormat="1" w:uiPriority="99" w:name="Plain Text"/>
    <w:lsdException w:uiPriority="0" w:name="E-mail Signature"/>
    <w:lsdException w:qFormat="1" w:unhideWhenUsed="0"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iPriority="99"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iPriority="99" w:semiHidden="0" w:name="Balloon Text"/>
    <w:lsdException w:qFormat="1" w:unhideWhenUsed="0" w:uiPriority="39"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黑体"/>
      <w:kern w:val="2"/>
      <w:sz w:val="21"/>
      <w:szCs w:val="22"/>
      <w:lang w:val="en-US" w:eastAsia="zh-CN" w:bidi="ar-SA"/>
    </w:rPr>
  </w:style>
  <w:style w:type="paragraph" w:styleId="2">
    <w:name w:val="heading 1"/>
    <w:basedOn w:val="1"/>
    <w:next w:val="1"/>
    <w:autoRedefine/>
    <w:qFormat/>
    <w:uiPriority w:val="0"/>
    <w:pPr>
      <w:keepNext/>
      <w:keepLines/>
      <w:spacing w:line="360" w:lineRule="auto"/>
      <w:outlineLvl w:val="0"/>
    </w:pPr>
    <w:rPr>
      <w:b/>
      <w:kern w:val="44"/>
      <w:sz w:val="28"/>
    </w:rPr>
  </w:style>
  <w:style w:type="paragraph" w:styleId="3">
    <w:name w:val="heading 2"/>
    <w:basedOn w:val="1"/>
    <w:next w:val="1"/>
    <w:autoRedefine/>
    <w:semiHidden/>
    <w:unhideWhenUsed/>
    <w:qFormat/>
    <w:uiPriority w:val="0"/>
    <w:pPr>
      <w:keepNext/>
      <w:keepLines/>
      <w:spacing w:line="360" w:lineRule="auto"/>
      <w:jc w:val="left"/>
      <w:outlineLvl w:val="1"/>
    </w:pPr>
    <w:rPr>
      <w:b/>
      <w:bCs/>
      <w:sz w:val="24"/>
      <w:szCs w:val="32"/>
    </w:rPr>
  </w:style>
  <w:style w:type="paragraph" w:styleId="4">
    <w:name w:val="heading 3"/>
    <w:basedOn w:val="1"/>
    <w:next w:val="1"/>
    <w:autoRedefine/>
    <w:semiHidden/>
    <w:unhideWhenUsed/>
    <w:qFormat/>
    <w:uiPriority w:val="9"/>
    <w:pPr>
      <w:spacing w:beforeAutospacing="1" w:afterAutospacing="1"/>
      <w:jc w:val="left"/>
      <w:outlineLvl w:val="2"/>
    </w:pPr>
    <w:rPr>
      <w:rFonts w:hint="eastAsia" w:ascii="宋体" w:hAnsi="宋体" w:cs="Times New Roman"/>
      <w:b/>
      <w:bCs/>
      <w:kern w:val="0"/>
      <w:sz w:val="27"/>
      <w:szCs w:val="27"/>
    </w:rPr>
  </w:style>
  <w:style w:type="paragraph" w:styleId="5">
    <w:name w:val="heading 4"/>
    <w:basedOn w:val="1"/>
    <w:next w:val="1"/>
    <w:autoRedefine/>
    <w:qFormat/>
    <w:uiPriority w:val="9"/>
    <w:pPr>
      <w:keepNext/>
      <w:keepLines/>
      <w:spacing w:before="280" w:after="290" w:line="376" w:lineRule="auto"/>
      <w:outlineLvl w:val="3"/>
    </w:pPr>
    <w:rPr>
      <w:rFonts w:ascii="Cambria" w:hAnsi="Cambria" w:cs="宋体"/>
      <w:b/>
      <w:bCs/>
      <w:sz w:val="28"/>
      <w:szCs w:val="28"/>
    </w:rPr>
  </w:style>
  <w:style w:type="character" w:default="1" w:styleId="26">
    <w:name w:val="Default Paragraph Font"/>
    <w:autoRedefine/>
    <w:semiHidden/>
    <w:unhideWhenUsed/>
    <w:qFormat/>
    <w:uiPriority w:val="1"/>
  </w:style>
  <w:style w:type="table" w:default="1" w:styleId="24">
    <w:name w:val="Normal Table"/>
    <w:autoRedefine/>
    <w:semiHidden/>
    <w:unhideWhenUsed/>
    <w:qFormat/>
    <w:uiPriority w:val="99"/>
    <w:tblPr>
      <w:tblCellMar>
        <w:top w:w="0" w:type="dxa"/>
        <w:left w:w="108" w:type="dxa"/>
        <w:bottom w:w="0" w:type="dxa"/>
        <w:right w:w="108" w:type="dxa"/>
      </w:tblCellMar>
    </w:tblPr>
  </w:style>
  <w:style w:type="paragraph" w:styleId="6">
    <w:name w:val="caption"/>
    <w:basedOn w:val="1"/>
    <w:next w:val="1"/>
    <w:autoRedefine/>
    <w:qFormat/>
    <w:uiPriority w:val="0"/>
    <w:rPr>
      <w:rFonts w:ascii="Arial" w:hAnsi="Arial" w:eastAsia="黑体" w:cs="Arial"/>
      <w:sz w:val="20"/>
      <w:szCs w:val="20"/>
    </w:rPr>
  </w:style>
  <w:style w:type="paragraph" w:styleId="7">
    <w:name w:val="Document Map"/>
    <w:basedOn w:val="1"/>
    <w:link w:val="41"/>
    <w:autoRedefine/>
    <w:unhideWhenUsed/>
    <w:qFormat/>
    <w:uiPriority w:val="99"/>
    <w:rPr>
      <w:rFonts w:ascii="宋体"/>
      <w:sz w:val="18"/>
      <w:szCs w:val="18"/>
    </w:rPr>
  </w:style>
  <w:style w:type="paragraph" w:styleId="8">
    <w:name w:val="toa heading"/>
    <w:basedOn w:val="1"/>
    <w:next w:val="1"/>
    <w:autoRedefine/>
    <w:qFormat/>
    <w:uiPriority w:val="0"/>
    <w:pPr>
      <w:spacing w:before="120"/>
    </w:pPr>
    <w:rPr>
      <w:rFonts w:ascii="Arial" w:hAnsi="Arial" w:cs="Arial"/>
    </w:rPr>
  </w:style>
  <w:style w:type="paragraph" w:styleId="9">
    <w:name w:val="annotation text"/>
    <w:basedOn w:val="1"/>
    <w:link w:val="39"/>
    <w:autoRedefine/>
    <w:unhideWhenUsed/>
    <w:qFormat/>
    <w:uiPriority w:val="99"/>
    <w:pPr>
      <w:jc w:val="left"/>
    </w:pPr>
  </w:style>
  <w:style w:type="paragraph" w:styleId="10">
    <w:name w:val="Body Text"/>
    <w:basedOn w:val="1"/>
    <w:next w:val="1"/>
    <w:link w:val="42"/>
    <w:autoRedefine/>
    <w:qFormat/>
    <w:uiPriority w:val="0"/>
    <w:pPr>
      <w:spacing w:after="120"/>
    </w:pPr>
    <w:rPr>
      <w:rFonts w:cs="Times New Roman"/>
      <w:kern w:val="0"/>
      <w:sz w:val="20"/>
      <w:szCs w:val="24"/>
    </w:rPr>
  </w:style>
  <w:style w:type="paragraph" w:styleId="11">
    <w:name w:val="Body Text Indent"/>
    <w:basedOn w:val="1"/>
    <w:next w:val="10"/>
    <w:link w:val="43"/>
    <w:autoRedefine/>
    <w:unhideWhenUsed/>
    <w:qFormat/>
    <w:uiPriority w:val="99"/>
    <w:pPr>
      <w:spacing w:after="120"/>
      <w:ind w:left="420" w:leftChars="200"/>
    </w:pPr>
  </w:style>
  <w:style w:type="paragraph" w:styleId="12">
    <w:name w:val="Plain Text"/>
    <w:basedOn w:val="1"/>
    <w:link w:val="57"/>
    <w:autoRedefine/>
    <w:semiHidden/>
    <w:unhideWhenUsed/>
    <w:qFormat/>
    <w:uiPriority w:val="99"/>
    <w:rPr>
      <w:rFonts w:ascii="宋体" w:hAnsi="Courier New" w:cs="Courier New"/>
      <w:szCs w:val="21"/>
    </w:rPr>
  </w:style>
  <w:style w:type="paragraph" w:styleId="13">
    <w:name w:val="Body Text Indent 2"/>
    <w:basedOn w:val="1"/>
    <w:next w:val="14"/>
    <w:autoRedefine/>
    <w:qFormat/>
    <w:uiPriority w:val="0"/>
    <w:pPr>
      <w:spacing w:after="120" w:line="480" w:lineRule="auto"/>
      <w:ind w:left="420" w:leftChars="200"/>
    </w:pPr>
  </w:style>
  <w:style w:type="paragraph" w:customStyle="1" w:styleId="14">
    <w:name w:val="表格文字"/>
    <w:basedOn w:val="1"/>
    <w:next w:val="1"/>
    <w:autoRedefine/>
    <w:qFormat/>
    <w:uiPriority w:val="99"/>
    <w:pPr>
      <w:jc w:val="center"/>
    </w:pPr>
    <w:rPr>
      <w:rFonts w:ascii="仿宋_GB2312" w:hAnsi="Arial Black" w:eastAsia="仿宋_GB2312"/>
      <w:kern w:val="44"/>
    </w:rPr>
  </w:style>
  <w:style w:type="paragraph" w:styleId="15">
    <w:name w:val="Balloon Text"/>
    <w:basedOn w:val="1"/>
    <w:link w:val="44"/>
    <w:autoRedefine/>
    <w:unhideWhenUsed/>
    <w:qFormat/>
    <w:uiPriority w:val="99"/>
    <w:rPr>
      <w:sz w:val="18"/>
      <w:szCs w:val="18"/>
    </w:rPr>
  </w:style>
  <w:style w:type="paragraph" w:styleId="16">
    <w:name w:val="footer"/>
    <w:basedOn w:val="1"/>
    <w:link w:val="45"/>
    <w:autoRedefine/>
    <w:unhideWhenUsed/>
    <w:qFormat/>
    <w:uiPriority w:val="99"/>
    <w:pPr>
      <w:tabs>
        <w:tab w:val="center" w:pos="4153"/>
        <w:tab w:val="right" w:pos="8306"/>
      </w:tabs>
      <w:snapToGrid w:val="0"/>
      <w:jc w:val="left"/>
    </w:pPr>
    <w:rPr>
      <w:sz w:val="18"/>
      <w:szCs w:val="18"/>
    </w:rPr>
  </w:style>
  <w:style w:type="paragraph" w:styleId="17">
    <w:name w:val="header"/>
    <w:basedOn w:val="1"/>
    <w:link w:val="46"/>
    <w:autoRedefine/>
    <w:unhideWhenUsed/>
    <w:qFormat/>
    <w:uiPriority w:val="99"/>
    <w:pPr>
      <w:pBdr>
        <w:bottom w:val="single" w:color="auto" w:sz="6" w:space="1"/>
      </w:pBdr>
      <w:tabs>
        <w:tab w:val="center" w:pos="4153"/>
        <w:tab w:val="right" w:pos="8306"/>
      </w:tabs>
      <w:snapToGrid w:val="0"/>
      <w:jc w:val="center"/>
    </w:pPr>
    <w:rPr>
      <w:sz w:val="18"/>
      <w:szCs w:val="18"/>
    </w:rPr>
  </w:style>
  <w:style w:type="paragraph" w:styleId="18">
    <w:name w:val="toc 1"/>
    <w:basedOn w:val="1"/>
    <w:next w:val="1"/>
    <w:autoRedefine/>
    <w:qFormat/>
    <w:uiPriority w:val="39"/>
  </w:style>
  <w:style w:type="paragraph" w:styleId="19">
    <w:name w:val="Body Text Indent 3"/>
    <w:basedOn w:val="1"/>
    <w:link w:val="63"/>
    <w:autoRedefine/>
    <w:unhideWhenUsed/>
    <w:qFormat/>
    <w:uiPriority w:val="0"/>
    <w:pPr>
      <w:spacing w:after="120"/>
      <w:ind w:left="420" w:leftChars="200"/>
    </w:pPr>
    <w:rPr>
      <w:rFonts w:cs="Times New Roman"/>
      <w:sz w:val="16"/>
      <w:szCs w:val="16"/>
      <w:lang w:val="zh-CN"/>
    </w:rPr>
  </w:style>
  <w:style w:type="paragraph" w:styleId="20">
    <w:name w:val="table of figures"/>
    <w:basedOn w:val="1"/>
    <w:next w:val="1"/>
    <w:autoRedefine/>
    <w:qFormat/>
    <w:uiPriority w:val="0"/>
    <w:pPr>
      <w:ind w:left="200" w:leftChars="200" w:hanging="200" w:hangingChars="200"/>
    </w:pPr>
    <w:rPr>
      <w:szCs w:val="24"/>
    </w:rPr>
  </w:style>
  <w:style w:type="paragraph" w:styleId="21">
    <w:name w:val="Normal (Web)"/>
    <w:basedOn w:val="1"/>
    <w:autoRedefine/>
    <w:qFormat/>
    <w:uiPriority w:val="0"/>
    <w:pPr>
      <w:widowControl/>
      <w:spacing w:before="100" w:beforeAutospacing="1" w:after="100" w:afterAutospacing="1"/>
      <w:jc w:val="left"/>
    </w:pPr>
    <w:rPr>
      <w:rFonts w:ascii="宋体" w:hAnsi="宋体"/>
      <w:kern w:val="0"/>
      <w:sz w:val="24"/>
      <w:szCs w:val="20"/>
    </w:rPr>
  </w:style>
  <w:style w:type="paragraph" w:styleId="22">
    <w:name w:val="annotation subject"/>
    <w:basedOn w:val="9"/>
    <w:next w:val="9"/>
    <w:link w:val="40"/>
    <w:autoRedefine/>
    <w:unhideWhenUsed/>
    <w:qFormat/>
    <w:uiPriority w:val="99"/>
    <w:rPr>
      <w:b/>
      <w:bCs/>
    </w:rPr>
  </w:style>
  <w:style w:type="paragraph" w:styleId="23">
    <w:name w:val="Body Text First Indent 2"/>
    <w:basedOn w:val="11"/>
    <w:next w:val="1"/>
    <w:autoRedefine/>
    <w:unhideWhenUsed/>
    <w:qFormat/>
    <w:uiPriority w:val="99"/>
    <w:pPr>
      <w:widowControl/>
      <w:ind w:firstLine="420" w:firstLineChars="200"/>
      <w:jc w:val="left"/>
    </w:pPr>
  </w:style>
  <w:style w:type="table" w:styleId="25">
    <w:name w:val="Table Grid"/>
    <w:basedOn w:val="24"/>
    <w:autoRedefine/>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7">
    <w:name w:val="page number"/>
    <w:basedOn w:val="26"/>
    <w:autoRedefine/>
    <w:qFormat/>
    <w:uiPriority w:val="0"/>
  </w:style>
  <w:style w:type="character" w:styleId="28">
    <w:name w:val="FollowedHyperlink"/>
    <w:basedOn w:val="26"/>
    <w:autoRedefine/>
    <w:semiHidden/>
    <w:unhideWhenUsed/>
    <w:qFormat/>
    <w:uiPriority w:val="0"/>
    <w:rPr>
      <w:color w:val="800080"/>
      <w:u w:val="none"/>
    </w:rPr>
  </w:style>
  <w:style w:type="character" w:styleId="29">
    <w:name w:val="Emphasis"/>
    <w:basedOn w:val="26"/>
    <w:autoRedefine/>
    <w:qFormat/>
    <w:uiPriority w:val="20"/>
  </w:style>
  <w:style w:type="character" w:styleId="30">
    <w:name w:val="Hyperlink"/>
    <w:basedOn w:val="26"/>
    <w:autoRedefine/>
    <w:semiHidden/>
    <w:unhideWhenUsed/>
    <w:qFormat/>
    <w:uiPriority w:val="0"/>
    <w:rPr>
      <w:color w:val="0000FF"/>
      <w:u w:val="none"/>
    </w:rPr>
  </w:style>
  <w:style w:type="character" w:styleId="31">
    <w:name w:val="annotation reference"/>
    <w:basedOn w:val="26"/>
    <w:autoRedefine/>
    <w:unhideWhenUsed/>
    <w:qFormat/>
    <w:uiPriority w:val="99"/>
    <w:rPr>
      <w:sz w:val="21"/>
      <w:szCs w:val="21"/>
    </w:rPr>
  </w:style>
  <w:style w:type="paragraph" w:customStyle="1" w:styleId="32">
    <w:name w:val="简单回函地址"/>
    <w:basedOn w:val="1"/>
    <w:next w:val="33"/>
    <w:autoRedefine/>
    <w:qFormat/>
    <w:uiPriority w:val="0"/>
    <w:pPr>
      <w:widowControl/>
    </w:pPr>
    <w:rPr>
      <w:rFonts w:ascii="宋体" w:hAnsi="宋体" w:cs="宋体"/>
      <w:kern w:val="0"/>
      <w:szCs w:val="20"/>
    </w:rPr>
  </w:style>
  <w:style w:type="paragraph" w:customStyle="1" w:styleId="33">
    <w:name w:val="正文2"/>
    <w:basedOn w:val="11"/>
    <w:next w:val="1"/>
    <w:autoRedefine/>
    <w:qFormat/>
    <w:uiPriority w:val="0"/>
    <w:pPr>
      <w:spacing w:line="360" w:lineRule="auto"/>
    </w:pPr>
    <w:rPr>
      <w:rFonts w:eastAsia="仿宋_GB2312"/>
      <w:szCs w:val="28"/>
      <w:lang w:val="zh-CN"/>
    </w:rPr>
  </w:style>
  <w:style w:type="paragraph" w:customStyle="1" w:styleId="34">
    <w:name w:val="正文文字 6"/>
    <w:next w:val="1"/>
    <w:autoRedefine/>
    <w:qFormat/>
    <w:uiPriority w:val="0"/>
    <w:pPr>
      <w:widowControl w:val="0"/>
      <w:ind w:left="240"/>
      <w:jc w:val="both"/>
    </w:pPr>
    <w:rPr>
      <w:rFonts w:ascii="宋体" w:hAnsi="Times New Roman" w:eastAsia="宋体" w:cs="Times New Roman"/>
      <w:b/>
      <w:bCs/>
      <w:kern w:val="2"/>
      <w:sz w:val="32"/>
      <w:szCs w:val="32"/>
      <w:lang w:val="en-US" w:eastAsia="zh-CN" w:bidi="ar-SA"/>
    </w:rPr>
  </w:style>
  <w:style w:type="paragraph" w:customStyle="1" w:styleId="35">
    <w:name w:val="Default"/>
    <w:basedOn w:val="36"/>
    <w:autoRedefine/>
    <w:qFormat/>
    <w:uiPriority w:val="0"/>
    <w:pPr>
      <w:tabs>
        <w:tab w:val="left" w:pos="377"/>
      </w:tabs>
      <w:autoSpaceDE w:val="0"/>
      <w:autoSpaceDN w:val="0"/>
      <w:adjustRightInd w:val="0"/>
    </w:pPr>
    <w:rPr>
      <w:rFonts w:hAnsi="Times New Roman" w:cs="宋体"/>
      <w:color w:val="000000"/>
      <w:sz w:val="24"/>
      <w:szCs w:val="24"/>
    </w:rPr>
  </w:style>
  <w:style w:type="paragraph" w:customStyle="1" w:styleId="36">
    <w:name w:val="纯文本1"/>
    <w:basedOn w:val="1"/>
    <w:autoRedefine/>
    <w:qFormat/>
    <w:uiPriority w:val="0"/>
    <w:rPr>
      <w:rFonts w:ascii="宋体" w:hAnsi="Courier New"/>
    </w:rPr>
  </w:style>
  <w:style w:type="paragraph" w:customStyle="1" w:styleId="37">
    <w:name w:val="表（或图）标题 样式 宋体 五号 居中 SL CON"/>
    <w:basedOn w:val="1"/>
    <w:autoRedefine/>
    <w:qFormat/>
    <w:uiPriority w:val="0"/>
    <w:pPr>
      <w:widowControl/>
      <w:tabs>
        <w:tab w:val="left" w:pos="377"/>
      </w:tabs>
      <w:spacing w:before="100" w:beforeAutospacing="1" w:line="360" w:lineRule="auto"/>
      <w:jc w:val="center"/>
    </w:pPr>
    <w:rPr>
      <w:rFonts w:ascii="宋体" w:hAnsi="宋体" w:cs="宋体"/>
      <w:b/>
      <w:kern w:val="0"/>
      <w:szCs w:val="20"/>
    </w:rPr>
  </w:style>
  <w:style w:type="paragraph" w:customStyle="1" w:styleId="38">
    <w:name w:val="xl27"/>
    <w:basedOn w:val="1"/>
    <w:autoRedefine/>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jc w:val="center"/>
    </w:pPr>
    <w:rPr>
      <w:rFonts w:ascii="新宋体-18030" w:hAnsi="新宋体-18030" w:eastAsia="新宋体-18030" w:cs="新宋体-18030"/>
      <w:kern w:val="0"/>
      <w:sz w:val="24"/>
    </w:rPr>
  </w:style>
  <w:style w:type="character" w:customStyle="1" w:styleId="39">
    <w:name w:val="批注文字 字符"/>
    <w:basedOn w:val="26"/>
    <w:link w:val="9"/>
    <w:autoRedefine/>
    <w:semiHidden/>
    <w:qFormat/>
    <w:uiPriority w:val="99"/>
  </w:style>
  <w:style w:type="character" w:customStyle="1" w:styleId="40">
    <w:name w:val="批注主题 字符"/>
    <w:link w:val="22"/>
    <w:autoRedefine/>
    <w:semiHidden/>
    <w:qFormat/>
    <w:uiPriority w:val="99"/>
    <w:rPr>
      <w:b/>
      <w:bCs/>
    </w:rPr>
  </w:style>
  <w:style w:type="character" w:customStyle="1" w:styleId="41">
    <w:name w:val="文档结构图 字符"/>
    <w:link w:val="7"/>
    <w:autoRedefine/>
    <w:semiHidden/>
    <w:qFormat/>
    <w:uiPriority w:val="99"/>
    <w:rPr>
      <w:rFonts w:ascii="宋体" w:eastAsia="宋体"/>
      <w:sz w:val="18"/>
      <w:szCs w:val="18"/>
    </w:rPr>
  </w:style>
  <w:style w:type="character" w:customStyle="1" w:styleId="42">
    <w:name w:val="正文文本 字符"/>
    <w:link w:val="10"/>
    <w:autoRedefine/>
    <w:qFormat/>
    <w:uiPriority w:val="0"/>
    <w:rPr>
      <w:szCs w:val="24"/>
    </w:rPr>
  </w:style>
  <w:style w:type="character" w:customStyle="1" w:styleId="43">
    <w:name w:val="正文文本缩进 字符"/>
    <w:basedOn w:val="26"/>
    <w:link w:val="11"/>
    <w:autoRedefine/>
    <w:semiHidden/>
    <w:qFormat/>
    <w:uiPriority w:val="99"/>
  </w:style>
  <w:style w:type="character" w:customStyle="1" w:styleId="44">
    <w:name w:val="批注框文本 字符"/>
    <w:link w:val="15"/>
    <w:autoRedefine/>
    <w:semiHidden/>
    <w:qFormat/>
    <w:uiPriority w:val="99"/>
    <w:rPr>
      <w:sz w:val="18"/>
      <w:szCs w:val="18"/>
    </w:rPr>
  </w:style>
  <w:style w:type="character" w:customStyle="1" w:styleId="45">
    <w:name w:val="页脚 字符"/>
    <w:link w:val="16"/>
    <w:autoRedefine/>
    <w:qFormat/>
    <w:uiPriority w:val="99"/>
    <w:rPr>
      <w:sz w:val="18"/>
      <w:szCs w:val="18"/>
    </w:rPr>
  </w:style>
  <w:style w:type="character" w:customStyle="1" w:styleId="46">
    <w:name w:val="页眉 字符"/>
    <w:link w:val="17"/>
    <w:autoRedefine/>
    <w:qFormat/>
    <w:uiPriority w:val="99"/>
    <w:rPr>
      <w:sz w:val="18"/>
      <w:szCs w:val="18"/>
    </w:rPr>
  </w:style>
  <w:style w:type="paragraph" w:customStyle="1" w:styleId="47">
    <w:name w:val="表格文字2"/>
    <w:basedOn w:val="1"/>
    <w:autoRedefine/>
    <w:qFormat/>
    <w:uiPriority w:val="0"/>
    <w:pPr>
      <w:adjustRightInd w:val="0"/>
      <w:spacing w:before="60"/>
      <w:jc w:val="center"/>
      <w:textAlignment w:val="baseline"/>
    </w:pPr>
    <w:rPr>
      <w:rFonts w:ascii="宋体" w:cs="Times New Roman"/>
      <w:kern w:val="0"/>
      <w:sz w:val="24"/>
      <w:szCs w:val="20"/>
    </w:rPr>
  </w:style>
  <w:style w:type="paragraph" w:customStyle="1" w:styleId="48">
    <w:name w:val="表"/>
    <w:basedOn w:val="1"/>
    <w:autoRedefine/>
    <w:qFormat/>
    <w:uiPriority w:val="0"/>
    <w:pPr>
      <w:spacing w:line="240" w:lineRule="exact"/>
    </w:pPr>
    <w:rPr>
      <w:rFonts w:ascii="仿宋_GB2312" w:hAnsi="宋体" w:eastAsia="仿宋_GB2312" w:cs="Times New Roman"/>
      <w:sz w:val="18"/>
      <w:szCs w:val="20"/>
    </w:rPr>
  </w:style>
  <w:style w:type="paragraph" w:customStyle="1" w:styleId="49">
    <w:name w:val="表格内容"/>
    <w:basedOn w:val="1"/>
    <w:next w:val="2"/>
    <w:link w:val="50"/>
    <w:autoRedefine/>
    <w:qFormat/>
    <w:uiPriority w:val="0"/>
    <w:pPr>
      <w:jc w:val="center"/>
    </w:pPr>
    <w:rPr>
      <w:rFonts w:eastAsia="Times New Roman" w:cs="Times New Roman"/>
      <w:kern w:val="0"/>
      <w:sz w:val="20"/>
      <w:szCs w:val="21"/>
    </w:rPr>
  </w:style>
  <w:style w:type="character" w:customStyle="1" w:styleId="50">
    <w:name w:val="表格内容 Char"/>
    <w:link w:val="49"/>
    <w:autoRedefine/>
    <w:qFormat/>
    <w:uiPriority w:val="0"/>
    <w:rPr>
      <w:rFonts w:ascii="Times New Roman" w:hAnsi="Times New Roman" w:eastAsia="Times New Roman" w:cs="Times New Roman"/>
      <w:szCs w:val="21"/>
    </w:rPr>
  </w:style>
  <w:style w:type="paragraph" w:customStyle="1" w:styleId="51">
    <w:name w:val="表格首行"/>
    <w:basedOn w:val="1"/>
    <w:next w:val="1"/>
    <w:autoRedefine/>
    <w:qFormat/>
    <w:uiPriority w:val="0"/>
    <w:pPr>
      <w:jc w:val="center"/>
    </w:pPr>
    <w:rPr>
      <w:rFonts w:cs="宋体"/>
      <w:b/>
      <w:szCs w:val="20"/>
    </w:rPr>
  </w:style>
  <w:style w:type="paragraph" w:customStyle="1" w:styleId="52">
    <w:name w:val="正文-欣欣"/>
    <w:basedOn w:val="12"/>
    <w:next w:val="1"/>
    <w:autoRedefine/>
    <w:qFormat/>
    <w:uiPriority w:val="0"/>
    <w:pPr>
      <w:adjustRightInd w:val="0"/>
      <w:spacing w:line="360" w:lineRule="auto"/>
      <w:ind w:firstLine="200" w:firstLineChars="200"/>
    </w:pPr>
    <w:rPr>
      <w:rFonts w:cs="Times New Roman"/>
      <w:sz w:val="24"/>
      <w:szCs w:val="30"/>
    </w:rPr>
  </w:style>
  <w:style w:type="character" w:customStyle="1" w:styleId="53">
    <w:name w:val="正文文本 Char1"/>
    <w:basedOn w:val="26"/>
    <w:autoRedefine/>
    <w:semiHidden/>
    <w:qFormat/>
    <w:uiPriority w:val="99"/>
  </w:style>
  <w:style w:type="character" w:customStyle="1" w:styleId="54">
    <w:name w:val="占位符文本1"/>
    <w:autoRedefine/>
    <w:semiHidden/>
    <w:qFormat/>
    <w:uiPriority w:val="99"/>
    <w:rPr>
      <w:color w:val="808080"/>
    </w:rPr>
  </w:style>
  <w:style w:type="table" w:customStyle="1" w:styleId="55">
    <w:name w:val="网格型1"/>
    <w:basedOn w:val="24"/>
    <w:autoRedefine/>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56">
    <w:name w:val="网格型2"/>
    <w:basedOn w:val="24"/>
    <w:autoRedefine/>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57">
    <w:name w:val="纯文本 字符"/>
    <w:link w:val="12"/>
    <w:autoRedefine/>
    <w:semiHidden/>
    <w:qFormat/>
    <w:uiPriority w:val="99"/>
    <w:rPr>
      <w:rFonts w:ascii="宋体" w:hAnsi="Courier New" w:cs="Courier New"/>
      <w:kern w:val="2"/>
      <w:sz w:val="21"/>
      <w:szCs w:val="21"/>
    </w:rPr>
  </w:style>
  <w:style w:type="paragraph" w:customStyle="1" w:styleId="58">
    <w:name w:val="章节目录"/>
    <w:basedOn w:val="1"/>
    <w:link w:val="59"/>
    <w:autoRedefine/>
    <w:qFormat/>
    <w:uiPriority w:val="0"/>
    <w:pPr>
      <w:spacing w:line="360" w:lineRule="auto"/>
      <w:outlineLvl w:val="0"/>
    </w:pPr>
    <w:rPr>
      <w:b/>
      <w:sz w:val="28"/>
      <w:szCs w:val="28"/>
    </w:rPr>
  </w:style>
  <w:style w:type="character" w:customStyle="1" w:styleId="59">
    <w:name w:val="章节目录 Char"/>
    <w:link w:val="58"/>
    <w:autoRedefine/>
    <w:qFormat/>
    <w:uiPriority w:val="0"/>
    <w:rPr>
      <w:rFonts w:cs="黑体"/>
      <w:b/>
      <w:kern w:val="2"/>
      <w:sz w:val="28"/>
      <w:szCs w:val="28"/>
    </w:rPr>
  </w:style>
  <w:style w:type="paragraph" w:customStyle="1" w:styleId="60">
    <w:name w:val="Char4 Char Char Char Char Char Char1"/>
    <w:basedOn w:val="1"/>
    <w:autoRedefine/>
    <w:qFormat/>
    <w:uiPriority w:val="0"/>
    <w:pPr>
      <w:spacing w:line="360" w:lineRule="auto"/>
      <w:ind w:firstLine="200" w:firstLineChars="200"/>
    </w:pPr>
    <w:rPr>
      <w:rFonts w:ascii="宋体" w:hAnsi="宋体" w:cs="宋体"/>
      <w:sz w:val="24"/>
      <w:szCs w:val="24"/>
    </w:rPr>
  </w:style>
  <w:style w:type="paragraph" w:customStyle="1" w:styleId="61">
    <w:name w:val="表头"/>
    <w:basedOn w:val="1"/>
    <w:link w:val="62"/>
    <w:autoRedefine/>
    <w:qFormat/>
    <w:uiPriority w:val="0"/>
    <w:pPr>
      <w:spacing w:line="360" w:lineRule="auto"/>
      <w:jc w:val="center"/>
    </w:pPr>
    <w:rPr>
      <w:rFonts w:eastAsia="黑体" w:cs="Times New Roman"/>
      <w:color w:val="FF0000"/>
      <w:szCs w:val="21"/>
    </w:rPr>
  </w:style>
  <w:style w:type="character" w:customStyle="1" w:styleId="62">
    <w:name w:val="表头 Char"/>
    <w:link w:val="61"/>
    <w:autoRedefine/>
    <w:qFormat/>
    <w:uiPriority w:val="0"/>
    <w:rPr>
      <w:rFonts w:eastAsia="黑体"/>
      <w:color w:val="FF0000"/>
      <w:kern w:val="2"/>
      <w:sz w:val="21"/>
      <w:szCs w:val="21"/>
    </w:rPr>
  </w:style>
  <w:style w:type="character" w:customStyle="1" w:styleId="63">
    <w:name w:val="正文文本缩进 3 字符"/>
    <w:link w:val="19"/>
    <w:autoRedefine/>
    <w:qFormat/>
    <w:uiPriority w:val="0"/>
    <w:rPr>
      <w:kern w:val="2"/>
      <w:sz w:val="16"/>
      <w:szCs w:val="16"/>
      <w:lang w:val="zh-CN" w:eastAsia="zh-CN"/>
    </w:rPr>
  </w:style>
  <w:style w:type="paragraph" w:customStyle="1" w:styleId="64">
    <w:name w:val="四级标题"/>
    <w:basedOn w:val="1"/>
    <w:link w:val="65"/>
    <w:autoRedefine/>
    <w:qFormat/>
    <w:uiPriority w:val="0"/>
    <w:pPr>
      <w:spacing w:line="360" w:lineRule="auto"/>
      <w:ind w:firstLine="200" w:firstLineChars="200"/>
      <w:outlineLvl w:val="3"/>
    </w:pPr>
    <w:rPr>
      <w:rFonts w:cs="Times New Roman"/>
      <w:b/>
      <w:sz w:val="24"/>
      <w:szCs w:val="24"/>
    </w:rPr>
  </w:style>
  <w:style w:type="character" w:customStyle="1" w:styleId="65">
    <w:name w:val="四级标题 Char"/>
    <w:link w:val="64"/>
    <w:autoRedefine/>
    <w:qFormat/>
    <w:uiPriority w:val="0"/>
    <w:rPr>
      <w:b/>
      <w:kern w:val="2"/>
      <w:sz w:val="24"/>
      <w:szCs w:val="24"/>
    </w:rPr>
  </w:style>
  <w:style w:type="paragraph" w:customStyle="1" w:styleId="66">
    <w:name w:val="报告表格"/>
    <w:basedOn w:val="1"/>
    <w:link w:val="67"/>
    <w:autoRedefine/>
    <w:qFormat/>
    <w:uiPriority w:val="0"/>
    <w:pPr>
      <w:autoSpaceDE w:val="0"/>
      <w:autoSpaceDN w:val="0"/>
      <w:adjustRightInd w:val="0"/>
      <w:spacing w:before="40" w:after="40"/>
      <w:jc w:val="center"/>
      <w:textAlignment w:val="bottom"/>
    </w:pPr>
    <w:rPr>
      <w:rFonts w:cs="Times New Roman"/>
      <w:kern w:val="0"/>
      <w:szCs w:val="20"/>
    </w:rPr>
  </w:style>
  <w:style w:type="character" w:customStyle="1" w:styleId="67">
    <w:name w:val="报告表格 Char"/>
    <w:link w:val="66"/>
    <w:autoRedefine/>
    <w:qFormat/>
    <w:uiPriority w:val="0"/>
    <w:rPr>
      <w:sz w:val="21"/>
    </w:rPr>
  </w:style>
  <w:style w:type="paragraph" w:styleId="68">
    <w:name w:val="List Paragraph"/>
    <w:basedOn w:val="1"/>
    <w:autoRedefine/>
    <w:qFormat/>
    <w:uiPriority w:val="99"/>
    <w:pPr>
      <w:ind w:firstLine="420" w:firstLineChars="200"/>
    </w:pPr>
  </w:style>
  <w:style w:type="paragraph" w:customStyle="1" w:styleId="69">
    <w:name w:val="宋-正文"/>
    <w:basedOn w:val="1"/>
    <w:autoRedefine/>
    <w:qFormat/>
    <w:uiPriority w:val="0"/>
    <w:pPr>
      <w:autoSpaceDE w:val="0"/>
      <w:autoSpaceDN w:val="0"/>
      <w:adjustRightInd w:val="0"/>
      <w:spacing w:line="360" w:lineRule="auto"/>
      <w:ind w:firstLine="200" w:firstLineChars="200"/>
    </w:pPr>
    <w:rPr>
      <w:kern w:val="0"/>
      <w:sz w:val="24"/>
    </w:rPr>
  </w:style>
  <w:style w:type="paragraph" w:customStyle="1" w:styleId="70">
    <w:name w:val="报告"/>
    <w:basedOn w:val="1"/>
    <w:autoRedefine/>
    <w:qFormat/>
    <w:uiPriority w:val="0"/>
    <w:pPr>
      <w:spacing w:beforeLines="30" w:afterLines="30" w:line="400" w:lineRule="atLeast"/>
      <w:ind w:firstLine="200" w:firstLineChars="200"/>
    </w:pPr>
    <w:rPr>
      <w:rFonts w:ascii="Calibri" w:hAnsi="Calibri" w:cs="Times New Roman"/>
      <w:sz w:val="24"/>
    </w:rPr>
  </w:style>
  <w:style w:type="paragraph" w:customStyle="1" w:styleId="71">
    <w:name w:val="A表内文字"/>
    <w:basedOn w:val="1"/>
    <w:next w:val="1"/>
    <w:autoRedefine/>
    <w:qFormat/>
    <w:uiPriority w:val="0"/>
    <w:pPr>
      <w:autoSpaceDE w:val="0"/>
      <w:autoSpaceDN w:val="0"/>
      <w:adjustRightInd w:val="0"/>
      <w:jc w:val="center"/>
    </w:pPr>
    <w:rPr>
      <w:rFonts w:cs="Times New Roman"/>
      <w:szCs w:val="24"/>
    </w:rPr>
  </w:style>
  <w:style w:type="paragraph" w:customStyle="1" w:styleId="72">
    <w:name w:val="表1"/>
    <w:basedOn w:val="1"/>
    <w:autoRedefine/>
    <w:qFormat/>
    <w:uiPriority w:val="0"/>
    <w:pPr>
      <w:spacing w:line="260" w:lineRule="exact"/>
      <w:jc w:val="center"/>
    </w:pPr>
    <w:rPr>
      <w:sz w:val="18"/>
      <w:szCs w:val="20"/>
    </w:rPr>
  </w:style>
  <w:style w:type="paragraph" w:customStyle="1" w:styleId="73">
    <w:name w:val="正文-蓝色"/>
    <w:basedOn w:val="52"/>
    <w:next w:val="1"/>
    <w:autoRedefine/>
    <w:qFormat/>
    <w:uiPriority w:val="0"/>
    <w:rPr>
      <w:color w:val="FF0000"/>
      <w:szCs w:val="28"/>
    </w:rPr>
  </w:style>
  <w:style w:type="paragraph" w:customStyle="1" w:styleId="74">
    <w:name w:val="1、L表内字"/>
    <w:basedOn w:val="1"/>
    <w:autoRedefine/>
    <w:qFormat/>
    <w:uiPriority w:val="0"/>
    <w:pPr>
      <w:adjustRightInd w:val="0"/>
      <w:snapToGrid w:val="0"/>
      <w:jc w:val="center"/>
    </w:pPr>
    <w:rPr>
      <w:color w:val="000000"/>
      <w:szCs w:val="21"/>
    </w:rPr>
  </w:style>
  <w:style w:type="paragraph" w:customStyle="1" w:styleId="75">
    <w:name w:val="表内字"/>
    <w:basedOn w:val="1"/>
    <w:autoRedefine/>
    <w:qFormat/>
    <w:uiPriority w:val="0"/>
    <w:pPr>
      <w:jc w:val="center"/>
    </w:pPr>
    <w:rPr>
      <w:szCs w:val="18"/>
    </w:rPr>
  </w:style>
  <w:style w:type="paragraph" w:customStyle="1" w:styleId="76">
    <w:name w:val="rpt_表项"/>
    <w:basedOn w:val="1"/>
    <w:autoRedefine/>
    <w:qFormat/>
    <w:uiPriority w:val="0"/>
    <w:pPr>
      <w:spacing w:before="60" w:after="60"/>
      <w:jc w:val="center"/>
    </w:pPr>
    <w:rPr>
      <w:rFonts w:cs="宋体"/>
      <w:sz w:val="22"/>
      <w:szCs w:val="20"/>
    </w:rPr>
  </w:style>
  <w:style w:type="paragraph" w:customStyle="1" w:styleId="77">
    <w:name w:val="样式 表格 32 + 首行缩进:  2 字符"/>
    <w:basedOn w:val="1"/>
    <w:autoRedefine/>
    <w:qFormat/>
    <w:uiPriority w:val="0"/>
    <w:pPr>
      <w:autoSpaceDE w:val="0"/>
      <w:autoSpaceDN w:val="0"/>
      <w:adjustRightInd w:val="0"/>
      <w:spacing w:line="0" w:lineRule="atLeast"/>
      <w:jc w:val="center"/>
      <w:textAlignment w:val="baseline"/>
    </w:pPr>
    <w:rPr>
      <w:szCs w:val="21"/>
    </w:rPr>
  </w:style>
  <w:style w:type="character" w:customStyle="1" w:styleId="78">
    <w:name w:val="NormalCharacter"/>
    <w:autoRedefine/>
    <w:semiHidden/>
    <w:qFormat/>
    <w:uiPriority w:val="0"/>
  </w:style>
  <w:style w:type="paragraph" w:customStyle="1" w:styleId="79">
    <w:name w:val="龚艺正文"/>
    <w:basedOn w:val="1"/>
    <w:autoRedefine/>
    <w:qFormat/>
    <w:uiPriority w:val="0"/>
    <w:pPr>
      <w:overflowPunct w:val="0"/>
      <w:spacing w:line="360" w:lineRule="auto"/>
      <w:ind w:firstLine="200" w:firstLineChars="200"/>
      <w:textAlignment w:val="baseline"/>
    </w:pPr>
    <w:rPr>
      <w:color w:val="000000"/>
      <w:sz w:val="24"/>
    </w:rPr>
  </w:style>
  <w:style w:type="paragraph" w:customStyle="1" w:styleId="80">
    <w:name w:val="宋-表名"/>
    <w:basedOn w:val="81"/>
    <w:next w:val="81"/>
    <w:autoRedefine/>
    <w:qFormat/>
    <w:uiPriority w:val="1"/>
    <w:pPr>
      <w:spacing w:line="240" w:lineRule="auto"/>
      <w:ind w:firstLine="0"/>
      <w:jc w:val="center"/>
    </w:pPr>
    <w:rPr>
      <w:b/>
      <w:sz w:val="21"/>
    </w:rPr>
  </w:style>
  <w:style w:type="paragraph" w:customStyle="1" w:styleId="81">
    <w:name w:val="A6正文"/>
    <w:basedOn w:val="1"/>
    <w:autoRedefine/>
    <w:qFormat/>
    <w:uiPriority w:val="2"/>
    <w:pPr>
      <w:spacing w:line="360" w:lineRule="auto"/>
      <w:ind w:firstLine="482"/>
    </w:pPr>
    <w:rPr>
      <w:sz w:val="24"/>
    </w:rPr>
  </w:style>
  <w:style w:type="paragraph" w:customStyle="1" w:styleId="82">
    <w:name w:val="Normal_0"/>
    <w:autoRedefine/>
    <w:qFormat/>
    <w:uiPriority w:val="0"/>
    <w:pPr>
      <w:widowControl w:val="0"/>
      <w:spacing w:line="360" w:lineRule="auto"/>
      <w:ind w:firstLine="200" w:firstLineChars="200"/>
      <w:jc w:val="both"/>
    </w:pPr>
    <w:rPr>
      <w:rFonts w:ascii="Times New Roman" w:hAnsi="Times New Roman" w:eastAsia="仿宋" w:cs="Times New Roman"/>
      <w:kern w:val="2"/>
      <w:sz w:val="28"/>
      <w:szCs w:val="21"/>
      <w:lang w:val="en-US" w:eastAsia="zh-CN" w:bidi="ar-SA"/>
    </w:rPr>
  </w:style>
  <w:style w:type="paragraph" w:customStyle="1" w:styleId="83">
    <w:name w:val="Normal_0_0"/>
    <w:autoRedefine/>
    <w:qFormat/>
    <w:uiPriority w:val="0"/>
    <w:pPr>
      <w:widowControl w:val="0"/>
      <w:spacing w:line="360" w:lineRule="auto"/>
      <w:ind w:firstLine="200" w:firstLineChars="200"/>
      <w:jc w:val="both"/>
    </w:pPr>
    <w:rPr>
      <w:rFonts w:ascii="Times New Roman" w:hAnsi="Times New Roman" w:eastAsia="仿宋" w:cs="Times New Roman"/>
      <w:kern w:val="2"/>
      <w:sz w:val="28"/>
      <w:szCs w:val="21"/>
      <w:lang w:val="en-US" w:eastAsia="zh-CN" w:bidi="ar-SA"/>
    </w:rPr>
  </w:style>
  <w:style w:type="table" w:customStyle="1" w:styleId="84">
    <w:name w:val="Table Grid_0"/>
    <w:basedOn w:val="24"/>
    <w:autoRedefine/>
    <w:qFormat/>
    <w:uiPriority w:val="0"/>
    <w:rPr>
      <w:rFonts w:eastAsia="仿宋"/>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85">
    <w:name w:val="No Spacing"/>
    <w:autoRedefine/>
    <w:qFormat/>
    <w:uiPriority w:val="1"/>
    <w:pPr>
      <w:widowControl w:val="0"/>
      <w:spacing w:beforeLines="50" w:afterLines="50" w:line="360" w:lineRule="auto"/>
      <w:jc w:val="both"/>
    </w:pPr>
    <w:rPr>
      <w:rFonts w:ascii="Calibri" w:hAnsi="Calibri" w:eastAsia="宋体" w:cs="Times New Roman"/>
      <w:kern w:val="2"/>
      <w:sz w:val="24"/>
      <w:szCs w:val="22"/>
      <w:lang w:val="en-US" w:eastAsia="zh-CN" w:bidi="ar-SA"/>
    </w:rPr>
  </w:style>
  <w:style w:type="character" w:customStyle="1" w:styleId="86">
    <w:name w:val="disabled"/>
    <w:basedOn w:val="26"/>
    <w:autoRedefine/>
    <w:qFormat/>
    <w:uiPriority w:val="0"/>
    <w:rPr>
      <w:vanish/>
    </w:rPr>
  </w:style>
  <w:style w:type="character" w:customStyle="1" w:styleId="87">
    <w:name w:val="znspantitle"/>
    <w:basedOn w:val="26"/>
    <w:autoRedefine/>
    <w:qFormat/>
    <w:uiPriority w:val="0"/>
    <w:rPr>
      <w:b/>
      <w:bCs/>
      <w:color w:val="333333"/>
    </w:rPr>
  </w:style>
  <w:style w:type="character" w:customStyle="1" w:styleId="88">
    <w:name w:val="fontstyle01"/>
    <w:autoRedefine/>
    <w:qFormat/>
    <w:uiPriority w:val="0"/>
    <w:rPr>
      <w:rFonts w:ascii="宋体" w:hAnsi="宋体" w:eastAsia="宋体" w:cs="宋体"/>
      <w:color w:val="000000"/>
      <w:kern w:val="0"/>
      <w:sz w:val="24"/>
      <w:szCs w:val="24"/>
    </w:rPr>
  </w:style>
  <w:style w:type="paragraph" w:customStyle="1" w:styleId="89">
    <w:name w:val="纯文本3"/>
    <w:basedOn w:val="1"/>
    <w:autoRedefine/>
    <w:qFormat/>
    <w:uiPriority w:val="0"/>
    <w:pPr>
      <w:adjustRightInd w:val="0"/>
      <w:spacing w:line="312" w:lineRule="atLeast"/>
      <w:textAlignment w:val="baseline"/>
    </w:pPr>
    <w:rPr>
      <w:caps/>
      <w:kern w:val="0"/>
      <w:szCs w:val="20"/>
    </w:rPr>
  </w:style>
  <w:style w:type="paragraph" w:customStyle="1" w:styleId="90">
    <w:name w:val="+++正文、"/>
    <w:basedOn w:val="1"/>
    <w:autoRedefine/>
    <w:qFormat/>
    <w:uiPriority w:val="0"/>
    <w:pPr>
      <w:autoSpaceDE w:val="0"/>
      <w:autoSpaceDN w:val="0"/>
      <w:adjustRightInd w:val="0"/>
      <w:spacing w:line="360" w:lineRule="auto"/>
      <w:ind w:firstLine="200" w:firstLineChars="200"/>
    </w:pPr>
    <w:rPr>
      <w:rFonts w:ascii="Calibri" w:hAnsi="Calibri" w:cs="Times New Roman"/>
      <w:sz w:val="24"/>
      <w:szCs w:val="24"/>
    </w:rPr>
  </w:style>
  <w:style w:type="paragraph" w:customStyle="1" w:styleId="91">
    <w:name w:val="标准正文"/>
    <w:autoRedefine/>
    <w:qFormat/>
    <w:uiPriority w:val="0"/>
    <w:pPr>
      <w:keepNext/>
      <w:keepLines/>
      <w:snapToGrid w:val="0"/>
      <w:spacing w:before="50" w:beforeLines="50" w:after="50" w:afterLines="50" w:line="360" w:lineRule="auto"/>
      <w:ind w:firstLine="200" w:firstLineChars="200"/>
      <w:jc w:val="both"/>
    </w:pPr>
    <w:rPr>
      <w:rFonts w:ascii="Times New Roman" w:hAnsi="Times New Roman" w:eastAsia="宋体" w:cs="Times New Roman"/>
      <w:sz w:val="24"/>
      <w:szCs w:val="24"/>
      <w:lang w:val="en-US" w:eastAsia="zh-CN" w:bidi="ar-SA"/>
    </w:rPr>
  </w:style>
  <w:style w:type="character" w:customStyle="1" w:styleId="92">
    <w:name w:val="font61"/>
    <w:basedOn w:val="26"/>
    <w:autoRedefine/>
    <w:qFormat/>
    <w:uiPriority w:val="0"/>
    <w:rPr>
      <w:rFonts w:hint="eastAsia" w:ascii="宋体" w:hAnsi="宋体" w:eastAsia="宋体" w:cs="宋体"/>
      <w:color w:val="000000"/>
      <w:sz w:val="28"/>
      <w:szCs w:val="28"/>
      <w:u w:val="none"/>
      <w:vertAlign w:val="superscript"/>
    </w:rPr>
  </w:style>
  <w:style w:type="character" w:customStyle="1" w:styleId="93">
    <w:name w:val="font51"/>
    <w:basedOn w:val="26"/>
    <w:autoRedefine/>
    <w:qFormat/>
    <w:uiPriority w:val="0"/>
    <w:rPr>
      <w:rFonts w:ascii="Calibri" w:hAnsi="Calibri" w:cs="Calibri"/>
      <w:color w:val="000000"/>
      <w:sz w:val="28"/>
      <w:szCs w:val="28"/>
      <w:u w:val="none"/>
    </w:rPr>
  </w:style>
  <w:style w:type="character" w:customStyle="1" w:styleId="94">
    <w:name w:val="font71"/>
    <w:basedOn w:val="26"/>
    <w:autoRedefine/>
    <w:qFormat/>
    <w:uiPriority w:val="0"/>
    <w:rPr>
      <w:rFonts w:hint="eastAsia" w:ascii="宋体" w:hAnsi="宋体" w:eastAsia="宋体" w:cs="宋体"/>
      <w:color w:val="000000"/>
      <w:sz w:val="28"/>
      <w:szCs w:val="28"/>
      <w:u w:val="none"/>
    </w:rPr>
  </w:style>
  <w:style w:type="character" w:customStyle="1" w:styleId="95">
    <w:name w:val="font21"/>
    <w:basedOn w:val="26"/>
    <w:autoRedefine/>
    <w:qFormat/>
    <w:uiPriority w:val="0"/>
    <w:rPr>
      <w:rFonts w:hint="eastAsia" w:ascii="宋体" w:hAnsi="宋体" w:eastAsia="宋体" w:cs="宋体"/>
      <w:color w:val="000000"/>
      <w:sz w:val="18"/>
      <w:szCs w:val="18"/>
      <w:u w:val="none"/>
    </w:rPr>
  </w:style>
  <w:style w:type="paragraph" w:customStyle="1" w:styleId="96">
    <w:name w:val="小四缩进2"/>
    <w:basedOn w:val="1"/>
    <w:autoRedefine/>
    <w:qFormat/>
    <w:uiPriority w:val="0"/>
    <w:pPr>
      <w:adjustRightInd w:val="0"/>
      <w:snapToGrid w:val="0"/>
      <w:spacing w:line="360" w:lineRule="auto"/>
      <w:ind w:firstLine="480" w:firstLineChars="200"/>
    </w:pPr>
    <w:rPr>
      <w:rFonts w:ascii="Calibri" w:hAnsi="Calibri" w:cs="Calibri"/>
      <w:sz w:val="24"/>
      <w:szCs w:val="24"/>
    </w:rPr>
  </w:style>
  <w:style w:type="paragraph" w:customStyle="1" w:styleId="97">
    <w:name w:val="Normal_44"/>
    <w:autoRedefine/>
    <w:qFormat/>
    <w:uiPriority w:val="0"/>
    <w:pPr>
      <w:spacing w:before="120" w:after="240"/>
      <w:jc w:val="both"/>
    </w:pPr>
    <w:rPr>
      <w:rFonts w:ascii="Calibri" w:hAnsi="Calibri" w:eastAsia="Calibri" w:cs="Times New Roman"/>
      <w:sz w:val="22"/>
      <w:szCs w:val="22"/>
      <w:lang w:val="ru-RU" w:eastAsia="en-US" w:bidi="ar-SA"/>
    </w:rPr>
  </w:style>
  <w:style w:type="paragraph" w:customStyle="1" w:styleId="98">
    <w:name w:val="表格"/>
    <w:basedOn w:val="1"/>
    <w:autoRedefine/>
    <w:qFormat/>
    <w:uiPriority w:val="0"/>
    <w:pPr>
      <w:jc w:val="center"/>
    </w:pPr>
    <w:rPr>
      <w:szCs w:val="21"/>
    </w:rPr>
  </w:style>
  <w:style w:type="paragraph" w:customStyle="1" w:styleId="99">
    <w:name w:val="无间隔1"/>
    <w:next w:val="1"/>
    <w:autoRedefine/>
    <w:qFormat/>
    <w:uiPriority w:val="0"/>
    <w:pPr>
      <w:widowControl w:val="0"/>
      <w:jc w:val="center"/>
    </w:pPr>
    <w:rPr>
      <w:rFonts w:ascii="Times New Roman" w:hAnsi="Times New Roman" w:eastAsia="宋体" w:cs="Times New Roman"/>
      <w:kern w:val="2"/>
      <w:sz w:val="21"/>
      <w:szCs w:val="22"/>
      <w:lang w:val="en-US" w:eastAsia="zh-CN" w:bidi="ar-SA"/>
    </w:rPr>
  </w:style>
  <w:style w:type="character" w:customStyle="1" w:styleId="100">
    <w:name w:val="font11"/>
    <w:basedOn w:val="26"/>
    <w:autoRedefine/>
    <w:qFormat/>
    <w:uiPriority w:val="0"/>
    <w:rPr>
      <w:rFonts w:hint="default" w:ascii="Times New Roman" w:hAnsi="Times New Roman" w:cs="Times New Roman"/>
      <w:color w:val="000000"/>
      <w:sz w:val="21"/>
      <w:szCs w:val="21"/>
      <w:u w:val="none"/>
    </w:rPr>
  </w:style>
  <w:style w:type="character" w:customStyle="1" w:styleId="101">
    <w:name w:val="font31"/>
    <w:basedOn w:val="26"/>
    <w:autoRedefine/>
    <w:qFormat/>
    <w:uiPriority w:val="0"/>
    <w:rPr>
      <w:rFonts w:hint="eastAsia" w:ascii="宋体" w:hAnsi="宋体" w:eastAsia="宋体" w:cs="宋体"/>
      <w:color w:val="000000"/>
      <w:sz w:val="21"/>
      <w:szCs w:val="21"/>
      <w:u w:val="none"/>
    </w:rPr>
  </w:style>
  <w:style w:type="paragraph" w:customStyle="1" w:styleId="102">
    <w:name w:val="样式 小四 居中 行距: 固定值 24 磅"/>
    <w:basedOn w:val="1"/>
    <w:autoRedefine/>
    <w:qFormat/>
    <w:uiPriority w:val="0"/>
    <w:pPr>
      <w:spacing w:line="360" w:lineRule="auto"/>
      <w:jc w:val="center"/>
    </w:pPr>
    <w:rPr>
      <w:rFonts w:cs="宋体"/>
      <w:sz w:val="24"/>
      <w:szCs w:val="20"/>
    </w:rPr>
  </w:style>
  <w:style w:type="paragraph" w:customStyle="1" w:styleId="103">
    <w:name w:val="rpt_Cover_项目名称"/>
    <w:basedOn w:val="104"/>
    <w:autoRedefine/>
    <w:qFormat/>
    <w:uiPriority w:val="0"/>
  </w:style>
  <w:style w:type="paragraph" w:customStyle="1" w:styleId="104">
    <w:name w:val="rpt_Cover_项目内容"/>
    <w:basedOn w:val="1"/>
    <w:autoRedefine/>
    <w:qFormat/>
    <w:uiPriority w:val="0"/>
    <w:rPr>
      <w:sz w:val="30"/>
      <w:szCs w:val="30"/>
    </w:rPr>
  </w:style>
  <w:style w:type="paragraph" w:customStyle="1" w:styleId="105">
    <w:name w:val="报告正文"/>
    <w:basedOn w:val="1"/>
    <w:autoRedefine/>
    <w:qFormat/>
    <w:uiPriority w:val="0"/>
    <w:pPr>
      <w:adjustRightInd w:val="0"/>
      <w:snapToGrid w:val="0"/>
      <w:spacing w:line="360" w:lineRule="auto"/>
      <w:ind w:firstLine="200" w:firstLineChars="200"/>
    </w:pPr>
    <w:rPr>
      <w:sz w:val="24"/>
    </w:rPr>
  </w:style>
  <w:style w:type="character" w:customStyle="1" w:styleId="106">
    <w:name w:val="font01"/>
    <w:basedOn w:val="26"/>
    <w:autoRedefine/>
    <w:qFormat/>
    <w:uiPriority w:val="0"/>
    <w:rPr>
      <w:rFonts w:hint="default" w:ascii="Times New Roman" w:hAnsi="Times New Roman" w:cs="Times New Roman"/>
      <w:color w:val="000000"/>
      <w:sz w:val="21"/>
      <w:szCs w:val="21"/>
      <w:u w:val="none"/>
      <w:vertAlign w:val="superscript"/>
    </w:rPr>
  </w:style>
  <w:style w:type="character" w:customStyle="1" w:styleId="107">
    <w:name w:val="font41"/>
    <w:basedOn w:val="26"/>
    <w:autoRedefine/>
    <w:qFormat/>
    <w:uiPriority w:val="0"/>
    <w:rPr>
      <w:rFonts w:hint="default" w:ascii="Times New Roman" w:hAnsi="Times New Roman" w:cs="Times New Roman"/>
      <w:color w:val="000000"/>
      <w:sz w:val="21"/>
      <w:szCs w:val="21"/>
      <w:u w:val="none"/>
    </w:rPr>
  </w:style>
  <w:style w:type="paragraph" w:customStyle="1" w:styleId="108">
    <w:name w:val="正文4"/>
    <w:autoRedefine/>
    <w:qFormat/>
    <w:uiPriority w:val="0"/>
    <w:pPr>
      <w:spacing w:line="360" w:lineRule="auto"/>
      <w:ind w:firstLine="720" w:firstLineChars="200"/>
      <w:jc w:val="both"/>
    </w:pPr>
    <w:rPr>
      <w:rFonts w:ascii="Times New Roman" w:hAnsi="Times New Roman" w:eastAsia="宋体" w:cs="Times New Roman"/>
      <w:kern w:val="2"/>
      <w:sz w:val="21"/>
      <w:szCs w:val="21"/>
      <w:lang w:val="en-US" w:eastAsia="zh-CN" w:bidi="ar-SA"/>
    </w:rPr>
  </w:style>
  <w:style w:type="paragraph" w:customStyle="1" w:styleId="109">
    <w:name w:val="WPSOffice手动目录 1"/>
    <w:autoRedefine/>
    <w:qFormat/>
    <w:uiPriority w:val="0"/>
    <w:rPr>
      <w:rFonts w:ascii="Times New Roman" w:hAnsi="Times New Roman" w:eastAsia="宋体" w:cs="Times New Roman"/>
      <w:lang w:val="en-US" w:eastAsia="zh-CN" w:bidi="ar-SA"/>
    </w:rPr>
  </w:style>
  <w:style w:type="table" w:customStyle="1" w:styleId="110">
    <w:name w:val="Table Normal"/>
    <w:semiHidden/>
    <w:unhideWhenUsed/>
    <w:qFormat/>
    <w:uiPriority w:val="0"/>
    <w:tblPr>
      <w:tblCellMar>
        <w:top w:w="0" w:type="dxa"/>
        <w:left w:w="0" w:type="dxa"/>
        <w:bottom w:w="0" w:type="dxa"/>
        <w:right w:w="0" w:type="dxa"/>
      </w:tblCellMar>
    </w:tblPr>
  </w:style>
  <w:style w:type="paragraph" w:customStyle="1" w:styleId="111">
    <w:name w:val="Table Text"/>
    <w:basedOn w:val="1"/>
    <w:semiHidden/>
    <w:qFormat/>
    <w:uiPriority w:val="0"/>
    <w:rPr>
      <w:rFonts w:ascii="宋体" w:hAnsi="宋体" w:eastAsia="宋体" w:cs="宋体"/>
      <w:sz w:val="20"/>
      <w:szCs w:val="20"/>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4.tiff"/><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6" Type="http://schemas.openxmlformats.org/officeDocument/2006/relationships/fontTable" Target="fontTable.xml"/><Relationship Id="rId25" Type="http://schemas.openxmlformats.org/officeDocument/2006/relationships/numbering" Target="numbering.xml"/><Relationship Id="rId24" Type="http://schemas.openxmlformats.org/officeDocument/2006/relationships/customXml" Target="../customXml/item1.xml"/><Relationship Id="rId23" Type="http://schemas.openxmlformats.org/officeDocument/2006/relationships/image" Target="media/image15.wmf"/><Relationship Id="rId22" Type="http://schemas.openxmlformats.org/officeDocument/2006/relationships/oleObject" Target="embeddings/oleObject3.bin"/><Relationship Id="rId21" Type="http://schemas.openxmlformats.org/officeDocument/2006/relationships/image" Target="media/image14.pn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wmf"/><Relationship Id="rId16" Type="http://schemas.openxmlformats.org/officeDocument/2006/relationships/oleObject" Target="embeddings/oleObject2.bin"/><Relationship Id="rId15" Type="http://schemas.openxmlformats.org/officeDocument/2006/relationships/image" Target="media/image9.png"/><Relationship Id="rId14" Type="http://schemas.openxmlformats.org/officeDocument/2006/relationships/image" Target="media/image8.emf"/><Relationship Id="rId13" Type="http://schemas.openxmlformats.org/officeDocument/2006/relationships/oleObject" Target="embeddings/oleObject1.bin"/><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75</Pages>
  <Words>7383</Words>
  <Characters>7799</Characters>
  <Lines>489</Lines>
  <Paragraphs>137</Paragraphs>
  <TotalTime>35</TotalTime>
  <ScaleCrop>false</ScaleCrop>
  <LinksUpToDate>false</LinksUpToDate>
  <CharactersWithSpaces>7954</CharactersWithSpaces>
  <Application>WPS Office_12.1.0.18912_F1E327BC-269C-435d-A152-05C5408002CA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2024-03-21T01:41:00Z</dcterms:created>
  <dc:creator>Yc.</dc:creator>
  <cp:lastModifiedBy>idiot</cp:lastModifiedBy>
  <cp:lastPrinted>2024-04-24T04:12:00Z</cp:lastPrinted>
  <dcterms:modified xsi:type="dcterms:W3CDTF">2024-11-25T02:08:49Z</dcterms:modified>
  <dc:title>建设项目环境影响报告表</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2052-12.1.0.18912</vt:lpwstr>
  </property>
  <property fmtid="{D5CDD505-2E9C-101B-9397-08002B2CF9AE}" pid="3" name="ICV">
    <vt:lpwstr>E202C11524484B5FB77E215CA34D4D9E_13</vt:lpwstr>
  </property>
</Properties>
</file>