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Style w:val="5"/>
          <w:rFonts w:hint="eastAsia" w:ascii="方正小标宋简体" w:hAnsi="方正小标宋简体" w:eastAsia="方正小标宋简体" w:cs="方正小标宋简体"/>
        </w:rPr>
      </w:pPr>
      <w:r>
        <w:rPr>
          <w:rStyle w:val="4"/>
          <w:rFonts w:hint="eastAsia" w:ascii="方正小标宋简体" w:hAnsi="方正小标宋简体" w:eastAsia="方正小标宋简体" w:cs="方正小标宋简体"/>
        </w:rPr>
        <w:t>20</w:t>
      </w:r>
      <w:r>
        <w:rPr>
          <w:rStyle w:val="4"/>
          <w:rFonts w:hint="eastAsia" w:ascii="方正小标宋简体" w:hAnsi="方正小标宋简体" w:eastAsia="方正小标宋简体" w:cs="方正小标宋简体"/>
          <w:lang w:val="en-US" w:eastAsia="zh-CN"/>
        </w:rPr>
        <w:t>24</w:t>
      </w:r>
      <w:r>
        <w:rPr>
          <w:rStyle w:val="5"/>
          <w:rFonts w:hint="eastAsia" w:ascii="方正小标宋简体" w:hAnsi="方正小标宋简体" w:eastAsia="方正小标宋简体" w:cs="方正小标宋简体"/>
        </w:rPr>
        <w:t>年</w:t>
      </w:r>
      <w:r>
        <w:rPr>
          <w:rStyle w:val="5"/>
          <w:rFonts w:hint="eastAsia" w:ascii="方正小标宋简体" w:hAnsi="方正小标宋简体" w:eastAsia="方正小标宋简体" w:cs="方正小标宋简体"/>
          <w:lang w:eastAsia="zh-CN"/>
        </w:rPr>
        <w:t>上级</w:t>
      </w:r>
      <w:r>
        <w:rPr>
          <w:rStyle w:val="6"/>
          <w:rFonts w:hint="eastAsia" w:ascii="方正小标宋简体" w:hAnsi="方正小标宋简体" w:eastAsia="方正小标宋简体" w:cs="方正小标宋简体"/>
        </w:rPr>
        <w:t>对</w:t>
      </w:r>
      <w:r>
        <w:rPr>
          <w:rStyle w:val="6"/>
          <w:rFonts w:hint="eastAsia" w:ascii="方正小标宋简体" w:hAnsi="方正小标宋简体" w:eastAsia="方正小标宋简体" w:cs="方正小标宋简体"/>
          <w:lang w:eastAsia="zh-CN"/>
        </w:rPr>
        <w:t>通川</w:t>
      </w:r>
      <w:r>
        <w:rPr>
          <w:rStyle w:val="5"/>
          <w:rFonts w:hint="eastAsia" w:ascii="方正小标宋简体" w:hAnsi="方正小标宋简体" w:eastAsia="方正小标宋简体" w:cs="方正小标宋简体"/>
        </w:rPr>
        <w:t>区税收返</w:t>
      </w:r>
      <w:r>
        <w:rPr>
          <w:rStyle w:val="6"/>
          <w:rFonts w:hint="eastAsia" w:ascii="方正小标宋简体" w:hAnsi="方正小标宋简体" w:eastAsia="方正小标宋简体" w:cs="方正小标宋简体"/>
        </w:rPr>
        <w:t>还</w:t>
      </w:r>
      <w:r>
        <w:rPr>
          <w:rStyle w:val="5"/>
          <w:rFonts w:hint="eastAsia" w:ascii="方正小标宋简体" w:hAnsi="方正小标宋简体" w:eastAsia="方正小标宋简体" w:cs="方正小标宋简体"/>
        </w:rPr>
        <w:t>和</w:t>
      </w:r>
      <w:r>
        <w:rPr>
          <w:rStyle w:val="6"/>
          <w:rFonts w:hint="eastAsia" w:ascii="方正小标宋简体" w:hAnsi="方正小标宋简体" w:eastAsia="方正小标宋简体" w:cs="方正小标宋简体"/>
        </w:rPr>
        <w:t>转</w:t>
      </w:r>
      <w:r>
        <w:rPr>
          <w:rStyle w:val="5"/>
          <w:rFonts w:hint="eastAsia" w:ascii="方正小标宋简体" w:hAnsi="方正小标宋简体" w:eastAsia="方正小标宋简体" w:cs="方正小标宋简体"/>
        </w:rPr>
        <w:t>移支付</w:t>
      </w:r>
      <w:r>
        <w:rPr>
          <w:rStyle w:val="6"/>
          <w:rFonts w:hint="eastAsia" w:ascii="方正小标宋简体" w:hAnsi="方正小标宋简体" w:eastAsia="方正小标宋简体" w:cs="方正小标宋简体"/>
        </w:rPr>
        <w:t>补</w:t>
      </w:r>
      <w:r>
        <w:rPr>
          <w:rStyle w:val="5"/>
          <w:rFonts w:hint="eastAsia" w:ascii="方正小标宋简体" w:hAnsi="方正小标宋简体" w:eastAsia="方正小标宋简体" w:cs="方正小标宋简体"/>
        </w:rPr>
        <w:t>助</w:t>
      </w:r>
      <w:r>
        <w:rPr>
          <w:rStyle w:val="6"/>
          <w:rFonts w:hint="eastAsia" w:ascii="方正小标宋简体" w:hAnsi="方正小标宋简体" w:eastAsia="方正小标宋简体" w:cs="方正小标宋简体"/>
        </w:rPr>
        <w:t>预</w:t>
      </w:r>
      <w:r>
        <w:rPr>
          <w:rStyle w:val="5"/>
          <w:rFonts w:hint="eastAsia" w:ascii="方正小标宋简体" w:hAnsi="方正小标宋简体" w:eastAsia="方正小标宋简体" w:cs="方正小标宋简体"/>
        </w:rPr>
        <w:t>算的</w:t>
      </w:r>
      <w:r>
        <w:rPr>
          <w:rStyle w:val="6"/>
          <w:rFonts w:hint="eastAsia" w:ascii="方正小标宋简体" w:hAnsi="方正小标宋简体" w:eastAsia="方正小标宋简体" w:cs="方正小标宋简体"/>
        </w:rPr>
        <w:t>说</w:t>
      </w:r>
      <w:r>
        <w:rPr>
          <w:rStyle w:val="6"/>
          <w:rFonts w:hint="eastAsia" w:ascii="方正小标宋简体" w:hAnsi="方正小标宋简体" w:eastAsia="方正小标宋简体" w:cs="方正小标宋简体"/>
          <w:lang w:eastAsia="zh-CN"/>
        </w:rPr>
        <w:t>明</w:t>
      </w:r>
    </w:p>
    <w:p>
      <w:pPr>
        <w:widowControl/>
        <w:spacing w:line="580" w:lineRule="exact"/>
        <w:ind w:left="105" w:leftChars="50" w:firstLine="480" w:firstLineChars="150"/>
        <w:jc w:val="left"/>
        <w:rPr>
          <w:rStyle w:val="7"/>
          <w:rFonts w:hint="default" w:ascii="Times New Roman" w:hAnsi="Times New Roman" w:cs="Times New Roman"/>
        </w:rPr>
      </w:pPr>
    </w:p>
    <w:p>
      <w:pPr>
        <w:widowControl/>
        <w:spacing w:line="580" w:lineRule="exact"/>
        <w:ind w:left="105" w:leftChars="50" w:firstLine="640" w:firstLineChars="200"/>
        <w:jc w:val="both"/>
        <w:rPr>
          <w:rStyle w:val="7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20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上级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对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  <w:lang w:eastAsia="zh-CN"/>
        </w:rPr>
        <w:t>通川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区税收返还和转移支付预算数为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174393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万元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具体情况如下：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Style w:val="7"/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一、上级补助转移支付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Style w:val="7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为加快建立权责清晰、财力协调、区域均衡的市区财政关系，进一步提升市对区转移支付制度的规范性、科学性、有效性，按照中、省关于完善转移支付制度相关文件精神，从编制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2021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年市对区转移支付预算起，将市对区转移支付调整完善为一般性转移支付、共同财政事权转移支付和专项转移支付等三大类，为与预算法规定相衔接，暂将共同财政事权转移支付列入一般性转移支付。</w:t>
      </w:r>
    </w:p>
    <w:p>
      <w:pPr>
        <w:widowControl/>
        <w:spacing w:line="580" w:lineRule="exact"/>
        <w:ind w:firstLine="640" w:firstLineChars="200"/>
        <w:jc w:val="both"/>
        <w:rPr>
          <w:rStyle w:val="8"/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Style w:val="8"/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Style w:val="8"/>
          <w:rFonts w:hint="eastAsia" w:ascii="方正楷体简体" w:hAnsi="方正楷体简体" w:eastAsia="方正楷体简体" w:cs="方正楷体简体"/>
          <w:sz w:val="32"/>
          <w:szCs w:val="32"/>
        </w:rPr>
        <w:t>一</w:t>
      </w:r>
      <w:r>
        <w:rPr>
          <w:rStyle w:val="8"/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Style w:val="8"/>
          <w:rFonts w:hint="eastAsia" w:ascii="方正楷体简体" w:hAnsi="方正楷体简体" w:eastAsia="方正楷体简体" w:cs="方正楷体简体"/>
          <w:sz w:val="32"/>
          <w:szCs w:val="32"/>
        </w:rPr>
        <w:t>一般性转移支付</w:t>
      </w:r>
      <w:r>
        <w:rPr>
          <w:rStyle w:val="8"/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收入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年一般性转移支付预算数为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106065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万元，主要如下：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1.均衡性转移支付预算数为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71480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万元。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2.县级基本财力保障机制奖补资金预算数为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10086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万元。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.社会保障和就业共同财政事权转移支付收入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11557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万元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医疗卫生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共同财政事权转移支付收入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7488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万元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.农林水共同财政事权转移支付收入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5454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万元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widowControl/>
        <w:spacing w:line="580" w:lineRule="exact"/>
        <w:ind w:left="105" w:leftChars="50" w:firstLine="640" w:firstLineChars="200"/>
        <w:jc w:val="both"/>
        <w:rPr>
          <w:rStyle w:val="8"/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Style w:val="8"/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Style w:val="8"/>
          <w:rFonts w:hint="eastAsia" w:ascii="方正楷体简体" w:hAnsi="方正楷体简体" w:eastAsia="方正楷体简体" w:cs="方正楷体简体"/>
          <w:sz w:val="32"/>
          <w:szCs w:val="32"/>
        </w:rPr>
        <w:t>二</w:t>
      </w:r>
      <w:r>
        <w:rPr>
          <w:rStyle w:val="8"/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Style w:val="8"/>
          <w:rFonts w:hint="eastAsia" w:ascii="方正楷体简体" w:hAnsi="方正楷体简体" w:eastAsia="方正楷体简体" w:cs="方正楷体简体"/>
          <w:sz w:val="32"/>
          <w:szCs w:val="32"/>
        </w:rPr>
        <w:t>专项转移支付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年达州市对通川区专项转移支付预算数为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59173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万元。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1.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城乡社区专项补助收入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为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59165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万元。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2.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农林水专项补助收入为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万元。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8"/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二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</w:rPr>
        <w:t>、</w:t>
      </w:r>
      <w:r>
        <w:rPr>
          <w:rStyle w:val="8"/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返还性收入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20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  <w:lang w:eastAsia="zh-CN"/>
        </w:rPr>
        <w:t>上级补助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税收返还预算数为9155万元。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Style w:val="7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增值税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  <w:lang w:eastAsia="zh-CN"/>
        </w:rPr>
        <w:t>和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消费税税收返还预算数为5512万元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2.所得税基数返还预算数为1742万元。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3.成品油税费改革税收返还预算数为708万元。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  <w:rPr>
          <w:rStyle w:val="7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4.其他税收返还预算数为-3308万元。</w:t>
      </w: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both"/>
      </w:pP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5</w:t>
      </w:r>
      <w:r>
        <w:rPr>
          <w:rStyle w:val="7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.</w:t>
      </w:r>
      <w:bookmarkStart w:id="0" w:name="_GoBack"/>
      <w:bookmarkEnd w:id="0"/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增值税“五五分”税收返还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  <w:lang w:eastAsia="zh-CN"/>
        </w:rPr>
        <w:t>预算数为</w:t>
      </w:r>
      <w:r>
        <w:rPr>
          <w:rStyle w:val="7"/>
          <w:rFonts w:hint="default" w:ascii="Times New Roman" w:hAnsi="Times New Roman" w:eastAsia="方正仿宋简体" w:cs="Times New Roman"/>
          <w:sz w:val="32"/>
          <w:szCs w:val="32"/>
        </w:rPr>
        <w:t>4501万元。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-UIGothic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zFkNTcxZDk3ZTgyMDZjNzNkYWFlYTBmNzA4OWQifQ=="/>
  </w:docVars>
  <w:rsids>
    <w:rsidRoot w:val="22931EAC"/>
    <w:rsid w:val="01D743EA"/>
    <w:rsid w:val="03D853B0"/>
    <w:rsid w:val="22931EAC"/>
    <w:rsid w:val="28BB4440"/>
    <w:rsid w:val="31093867"/>
    <w:rsid w:val="4C014A33"/>
    <w:rsid w:val="5D77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autoRedefine/>
    <w:qFormat/>
    <w:uiPriority w:val="0"/>
    <w:rPr>
      <w:rFonts w:hint="default" w:ascii="TimesNewRomanPSMT" w:hAnsi="TimesNewRomanPSMT"/>
      <w:color w:val="000000"/>
      <w:sz w:val="44"/>
      <w:szCs w:val="44"/>
    </w:rPr>
  </w:style>
  <w:style w:type="character" w:customStyle="1" w:styleId="5">
    <w:name w:val="fontstyle21"/>
    <w:basedOn w:val="3"/>
    <w:autoRedefine/>
    <w:qFormat/>
    <w:uiPriority w:val="0"/>
    <w:rPr>
      <w:rFonts w:hint="default" w:ascii="MS-UIGothic" w:hAnsi="MS-UIGothic"/>
      <w:color w:val="000000"/>
      <w:sz w:val="44"/>
      <w:szCs w:val="44"/>
    </w:rPr>
  </w:style>
  <w:style w:type="character" w:customStyle="1" w:styleId="6">
    <w:name w:val="fontstyle31"/>
    <w:basedOn w:val="3"/>
    <w:autoRedefine/>
    <w:qFormat/>
    <w:uiPriority w:val="0"/>
    <w:rPr>
      <w:rFonts w:hint="eastAsia" w:ascii="PMingLiU" w:hAnsi="PMingLiU" w:eastAsia="PMingLiU"/>
      <w:color w:val="000000"/>
      <w:sz w:val="44"/>
      <w:szCs w:val="44"/>
    </w:rPr>
  </w:style>
  <w:style w:type="character" w:customStyle="1" w:styleId="7">
    <w:name w:val="fontstyle41"/>
    <w:basedOn w:val="3"/>
    <w:autoRedefine/>
    <w:qFormat/>
    <w:uiPriority w:val="0"/>
    <w:rPr>
      <w:rFonts w:hint="default" w:ascii="仿宋" w:hAnsi="仿宋"/>
      <w:color w:val="000000"/>
      <w:sz w:val="32"/>
      <w:szCs w:val="32"/>
    </w:rPr>
  </w:style>
  <w:style w:type="character" w:customStyle="1" w:styleId="8">
    <w:name w:val="fontstyle51"/>
    <w:basedOn w:val="3"/>
    <w:autoRedefine/>
    <w:qFormat/>
    <w:uiPriority w:val="0"/>
    <w:rPr>
      <w:rFonts w:hint="default" w:ascii="仿宋" w:hAnsi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2024-03-18T07:10:00Z</dcterms:created>
  <dc:creator>Q</dc:creator>
  <cp:lastModifiedBy>Q</cp:lastModifiedBy>
  <dcterms:modified xsi:type="dcterms:W3CDTF">2024-03-18T11:43:29Z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05D8B5D5064C4DACA1A2540F15141BF1_13</vt:lpwstr>
  </property>
</Properties>
</file>