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仿宋_GB2312"/>
          <w:sz w:val="36"/>
          <w:szCs w:val="36"/>
        </w:rPr>
      </w:pPr>
    </w:p>
    <w:p>
      <w:pPr>
        <w:rPr>
          <w:rFonts w:eastAsia="仿宋_GB2312"/>
          <w:sz w:val="36"/>
          <w:szCs w:val="36"/>
        </w:rPr>
      </w:pPr>
    </w:p>
    <w:p>
      <w:pPr>
        <w:rPr>
          <w:rFonts w:eastAsia="仿宋_GB2312"/>
          <w:sz w:val="36"/>
          <w:szCs w:val="36"/>
        </w:rPr>
      </w:pPr>
    </w:p>
    <w:p>
      <w:pPr>
        <w:adjustRightInd w:val="0"/>
        <w:snapToGrid w:val="0"/>
        <w:jc w:val="center"/>
        <w:outlineLvl w:val="0"/>
        <w:rPr>
          <w:rFonts w:eastAsia="方正小标宋_GBK"/>
          <w:bCs/>
          <w:sz w:val="72"/>
          <w:szCs w:val="72"/>
        </w:rPr>
      </w:pPr>
      <w:r>
        <w:rPr>
          <w:rFonts w:eastAsia="方正小标宋_GBK"/>
          <w:bCs/>
          <w:sz w:val="72"/>
          <w:szCs w:val="72"/>
        </w:rPr>
        <w:t>建设项目环境影响报告表</w:t>
      </w:r>
    </w:p>
    <w:p>
      <w:pPr>
        <w:adjustRightInd w:val="0"/>
        <w:snapToGrid w:val="0"/>
        <w:spacing w:before="192" w:beforeLines="80"/>
        <w:jc w:val="center"/>
        <w:rPr>
          <w:rFonts w:eastAsia="楷体_GB2312"/>
          <w:bCs/>
          <w:sz w:val="48"/>
          <w:szCs w:val="48"/>
        </w:rPr>
      </w:pPr>
      <w:r>
        <w:rPr>
          <w:rFonts w:eastAsia="楷体_GB2312"/>
          <w:bCs/>
          <w:sz w:val="48"/>
          <w:szCs w:val="48"/>
        </w:rPr>
        <w:t>（污染影响类）</w:t>
      </w:r>
    </w:p>
    <w:p>
      <w:pPr>
        <w:adjustRightInd w:val="0"/>
        <w:snapToGrid w:val="0"/>
        <w:spacing w:line="288" w:lineRule="auto"/>
        <w:jc w:val="center"/>
        <w:rPr>
          <w:rFonts w:eastAsia="华文仿宋"/>
          <w:kern w:val="44"/>
          <w:sz w:val="36"/>
          <w:szCs w:val="32"/>
        </w:rPr>
      </w:pPr>
    </w:p>
    <w:p>
      <w:pPr>
        <w:adjustRightInd w:val="0"/>
        <w:snapToGrid w:val="0"/>
        <w:spacing w:line="288" w:lineRule="auto"/>
        <w:jc w:val="center"/>
        <w:rPr>
          <w:rFonts w:eastAsia="华文仿宋"/>
          <w:kern w:val="44"/>
          <w:sz w:val="36"/>
          <w:szCs w:val="32"/>
        </w:rPr>
      </w:pPr>
      <w:r>
        <w:rPr>
          <w:rFonts w:eastAsia="华文仿宋"/>
          <w:kern w:val="44"/>
          <w:sz w:val="36"/>
          <w:szCs w:val="32"/>
        </w:rPr>
        <w:t>（</w:t>
      </w:r>
      <w:r>
        <w:rPr>
          <w:rFonts w:hint="eastAsia" w:eastAsia="华文仿宋"/>
          <w:kern w:val="44"/>
          <w:sz w:val="36"/>
          <w:szCs w:val="32"/>
          <w:lang w:val="en-US" w:eastAsia="zh-CN"/>
        </w:rPr>
        <w:t>公示本</w:t>
      </w:r>
      <w:r>
        <w:rPr>
          <w:rFonts w:eastAsia="华文仿宋"/>
          <w:kern w:val="44"/>
          <w:sz w:val="36"/>
          <w:szCs w:val="32"/>
        </w:rPr>
        <w:t>）</w:t>
      </w:r>
    </w:p>
    <w:p>
      <w:pPr>
        <w:jc w:val="center"/>
        <w:rPr>
          <w:rFonts w:eastAsia="仿宋"/>
          <w:sz w:val="52"/>
          <w:szCs w:val="52"/>
        </w:rPr>
      </w:pPr>
    </w:p>
    <w:p>
      <w:pPr>
        <w:pStyle w:val="15"/>
      </w:pPr>
    </w:p>
    <w:p>
      <w:pPr>
        <w:ind w:firstLine="1040"/>
        <w:rPr>
          <w:rFonts w:eastAsia="仿宋"/>
          <w:sz w:val="44"/>
          <w:szCs w:val="44"/>
        </w:rPr>
      </w:pPr>
    </w:p>
    <w:p>
      <w:pPr>
        <w:pStyle w:val="15"/>
      </w:pPr>
    </w:p>
    <w:p>
      <w:pPr>
        <w:ind w:firstLine="1040"/>
        <w:rPr>
          <w:rFonts w:eastAsia="仿宋"/>
          <w:sz w:val="44"/>
          <w:szCs w:val="44"/>
        </w:rPr>
      </w:pPr>
    </w:p>
    <w:tbl>
      <w:tblPr>
        <w:tblStyle w:val="21"/>
        <w:tblW w:w="0" w:type="auto"/>
        <w:jc w:val="center"/>
        <w:tblLayout w:type="fixed"/>
        <w:tblCellMar>
          <w:top w:w="0" w:type="dxa"/>
          <w:left w:w="108" w:type="dxa"/>
          <w:bottom w:w="0" w:type="dxa"/>
          <w:right w:w="108" w:type="dxa"/>
        </w:tblCellMar>
      </w:tblPr>
      <w:tblGrid>
        <w:gridCol w:w="2032"/>
        <w:gridCol w:w="5264"/>
      </w:tblGrid>
      <w:tr>
        <w:tblPrEx>
          <w:tblCellMar>
            <w:top w:w="0" w:type="dxa"/>
            <w:left w:w="108" w:type="dxa"/>
            <w:bottom w:w="0" w:type="dxa"/>
            <w:right w:w="108" w:type="dxa"/>
          </w:tblCellMar>
        </w:tblPrEx>
        <w:trPr>
          <w:trHeight w:val="170" w:hRule="atLeast"/>
          <w:jc w:val="center"/>
        </w:trPr>
        <w:tc>
          <w:tcPr>
            <w:tcW w:w="2032" w:type="dxa"/>
            <w:vAlign w:val="center"/>
          </w:tcPr>
          <w:p>
            <w:pPr>
              <w:adjustRightInd w:val="0"/>
              <w:snapToGrid w:val="0"/>
              <w:spacing w:line="288" w:lineRule="auto"/>
              <w:jc w:val="center"/>
              <w:rPr>
                <w:rFonts w:eastAsia="仿宋_GB2312"/>
                <w:spacing w:val="30"/>
                <w:sz w:val="32"/>
                <w:szCs w:val="32"/>
              </w:rPr>
            </w:pPr>
            <w:r>
              <w:rPr>
                <w:rFonts w:eastAsia="仿宋_GB2312"/>
                <w:spacing w:val="30"/>
                <w:sz w:val="32"/>
                <w:szCs w:val="32"/>
              </w:rPr>
              <w:t>项目名称:</w:t>
            </w:r>
          </w:p>
        </w:tc>
        <w:tc>
          <w:tcPr>
            <w:tcW w:w="5264" w:type="dxa"/>
            <w:vAlign w:val="center"/>
          </w:tcPr>
          <w:p>
            <w:pPr>
              <w:adjustRightInd w:val="0"/>
              <w:snapToGrid w:val="0"/>
              <w:spacing w:line="288" w:lineRule="auto"/>
              <w:jc w:val="left"/>
              <w:rPr>
                <w:rFonts w:eastAsia="仿宋_GB2312"/>
                <w:spacing w:val="-20"/>
                <w:sz w:val="32"/>
                <w:szCs w:val="32"/>
                <w:u w:val="single"/>
              </w:rPr>
            </w:pPr>
            <w:r>
              <w:rPr>
                <w:rFonts w:hint="eastAsia" w:eastAsia="仿宋_GB2312"/>
                <w:sz w:val="32"/>
                <w:szCs w:val="32"/>
                <w:u w:val="single"/>
              </w:rPr>
              <w:t xml:space="preserve">  川煤开源东岳储煤棚建设项目  </w:t>
            </w:r>
          </w:p>
        </w:tc>
      </w:tr>
      <w:tr>
        <w:tblPrEx>
          <w:tblCellMar>
            <w:top w:w="0" w:type="dxa"/>
            <w:left w:w="108" w:type="dxa"/>
            <w:bottom w:w="0" w:type="dxa"/>
            <w:right w:w="108" w:type="dxa"/>
          </w:tblCellMar>
        </w:tblPrEx>
        <w:trPr>
          <w:trHeight w:val="90" w:hRule="atLeast"/>
          <w:jc w:val="center"/>
        </w:trPr>
        <w:tc>
          <w:tcPr>
            <w:tcW w:w="2032" w:type="dxa"/>
            <w:vAlign w:val="center"/>
          </w:tcPr>
          <w:p>
            <w:pPr>
              <w:adjustRightInd w:val="0"/>
              <w:spacing w:line="192" w:lineRule="auto"/>
              <w:jc w:val="center"/>
              <w:rPr>
                <w:rFonts w:eastAsia="黑体"/>
                <w:bCs/>
                <w:sz w:val="32"/>
                <w:szCs w:val="32"/>
              </w:rPr>
            </w:pPr>
          </w:p>
        </w:tc>
        <w:tc>
          <w:tcPr>
            <w:tcW w:w="5264" w:type="dxa"/>
            <w:vAlign w:val="center"/>
          </w:tcPr>
          <w:p>
            <w:pPr>
              <w:adjustRightInd w:val="0"/>
              <w:spacing w:line="192" w:lineRule="auto"/>
              <w:jc w:val="center"/>
              <w:rPr>
                <w:rFonts w:eastAsia="黑体"/>
                <w:bCs/>
                <w:sz w:val="32"/>
                <w:szCs w:val="32"/>
              </w:rPr>
            </w:pPr>
          </w:p>
        </w:tc>
      </w:tr>
      <w:tr>
        <w:tblPrEx>
          <w:tblCellMar>
            <w:top w:w="0" w:type="dxa"/>
            <w:left w:w="108" w:type="dxa"/>
            <w:bottom w:w="0" w:type="dxa"/>
            <w:right w:w="108" w:type="dxa"/>
          </w:tblCellMar>
        </w:tblPrEx>
        <w:trPr>
          <w:trHeight w:val="176" w:hRule="atLeast"/>
          <w:jc w:val="center"/>
        </w:trPr>
        <w:tc>
          <w:tcPr>
            <w:tcW w:w="2032" w:type="dxa"/>
            <w:vAlign w:val="center"/>
          </w:tcPr>
          <w:p>
            <w:pPr>
              <w:adjustRightInd w:val="0"/>
              <w:snapToGrid w:val="0"/>
              <w:spacing w:line="288" w:lineRule="auto"/>
              <w:jc w:val="center"/>
              <w:rPr>
                <w:rFonts w:eastAsia="仿宋_GB2312"/>
                <w:spacing w:val="-30"/>
                <w:sz w:val="32"/>
                <w:szCs w:val="32"/>
              </w:rPr>
            </w:pPr>
            <w:r>
              <w:rPr>
                <w:rFonts w:eastAsia="仿宋_GB2312"/>
                <w:spacing w:val="-30"/>
                <w:sz w:val="32"/>
                <w:szCs w:val="32"/>
              </w:rPr>
              <w:t>建设单位(盖章):</w:t>
            </w:r>
          </w:p>
        </w:tc>
        <w:tc>
          <w:tcPr>
            <w:tcW w:w="5264" w:type="dxa"/>
            <w:vAlign w:val="center"/>
          </w:tcPr>
          <w:p>
            <w:pPr>
              <w:adjustRightInd w:val="0"/>
              <w:snapToGrid w:val="0"/>
              <w:spacing w:line="288" w:lineRule="auto"/>
              <w:jc w:val="left"/>
              <w:rPr>
                <w:rFonts w:eastAsia="仿宋_GB2312"/>
                <w:spacing w:val="-4"/>
                <w:sz w:val="32"/>
                <w:szCs w:val="32"/>
                <w:u w:val="single"/>
              </w:rPr>
            </w:pPr>
            <w:r>
              <w:rPr>
                <w:rFonts w:eastAsia="仿宋_GB2312"/>
                <w:spacing w:val="-4"/>
                <w:sz w:val="32"/>
                <w:szCs w:val="32"/>
                <w:u w:val="single"/>
              </w:rPr>
              <w:t>四川川煤华荣开源贸易有限责任公司</w:t>
            </w:r>
          </w:p>
        </w:tc>
      </w:tr>
      <w:tr>
        <w:tblPrEx>
          <w:tblCellMar>
            <w:top w:w="0" w:type="dxa"/>
            <w:left w:w="108" w:type="dxa"/>
            <w:bottom w:w="0" w:type="dxa"/>
            <w:right w:w="108" w:type="dxa"/>
          </w:tblCellMar>
        </w:tblPrEx>
        <w:trPr>
          <w:trHeight w:val="176" w:hRule="atLeast"/>
          <w:jc w:val="center"/>
        </w:trPr>
        <w:tc>
          <w:tcPr>
            <w:tcW w:w="2032" w:type="dxa"/>
            <w:vAlign w:val="center"/>
          </w:tcPr>
          <w:p>
            <w:pPr>
              <w:adjustRightInd w:val="0"/>
              <w:snapToGrid w:val="0"/>
              <w:spacing w:line="16" w:lineRule="atLeast"/>
              <w:jc w:val="center"/>
              <w:rPr>
                <w:rFonts w:eastAsia="仿宋_GB2312"/>
                <w:sz w:val="32"/>
                <w:szCs w:val="32"/>
              </w:rPr>
            </w:pPr>
          </w:p>
        </w:tc>
        <w:tc>
          <w:tcPr>
            <w:tcW w:w="5264" w:type="dxa"/>
            <w:vAlign w:val="center"/>
          </w:tcPr>
          <w:p>
            <w:pPr>
              <w:adjustRightInd w:val="0"/>
              <w:snapToGrid w:val="0"/>
              <w:spacing w:line="16" w:lineRule="atLeast"/>
              <w:ind w:firstLine="1037"/>
              <w:jc w:val="center"/>
              <w:rPr>
                <w:rFonts w:eastAsia="仿宋_GB2312"/>
                <w:sz w:val="32"/>
                <w:szCs w:val="32"/>
              </w:rPr>
            </w:pPr>
          </w:p>
        </w:tc>
      </w:tr>
      <w:tr>
        <w:tblPrEx>
          <w:tblCellMar>
            <w:top w:w="0" w:type="dxa"/>
            <w:left w:w="108" w:type="dxa"/>
            <w:bottom w:w="0" w:type="dxa"/>
            <w:right w:w="108" w:type="dxa"/>
          </w:tblCellMar>
        </w:tblPrEx>
        <w:trPr>
          <w:trHeight w:val="176" w:hRule="atLeast"/>
          <w:jc w:val="center"/>
        </w:trPr>
        <w:tc>
          <w:tcPr>
            <w:tcW w:w="2032" w:type="dxa"/>
            <w:vAlign w:val="center"/>
          </w:tcPr>
          <w:p>
            <w:pPr>
              <w:adjustRightInd w:val="0"/>
              <w:snapToGrid w:val="0"/>
              <w:spacing w:line="288" w:lineRule="auto"/>
              <w:jc w:val="center"/>
              <w:rPr>
                <w:rFonts w:eastAsia="仿宋_GB2312"/>
                <w:spacing w:val="30"/>
                <w:sz w:val="32"/>
                <w:szCs w:val="32"/>
              </w:rPr>
            </w:pPr>
            <w:r>
              <w:rPr>
                <w:rFonts w:eastAsia="仿宋_GB2312"/>
                <w:spacing w:val="30"/>
                <w:sz w:val="32"/>
                <w:szCs w:val="32"/>
              </w:rPr>
              <w:t>编制日期：</w:t>
            </w:r>
          </w:p>
        </w:tc>
        <w:tc>
          <w:tcPr>
            <w:tcW w:w="5264" w:type="dxa"/>
            <w:vAlign w:val="center"/>
          </w:tcPr>
          <w:p>
            <w:pPr>
              <w:adjustRightInd w:val="0"/>
              <w:snapToGrid w:val="0"/>
              <w:spacing w:line="288" w:lineRule="auto"/>
              <w:jc w:val="left"/>
              <w:rPr>
                <w:rFonts w:eastAsia="仿宋_GB2312"/>
                <w:sz w:val="32"/>
                <w:szCs w:val="32"/>
                <w:u w:val="single"/>
              </w:rPr>
            </w:pPr>
            <w:r>
              <w:rPr>
                <w:rFonts w:hint="eastAsia" w:eastAsia="仿宋_GB2312"/>
                <w:sz w:val="32"/>
                <w:szCs w:val="32"/>
                <w:u w:val="single"/>
              </w:rPr>
              <w:t xml:space="preserve">        </w:t>
            </w:r>
            <w:r>
              <w:rPr>
                <w:rFonts w:hint="eastAsia" w:eastAsia="仿宋_GB2312"/>
                <w:sz w:val="32"/>
                <w:szCs w:val="32"/>
                <w:u w:val="single"/>
                <w:lang w:eastAsia="zh-CN"/>
              </w:rPr>
              <w:t>二○</w:t>
            </w:r>
            <w:r>
              <w:rPr>
                <w:rFonts w:hint="eastAsia" w:eastAsia="仿宋_GB2312"/>
                <w:sz w:val="32"/>
                <w:szCs w:val="32"/>
                <w:u w:val="single"/>
              </w:rPr>
              <w:t>二三</w:t>
            </w:r>
            <w:r>
              <w:rPr>
                <w:rFonts w:eastAsia="仿宋_GB2312"/>
                <w:sz w:val="32"/>
                <w:szCs w:val="32"/>
                <w:u w:val="single"/>
              </w:rPr>
              <w:t>年五月</w:t>
            </w:r>
            <w:r>
              <w:rPr>
                <w:rFonts w:hint="eastAsia" w:eastAsia="仿宋_GB2312"/>
                <w:sz w:val="32"/>
                <w:szCs w:val="32"/>
                <w:u w:val="single"/>
              </w:rPr>
              <w:t xml:space="preserve">           </w:t>
            </w:r>
          </w:p>
        </w:tc>
      </w:tr>
    </w:tbl>
    <w:p>
      <w:pPr>
        <w:ind w:firstLine="1040"/>
        <w:rPr>
          <w:rFonts w:eastAsia="仿宋"/>
          <w:sz w:val="44"/>
          <w:szCs w:val="44"/>
        </w:rPr>
      </w:pPr>
    </w:p>
    <w:p>
      <w:pPr>
        <w:adjustRightInd w:val="0"/>
        <w:snapToGrid w:val="0"/>
        <w:spacing w:line="288" w:lineRule="auto"/>
        <w:ind w:firstLine="1040"/>
        <w:rPr>
          <w:rFonts w:eastAsia="仿宋_GB2312"/>
          <w:sz w:val="36"/>
          <w:szCs w:val="36"/>
        </w:rPr>
      </w:pPr>
      <w:bookmarkStart w:id="0" w:name="_Hlk57884087"/>
    </w:p>
    <w:p>
      <w:pPr>
        <w:adjustRightInd w:val="0"/>
        <w:snapToGrid w:val="0"/>
        <w:spacing w:line="288" w:lineRule="auto"/>
        <w:ind w:firstLine="1040"/>
        <w:rPr>
          <w:rFonts w:eastAsia="仿宋_GB2312"/>
          <w:sz w:val="36"/>
          <w:szCs w:val="36"/>
        </w:rPr>
      </w:pPr>
    </w:p>
    <w:p>
      <w:pPr>
        <w:pStyle w:val="15"/>
      </w:pPr>
    </w:p>
    <w:bookmarkEnd w:id="0"/>
    <w:p>
      <w:pPr>
        <w:adjustRightInd w:val="0"/>
        <w:snapToGrid w:val="0"/>
        <w:spacing w:line="288" w:lineRule="auto"/>
        <w:jc w:val="center"/>
        <w:rPr>
          <w:rFonts w:eastAsia="楷体_GB2312"/>
          <w:sz w:val="36"/>
          <w:szCs w:val="36"/>
        </w:rPr>
      </w:pPr>
    </w:p>
    <w:p>
      <w:pPr>
        <w:adjustRightInd w:val="0"/>
        <w:snapToGrid w:val="0"/>
        <w:spacing w:line="288" w:lineRule="auto"/>
        <w:jc w:val="center"/>
        <w:rPr>
          <w:rFonts w:eastAsia="楷体_GB2312"/>
          <w:sz w:val="36"/>
          <w:szCs w:val="36"/>
        </w:rPr>
      </w:pPr>
    </w:p>
    <w:p>
      <w:pPr>
        <w:adjustRightInd w:val="0"/>
        <w:snapToGrid w:val="0"/>
        <w:spacing w:line="288" w:lineRule="auto"/>
        <w:jc w:val="center"/>
        <w:rPr>
          <w:rFonts w:eastAsia="楷体_GB2312"/>
          <w:sz w:val="36"/>
          <w:szCs w:val="36"/>
        </w:rPr>
      </w:pPr>
      <w:r>
        <w:rPr>
          <w:rFonts w:eastAsia="楷体_GB2312"/>
          <w:sz w:val="36"/>
          <w:szCs w:val="36"/>
        </w:rPr>
        <w:t>中华人民共和国生态环境部</w:t>
      </w:r>
      <w:r>
        <w:rPr>
          <w:rFonts w:hint="eastAsia" w:eastAsia="楷体_GB2312"/>
          <w:sz w:val="36"/>
          <w:szCs w:val="36"/>
        </w:rPr>
        <w:t xml:space="preserve">  </w:t>
      </w:r>
      <w:r>
        <w:rPr>
          <w:rFonts w:eastAsia="楷体_GB2312"/>
          <w:sz w:val="36"/>
          <w:szCs w:val="36"/>
        </w:rPr>
        <w:t>制</w:t>
      </w:r>
    </w:p>
    <w:p>
      <w:pPr>
        <w:widowControl/>
        <w:spacing w:line="288" w:lineRule="auto"/>
        <w:jc w:val="left"/>
        <w:rPr>
          <w:rFonts w:eastAsia="仿宋_GB2312"/>
          <w:sz w:val="36"/>
          <w:szCs w:val="36"/>
        </w:rPr>
        <w:sectPr>
          <w:footerReference r:id="rId3" w:type="default"/>
          <w:pgSz w:w="11906" w:h="16838"/>
          <w:pgMar w:top="1701" w:right="1531" w:bottom="1701" w:left="1531" w:header="851" w:footer="1077" w:gutter="0"/>
          <w:pgNumType w:start="3"/>
          <w:cols w:space="720" w:num="1"/>
        </w:sectPr>
      </w:pPr>
    </w:p>
    <w:p>
      <w:pPr>
        <w:pStyle w:val="19"/>
        <w:jc w:val="center"/>
        <w:outlineLvl w:val="0"/>
        <w:rPr>
          <w:rFonts w:ascii="Times New Roman" w:hAnsi="Times New Roman" w:eastAsia="黑体" w:cs="Times New Roman"/>
          <w:snapToGrid w:val="0"/>
          <w:sz w:val="30"/>
          <w:szCs w:val="30"/>
        </w:rPr>
      </w:pPr>
      <w:r>
        <w:rPr>
          <w:rFonts w:ascii="Times New Roman" w:hAnsi="Times New Roman" w:eastAsia="黑体" w:cs="Times New Roman"/>
          <w:snapToGrid w:val="0"/>
          <w:sz w:val="30"/>
          <w:szCs w:val="30"/>
        </w:rPr>
        <w:t>一、建设项目基本情况</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140"/>
        <w:gridCol w:w="1879"/>
        <w:gridCol w:w="221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40" w:type="dxa"/>
            <w:tcBorders>
              <w:top w:val="single" w:color="auto" w:sz="8"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zCs w:val="21"/>
              </w:rPr>
            </w:pPr>
            <w:r>
              <w:rPr>
                <w:szCs w:val="21"/>
              </w:rPr>
              <w:t>建设项目名称</w:t>
            </w:r>
          </w:p>
        </w:tc>
        <w:tc>
          <w:tcPr>
            <w:tcW w:w="6730" w:type="dxa"/>
            <w:gridSpan w:val="3"/>
            <w:tcBorders>
              <w:top w:val="single" w:color="auto" w:sz="8" w:space="0"/>
              <w:left w:val="single" w:color="auto" w:sz="4" w:space="0"/>
              <w:bottom w:val="single" w:color="auto" w:sz="4" w:space="0"/>
              <w:right w:val="single" w:color="auto" w:sz="8" w:space="0"/>
            </w:tcBorders>
            <w:vAlign w:val="center"/>
          </w:tcPr>
          <w:p>
            <w:pPr>
              <w:adjustRightInd w:val="0"/>
              <w:snapToGrid w:val="0"/>
              <w:jc w:val="center"/>
              <w:rPr>
                <w:szCs w:val="21"/>
              </w:rPr>
            </w:pPr>
            <w:r>
              <w:rPr>
                <w:szCs w:val="21"/>
              </w:rPr>
              <w:t>川煤开源东岳储煤棚建设项目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40"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zCs w:val="21"/>
              </w:rPr>
            </w:pPr>
            <w:r>
              <w:rPr>
                <w:szCs w:val="21"/>
              </w:rPr>
              <w:t>项目代码</w:t>
            </w:r>
          </w:p>
        </w:tc>
        <w:tc>
          <w:tcPr>
            <w:tcW w:w="6730" w:type="dxa"/>
            <w:gridSpan w:val="3"/>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szCs w:val="21"/>
              </w:rPr>
            </w:pPr>
            <w:r>
              <w:rPr>
                <w:kern w:val="0"/>
                <w:szCs w:val="21"/>
              </w:rPr>
              <w:t>“</w:t>
            </w:r>
            <w:r>
              <w:rPr>
                <w:rFonts w:hint="eastAsia"/>
                <w:kern w:val="0"/>
                <w:szCs w:val="21"/>
              </w:rPr>
              <w:t>2304-511702-04-01-687567</w:t>
            </w:r>
            <w:r>
              <w:rPr>
                <w:kern w:val="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40"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zCs w:val="21"/>
              </w:rPr>
            </w:pPr>
            <w:r>
              <w:rPr>
                <w:szCs w:val="21"/>
              </w:rPr>
              <w:t>建设单位联系人</w:t>
            </w:r>
          </w:p>
        </w:tc>
        <w:tc>
          <w:tcPr>
            <w:tcW w:w="187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唐贵均</w:t>
            </w:r>
          </w:p>
        </w:tc>
        <w:tc>
          <w:tcPr>
            <w:tcW w:w="221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联系方式</w:t>
            </w:r>
          </w:p>
        </w:tc>
        <w:tc>
          <w:tcPr>
            <w:tcW w:w="2639"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szCs w:val="21"/>
              </w:rPr>
            </w:pPr>
            <w:r>
              <w:rPr>
                <w:rFonts w:hint="eastAsia"/>
                <w:spacing w:val="-10"/>
                <w:szCs w:val="21"/>
              </w:rPr>
              <w:t>15881453900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40"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zCs w:val="21"/>
              </w:rPr>
            </w:pPr>
            <w:r>
              <w:rPr>
                <w:szCs w:val="21"/>
              </w:rPr>
              <w:t>建设地点</w:t>
            </w:r>
          </w:p>
        </w:tc>
        <w:tc>
          <w:tcPr>
            <w:tcW w:w="6730" w:type="dxa"/>
            <w:gridSpan w:val="3"/>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szCs w:val="21"/>
                <w:u w:val="single"/>
              </w:rPr>
            </w:pPr>
            <w:r>
              <w:rPr>
                <w:szCs w:val="21"/>
                <w:u w:val="single"/>
              </w:rPr>
              <w:t xml:space="preserve">  四川 </w:t>
            </w:r>
            <w:r>
              <w:rPr>
                <w:szCs w:val="21"/>
              </w:rPr>
              <w:t>省</w:t>
            </w:r>
            <w:r>
              <w:rPr>
                <w:szCs w:val="21"/>
                <w:u w:val="single"/>
              </w:rPr>
              <w:t xml:space="preserve"> 达州市 </w:t>
            </w:r>
            <w:r>
              <w:rPr>
                <w:szCs w:val="21"/>
              </w:rPr>
              <w:t>市</w:t>
            </w:r>
            <w:r>
              <w:rPr>
                <w:szCs w:val="21"/>
                <w:u w:val="single"/>
              </w:rPr>
              <w:t xml:space="preserve"> 东岳</w:t>
            </w:r>
            <w:r>
              <w:rPr>
                <w:rFonts w:hint="eastAsia"/>
                <w:szCs w:val="21"/>
              </w:rPr>
              <w:t>镇</w:t>
            </w:r>
            <w:r>
              <w:rPr>
                <w:rFonts w:hint="eastAsia"/>
                <w:szCs w:val="21"/>
                <w:u w:val="single"/>
              </w:rPr>
              <w:t xml:space="preserve"> 兴盛社区4 </w:t>
            </w:r>
            <w:r>
              <w:rPr>
                <w:rFonts w:hint="eastAsia"/>
                <w:szCs w:val="21"/>
              </w:rPr>
              <w:t xml:space="preserve">组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40"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zCs w:val="21"/>
              </w:rPr>
            </w:pPr>
            <w:r>
              <w:rPr>
                <w:szCs w:val="21"/>
              </w:rPr>
              <w:t>地理坐标</w:t>
            </w:r>
          </w:p>
        </w:tc>
        <w:tc>
          <w:tcPr>
            <w:tcW w:w="6730" w:type="dxa"/>
            <w:gridSpan w:val="3"/>
            <w:tcBorders>
              <w:top w:val="single" w:color="auto" w:sz="4" w:space="0"/>
              <w:left w:val="single" w:color="auto" w:sz="4" w:space="0"/>
              <w:bottom w:val="single" w:color="auto" w:sz="4" w:space="0"/>
              <w:right w:val="single" w:color="auto" w:sz="8" w:space="0"/>
            </w:tcBorders>
            <w:vAlign w:val="center"/>
          </w:tcPr>
          <w:p>
            <w:pPr>
              <w:jc w:val="center"/>
              <w:rPr>
                <w:szCs w:val="21"/>
              </w:rPr>
            </w:pPr>
            <w:r>
              <w:rPr>
                <w:szCs w:val="21"/>
              </w:rPr>
              <w:t>（</w:t>
            </w:r>
            <w:r>
              <w:rPr>
                <w:szCs w:val="21"/>
                <w:u w:val="single"/>
              </w:rPr>
              <w:t xml:space="preserve"> 10</w:t>
            </w:r>
            <w:r>
              <w:rPr>
                <w:rFonts w:hint="eastAsia"/>
                <w:szCs w:val="21"/>
                <w:u w:val="single"/>
              </w:rPr>
              <w:t>7</w:t>
            </w:r>
            <w:r>
              <w:rPr>
                <w:szCs w:val="21"/>
              </w:rPr>
              <w:t>度</w:t>
            </w:r>
            <w:r>
              <w:rPr>
                <w:rFonts w:hint="eastAsia"/>
                <w:szCs w:val="21"/>
                <w:u w:val="single"/>
              </w:rPr>
              <w:t xml:space="preserve"> 29</w:t>
            </w:r>
            <w:r>
              <w:rPr>
                <w:szCs w:val="21"/>
              </w:rPr>
              <w:t>分</w:t>
            </w:r>
            <w:r>
              <w:rPr>
                <w:rFonts w:hint="eastAsia"/>
                <w:szCs w:val="21"/>
                <w:u w:val="single"/>
              </w:rPr>
              <w:t>43.560</w:t>
            </w:r>
            <w:r>
              <w:rPr>
                <w:szCs w:val="21"/>
              </w:rPr>
              <w:t>秒，</w:t>
            </w:r>
            <w:r>
              <w:rPr>
                <w:szCs w:val="21"/>
                <w:u w:val="single"/>
              </w:rPr>
              <w:t xml:space="preserve"> 31 </w:t>
            </w:r>
            <w:r>
              <w:rPr>
                <w:szCs w:val="21"/>
              </w:rPr>
              <w:t>度</w:t>
            </w:r>
            <w:r>
              <w:rPr>
                <w:rFonts w:hint="eastAsia"/>
                <w:szCs w:val="21"/>
                <w:u w:val="single"/>
              </w:rPr>
              <w:t>19</w:t>
            </w:r>
            <w:r>
              <w:rPr>
                <w:szCs w:val="21"/>
              </w:rPr>
              <w:t>分</w:t>
            </w:r>
            <w:r>
              <w:rPr>
                <w:rFonts w:hint="eastAsia"/>
                <w:szCs w:val="21"/>
                <w:u w:val="single"/>
              </w:rPr>
              <w:t>37.74</w:t>
            </w:r>
            <w:r>
              <w:rPr>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140"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zCs w:val="21"/>
              </w:rPr>
            </w:pPr>
            <w:r>
              <w:rPr>
                <w:szCs w:val="21"/>
              </w:rPr>
              <w:t>国民经济</w:t>
            </w:r>
          </w:p>
          <w:p>
            <w:pPr>
              <w:adjustRightInd w:val="0"/>
              <w:snapToGrid w:val="0"/>
              <w:jc w:val="center"/>
              <w:rPr>
                <w:szCs w:val="21"/>
              </w:rPr>
            </w:pPr>
            <w:r>
              <w:rPr>
                <w:szCs w:val="21"/>
              </w:rPr>
              <w:t>行业类别</w:t>
            </w:r>
          </w:p>
        </w:tc>
        <w:tc>
          <w:tcPr>
            <w:tcW w:w="187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B0610</w:t>
            </w:r>
            <w:r>
              <w:rPr>
                <w:szCs w:val="21"/>
              </w:rPr>
              <w:t>，烟煤和无烟煤开采洗选</w:t>
            </w:r>
          </w:p>
        </w:tc>
        <w:tc>
          <w:tcPr>
            <w:tcW w:w="221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bookmarkStart w:id="1" w:name="_Hlk49843745"/>
            <w:r>
              <w:rPr>
                <w:szCs w:val="21"/>
              </w:rPr>
              <w:t>建设项目</w:t>
            </w:r>
          </w:p>
          <w:p>
            <w:pPr>
              <w:adjustRightInd w:val="0"/>
              <w:snapToGrid w:val="0"/>
              <w:jc w:val="center"/>
              <w:rPr>
                <w:szCs w:val="21"/>
              </w:rPr>
            </w:pPr>
            <w:r>
              <w:rPr>
                <w:szCs w:val="21"/>
              </w:rPr>
              <w:t>行业类别</w:t>
            </w:r>
            <w:bookmarkEnd w:id="1"/>
          </w:p>
        </w:tc>
        <w:tc>
          <w:tcPr>
            <w:tcW w:w="2639" w:type="dxa"/>
            <w:tcBorders>
              <w:top w:val="single" w:color="auto" w:sz="4" w:space="0"/>
              <w:left w:val="single" w:color="auto" w:sz="4" w:space="0"/>
              <w:bottom w:val="single" w:color="auto" w:sz="4" w:space="0"/>
              <w:right w:val="single" w:color="auto" w:sz="8" w:space="0"/>
            </w:tcBorders>
            <w:vAlign w:val="center"/>
          </w:tcPr>
          <w:p>
            <w:pPr>
              <w:adjustRightInd w:val="0"/>
              <w:snapToGrid w:val="0"/>
              <w:rPr>
                <w:szCs w:val="21"/>
              </w:rPr>
            </w:pPr>
            <w:r>
              <w:rPr>
                <w:szCs w:val="21"/>
              </w:rPr>
              <w:t>四、煤炭开采和洗选业6烟煤和无烟煤开采洗选；褐煤开采洗选；其他煤炭采选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97" w:hRule="atLeast"/>
          <w:jc w:val="center"/>
        </w:trPr>
        <w:tc>
          <w:tcPr>
            <w:tcW w:w="2140"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zCs w:val="21"/>
              </w:rPr>
            </w:pPr>
            <w:r>
              <w:rPr>
                <w:szCs w:val="21"/>
              </w:rPr>
              <w:t>建设性质</w:t>
            </w:r>
          </w:p>
        </w:tc>
        <w:tc>
          <w:tcPr>
            <w:tcW w:w="1879" w:type="dxa"/>
            <w:tcBorders>
              <w:top w:val="single" w:color="auto" w:sz="4" w:space="0"/>
              <w:left w:val="single" w:color="auto" w:sz="4" w:space="0"/>
              <w:bottom w:val="single" w:color="auto" w:sz="4" w:space="0"/>
              <w:right w:val="single" w:color="auto" w:sz="4" w:space="0"/>
            </w:tcBorders>
            <w:vAlign w:val="center"/>
          </w:tcPr>
          <w:p>
            <w:pPr>
              <w:jc w:val="left"/>
              <w:rPr>
                <w:szCs w:val="21"/>
              </w:rPr>
            </w:pPr>
            <w:sdt>
              <w:sdtPr>
                <w:rPr>
                  <w:szCs w:val="21"/>
                </w:rPr>
                <w:id w:val="629664090"/>
              </w:sdtPr>
              <w:sdtEndPr>
                <w:rPr>
                  <w:szCs w:val="21"/>
                </w:rPr>
              </w:sdtEndPr>
              <w:sdtContent>
                <w:r>
                  <w:rPr>
                    <w:szCs w:val="21"/>
                  </w:rPr>
                  <w:sym w:font="Wingdings 2" w:char="F052"/>
                </w:r>
              </w:sdtContent>
            </w:sdt>
            <w:r>
              <w:rPr>
                <w:szCs w:val="21"/>
              </w:rPr>
              <w:t>新建</w:t>
            </w:r>
          </w:p>
          <w:p>
            <w:pPr>
              <w:jc w:val="left"/>
              <w:rPr>
                <w:szCs w:val="21"/>
              </w:rPr>
            </w:pPr>
            <w:sdt>
              <w:sdtPr>
                <w:rPr>
                  <w:szCs w:val="21"/>
                </w:rPr>
                <w:id w:val="-1287350356"/>
              </w:sdtPr>
              <w:sdtEndPr>
                <w:rPr>
                  <w:szCs w:val="21"/>
                </w:rPr>
              </w:sdtEndPr>
              <w:sdtContent>
                <w:r>
                  <w:rPr>
                    <w:rFonts w:hint="eastAsia" w:ascii="MS Gothic" w:hAnsi="MS Gothic" w:eastAsia="MS Gothic" w:cs="MS Gothic"/>
                    <w:szCs w:val="21"/>
                  </w:rPr>
                  <w:t>☐</w:t>
                </w:r>
              </w:sdtContent>
            </w:sdt>
            <w:r>
              <w:rPr>
                <w:szCs w:val="21"/>
              </w:rPr>
              <w:t>改建</w:t>
            </w:r>
          </w:p>
          <w:p>
            <w:pPr>
              <w:jc w:val="left"/>
              <w:rPr>
                <w:szCs w:val="21"/>
              </w:rPr>
            </w:pPr>
            <w:sdt>
              <w:sdtPr>
                <w:rPr>
                  <w:szCs w:val="21"/>
                </w:rPr>
                <w:id w:val="-35431507"/>
              </w:sdtPr>
              <w:sdtEndPr>
                <w:rPr>
                  <w:szCs w:val="21"/>
                </w:rPr>
              </w:sdtEndPr>
              <w:sdtContent>
                <w:r>
                  <w:rPr>
                    <w:rFonts w:hint="eastAsia" w:ascii="MS Gothic" w:hAnsi="MS Gothic" w:eastAsia="MS Gothic" w:cs="MS Gothic"/>
                    <w:szCs w:val="21"/>
                  </w:rPr>
                  <w:t>☐</w:t>
                </w:r>
              </w:sdtContent>
            </w:sdt>
            <w:r>
              <w:rPr>
                <w:szCs w:val="21"/>
              </w:rPr>
              <w:t>扩建</w:t>
            </w:r>
          </w:p>
          <w:p>
            <w:pPr>
              <w:jc w:val="left"/>
              <w:rPr>
                <w:szCs w:val="21"/>
              </w:rPr>
            </w:pPr>
            <w:sdt>
              <w:sdtPr>
                <w:rPr>
                  <w:szCs w:val="21"/>
                </w:rPr>
                <w:id w:val="-1484306231"/>
              </w:sdtPr>
              <w:sdtEndPr>
                <w:rPr>
                  <w:szCs w:val="21"/>
                </w:rPr>
              </w:sdtEndPr>
              <w:sdtContent>
                <w:r>
                  <w:rPr>
                    <w:rFonts w:hint="eastAsia" w:ascii="MS Gothic" w:hAnsi="MS Gothic" w:eastAsia="MS Gothic" w:cs="MS Gothic"/>
                    <w:szCs w:val="21"/>
                  </w:rPr>
                  <w:t>☐</w:t>
                </w:r>
              </w:sdtContent>
            </w:sdt>
            <w:r>
              <w:rPr>
                <w:szCs w:val="21"/>
              </w:rPr>
              <w:t>技术改造</w:t>
            </w:r>
          </w:p>
        </w:tc>
        <w:tc>
          <w:tcPr>
            <w:tcW w:w="221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建设项目</w:t>
            </w:r>
          </w:p>
          <w:p>
            <w:pPr>
              <w:adjustRightInd w:val="0"/>
              <w:snapToGrid w:val="0"/>
              <w:jc w:val="center"/>
              <w:rPr>
                <w:szCs w:val="21"/>
              </w:rPr>
            </w:pPr>
            <w:r>
              <w:rPr>
                <w:szCs w:val="21"/>
              </w:rPr>
              <w:t>申报情形</w:t>
            </w:r>
          </w:p>
        </w:tc>
        <w:tc>
          <w:tcPr>
            <w:tcW w:w="2639" w:type="dxa"/>
            <w:tcBorders>
              <w:top w:val="single" w:color="auto" w:sz="4" w:space="0"/>
              <w:left w:val="single" w:color="auto" w:sz="4" w:space="0"/>
              <w:bottom w:val="single" w:color="auto" w:sz="4" w:space="0"/>
              <w:right w:val="single" w:color="auto" w:sz="8" w:space="0"/>
            </w:tcBorders>
            <w:vAlign w:val="center"/>
          </w:tcPr>
          <w:p>
            <w:pPr>
              <w:jc w:val="left"/>
              <w:rPr>
                <w:szCs w:val="21"/>
              </w:rPr>
            </w:pPr>
            <w:sdt>
              <w:sdtPr>
                <w:rPr>
                  <w:szCs w:val="21"/>
                </w:rPr>
                <w:id w:val="609859715"/>
              </w:sdtPr>
              <w:sdtEndPr>
                <w:rPr>
                  <w:szCs w:val="21"/>
                </w:rPr>
              </w:sdtEndPr>
              <w:sdtContent>
                <w:r>
                  <w:rPr>
                    <w:szCs w:val="21"/>
                  </w:rPr>
                  <w:sym w:font="Wingdings 2" w:char="F052"/>
                </w:r>
              </w:sdtContent>
            </w:sdt>
            <w:r>
              <w:rPr>
                <w:szCs w:val="21"/>
              </w:rPr>
              <w:t xml:space="preserve">首次申报项目             </w:t>
            </w:r>
          </w:p>
          <w:p>
            <w:pPr>
              <w:jc w:val="left"/>
              <w:rPr>
                <w:szCs w:val="21"/>
              </w:rPr>
            </w:pPr>
            <w:sdt>
              <w:sdtPr>
                <w:rPr>
                  <w:szCs w:val="21"/>
                </w:rPr>
                <w:id w:val="2096352931"/>
              </w:sdtPr>
              <w:sdtEndPr>
                <w:rPr>
                  <w:szCs w:val="21"/>
                </w:rPr>
              </w:sdtEndPr>
              <w:sdtContent>
                <w:r>
                  <w:rPr>
                    <w:rFonts w:hint="eastAsia" w:ascii="MS Gothic" w:hAnsi="MS Gothic" w:eastAsia="MS Gothic" w:cs="MS Gothic"/>
                    <w:szCs w:val="21"/>
                  </w:rPr>
                  <w:t>☐</w:t>
                </w:r>
              </w:sdtContent>
            </w:sdt>
            <w:r>
              <w:rPr>
                <w:szCs w:val="21"/>
              </w:rPr>
              <w:t>不予批准后再次申报项目</w:t>
            </w:r>
          </w:p>
          <w:p>
            <w:pPr>
              <w:jc w:val="left"/>
              <w:rPr>
                <w:szCs w:val="21"/>
              </w:rPr>
            </w:pPr>
            <w:sdt>
              <w:sdtPr>
                <w:rPr>
                  <w:szCs w:val="21"/>
                </w:rPr>
                <w:id w:val="-1039577924"/>
              </w:sdtPr>
              <w:sdtEndPr>
                <w:rPr>
                  <w:szCs w:val="21"/>
                </w:rPr>
              </w:sdtEndPr>
              <w:sdtContent>
                <w:r>
                  <w:rPr>
                    <w:rFonts w:hint="eastAsia" w:ascii="MS Gothic" w:hAnsi="MS Gothic" w:eastAsia="MS Gothic" w:cs="MS Gothic"/>
                    <w:szCs w:val="21"/>
                  </w:rPr>
                  <w:t>☐</w:t>
                </w:r>
              </w:sdtContent>
            </w:sdt>
            <w:r>
              <w:rPr>
                <w:szCs w:val="21"/>
              </w:rPr>
              <w:t xml:space="preserve">超五年重新审核项目     </w:t>
            </w:r>
          </w:p>
          <w:p>
            <w:pPr>
              <w:jc w:val="left"/>
              <w:rPr>
                <w:szCs w:val="21"/>
              </w:rPr>
            </w:pPr>
            <w:sdt>
              <w:sdtPr>
                <w:rPr>
                  <w:szCs w:val="21"/>
                </w:rPr>
                <w:id w:val="-277028319"/>
              </w:sdtPr>
              <w:sdtEndPr>
                <w:rPr>
                  <w:szCs w:val="21"/>
                </w:rPr>
              </w:sdtEndPr>
              <w:sdtContent>
                <w:r>
                  <w:rPr>
                    <w:rFonts w:hint="eastAsia" w:ascii="MS Gothic" w:hAnsi="MS Gothic" w:eastAsia="MS Gothic" w:cs="MS Gothic"/>
                    <w:szCs w:val="21"/>
                  </w:rPr>
                  <w:t>☐</w:t>
                </w:r>
              </w:sdtContent>
            </w:sdt>
            <w:r>
              <w:rPr>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0" w:hRule="atLeast"/>
          <w:jc w:val="center"/>
        </w:trPr>
        <w:tc>
          <w:tcPr>
            <w:tcW w:w="2140"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zCs w:val="21"/>
              </w:rPr>
            </w:pPr>
            <w:r>
              <w:rPr>
                <w:szCs w:val="21"/>
              </w:rPr>
              <w:t>项目审批（</w:t>
            </w:r>
            <w:bookmarkStart w:id="7" w:name="_GoBack"/>
            <w:bookmarkEnd w:id="7"/>
            <w:r>
              <w:rPr>
                <w:szCs w:val="21"/>
              </w:rPr>
              <w:t>核准</w:t>
            </w:r>
            <w:r>
              <w:rPr>
                <w:rFonts w:hint="eastAsia"/>
                <w:szCs w:val="21"/>
                <w:lang w:val="en-US" w:eastAsia="zh-CN"/>
              </w:rPr>
              <w:t>和</w:t>
            </w:r>
            <w:r>
              <w:rPr>
                <w:szCs w:val="21"/>
              </w:rPr>
              <w:t>备案）部门（选填）</w:t>
            </w:r>
          </w:p>
        </w:tc>
        <w:tc>
          <w:tcPr>
            <w:tcW w:w="187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通川区发展和</w:t>
            </w:r>
          </w:p>
          <w:p>
            <w:pPr>
              <w:adjustRightInd w:val="0"/>
              <w:snapToGrid w:val="0"/>
              <w:jc w:val="center"/>
              <w:rPr>
                <w:szCs w:val="21"/>
              </w:rPr>
            </w:pPr>
            <w:r>
              <w:rPr>
                <w:szCs w:val="21"/>
              </w:rPr>
              <w:t>改革局</w:t>
            </w:r>
          </w:p>
        </w:tc>
        <w:tc>
          <w:tcPr>
            <w:tcW w:w="221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eastAsia="宋体"/>
                <w:szCs w:val="21"/>
                <w:lang w:val="en-US" w:eastAsia="zh-CN"/>
              </w:rPr>
            </w:pPr>
            <w:r>
              <w:rPr>
                <w:szCs w:val="21"/>
              </w:rPr>
              <w:t>项目审批（核准</w:t>
            </w:r>
            <w:r>
              <w:rPr>
                <w:rFonts w:hint="eastAsia"/>
                <w:szCs w:val="21"/>
                <w:lang w:val="en-US" w:eastAsia="zh-CN"/>
              </w:rPr>
              <w:t>和</w:t>
            </w:r>
          </w:p>
          <w:p>
            <w:pPr>
              <w:adjustRightInd w:val="0"/>
              <w:snapToGrid w:val="0"/>
              <w:jc w:val="center"/>
              <w:rPr>
                <w:szCs w:val="21"/>
              </w:rPr>
            </w:pPr>
            <w:r>
              <w:rPr>
                <w:szCs w:val="21"/>
              </w:rPr>
              <w:t>备案）文号（选填）</w:t>
            </w:r>
          </w:p>
        </w:tc>
        <w:tc>
          <w:tcPr>
            <w:tcW w:w="2639"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szCs w:val="21"/>
              </w:rPr>
            </w:pPr>
            <w:r>
              <w:rPr>
                <w:szCs w:val="21"/>
              </w:rPr>
              <w:t>川投资备【</w:t>
            </w:r>
            <w:r>
              <w:rPr>
                <w:rFonts w:hint="eastAsia"/>
                <w:kern w:val="0"/>
                <w:szCs w:val="21"/>
              </w:rPr>
              <w:t>2304-511702-04-01-687567</w:t>
            </w:r>
            <w:r>
              <w:rPr>
                <w:szCs w:val="21"/>
              </w:rPr>
              <w:t>】FGQB-0</w:t>
            </w:r>
            <w:r>
              <w:rPr>
                <w:rFonts w:hint="eastAsia"/>
                <w:szCs w:val="21"/>
              </w:rPr>
              <w:t>040</w:t>
            </w:r>
            <w:r>
              <w:rPr>
                <w:szCs w:val="21"/>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65" w:hRule="atLeast"/>
          <w:jc w:val="center"/>
        </w:trPr>
        <w:tc>
          <w:tcPr>
            <w:tcW w:w="2140"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zCs w:val="21"/>
              </w:rPr>
            </w:pPr>
            <w:r>
              <w:rPr>
                <w:szCs w:val="21"/>
              </w:rPr>
              <w:t>总投资（万元）</w:t>
            </w:r>
          </w:p>
        </w:tc>
        <w:tc>
          <w:tcPr>
            <w:tcW w:w="187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100</w:t>
            </w:r>
            <w:r>
              <w:rPr>
                <w:szCs w:val="21"/>
              </w:rPr>
              <w:t>.00</w:t>
            </w:r>
          </w:p>
        </w:tc>
        <w:tc>
          <w:tcPr>
            <w:tcW w:w="2212"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zCs w:val="21"/>
              </w:rPr>
            </w:pPr>
            <w:r>
              <w:rPr>
                <w:szCs w:val="21"/>
              </w:rPr>
              <w:t>环保投资（万元）</w:t>
            </w:r>
          </w:p>
        </w:tc>
        <w:tc>
          <w:tcPr>
            <w:tcW w:w="2639"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szCs w:val="21"/>
              </w:rPr>
            </w:pPr>
            <w:r>
              <w:rPr>
                <w:rFonts w:hint="eastAsia"/>
                <w:szCs w:val="21"/>
              </w:rPr>
              <w:t>30.5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85" w:hRule="atLeast"/>
          <w:jc w:val="center"/>
        </w:trPr>
        <w:tc>
          <w:tcPr>
            <w:tcW w:w="2140"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zCs w:val="21"/>
              </w:rPr>
            </w:pPr>
            <w:r>
              <w:rPr>
                <w:szCs w:val="21"/>
              </w:rPr>
              <w:t>环保投资占比（%）</w:t>
            </w:r>
          </w:p>
        </w:tc>
        <w:tc>
          <w:tcPr>
            <w:tcW w:w="187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30.50</w:t>
            </w:r>
            <w:r>
              <w:rPr>
                <w:szCs w:val="21"/>
              </w:rPr>
              <w:t>%</w:t>
            </w:r>
          </w:p>
        </w:tc>
        <w:tc>
          <w:tcPr>
            <w:tcW w:w="2212"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zCs w:val="21"/>
              </w:rPr>
            </w:pPr>
            <w:r>
              <w:rPr>
                <w:szCs w:val="21"/>
              </w:rPr>
              <w:t>施工工期</w:t>
            </w:r>
          </w:p>
        </w:tc>
        <w:tc>
          <w:tcPr>
            <w:tcW w:w="2639"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szCs w:val="21"/>
              </w:rPr>
            </w:pPr>
            <w:r>
              <w:rPr>
                <w:rFonts w:hint="eastAsia"/>
                <w:szCs w:val="21"/>
              </w:rPr>
              <w:t>2</w:t>
            </w:r>
            <w:r>
              <w:rPr>
                <w:szCs w:val="21"/>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40" w:hRule="atLeast"/>
          <w:jc w:val="center"/>
        </w:trPr>
        <w:tc>
          <w:tcPr>
            <w:tcW w:w="2140"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zCs w:val="21"/>
              </w:rPr>
            </w:pPr>
            <w:r>
              <w:rPr>
                <w:szCs w:val="21"/>
              </w:rPr>
              <w:t>是否开工建设</w:t>
            </w:r>
          </w:p>
        </w:tc>
        <w:tc>
          <w:tcPr>
            <w:tcW w:w="1879" w:type="dxa"/>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szCs w:val="21"/>
              </w:rPr>
              <w:sym w:font="Wingdings 2" w:char="00A3"/>
            </w:r>
            <w:r>
              <w:rPr>
                <w:szCs w:val="21"/>
              </w:rPr>
              <w:t>否</w:t>
            </w:r>
          </w:p>
          <w:p>
            <w:pPr>
              <w:adjustRightInd w:val="0"/>
              <w:snapToGrid w:val="0"/>
              <w:rPr>
                <w:szCs w:val="21"/>
                <w:u w:val="single"/>
              </w:rPr>
            </w:pPr>
            <w:r>
              <w:rPr>
                <w:szCs w:val="21"/>
              </w:rPr>
              <w:sym w:font="Wingdings 2" w:char="0052"/>
            </w:r>
            <w:r>
              <w:rPr>
                <w:szCs w:val="21"/>
              </w:rPr>
              <w:t>是：</w:t>
            </w:r>
            <w:r>
              <w:rPr>
                <w:rFonts w:hint="eastAsia"/>
                <w:szCs w:val="21"/>
                <w:u w:val="single"/>
              </w:rPr>
              <w:t>本项目已于2020年投运。根据《中华人民共和国行政处罚法</w:t>
            </w:r>
            <w:r>
              <w:rPr>
                <w:rFonts w:hint="eastAsia"/>
                <w:szCs w:val="21"/>
                <w:u w:val="single"/>
                <w:lang w:eastAsia="zh-CN"/>
              </w:rPr>
              <w:t>》</w:t>
            </w:r>
            <w:r>
              <w:rPr>
                <w:rFonts w:hint="eastAsia"/>
                <w:szCs w:val="21"/>
                <w:u w:val="single"/>
              </w:rPr>
              <w:t>（2021年修订版）以及《关于建设项目“未批先建”违法行为法律适用问题的意见》（</w:t>
            </w:r>
          </w:p>
          <w:p>
            <w:pPr>
              <w:adjustRightInd w:val="0"/>
              <w:snapToGrid w:val="0"/>
              <w:rPr>
                <w:szCs w:val="21"/>
              </w:rPr>
            </w:pPr>
            <w:r>
              <w:rPr>
                <w:rFonts w:hint="eastAsia"/>
                <w:szCs w:val="21"/>
                <w:u w:val="single"/>
              </w:rPr>
              <w:t>环政法函［2018］31号）。本项目“未批先建”违法行为已逾两年追溯期，可不予行政处罚</w:t>
            </w:r>
          </w:p>
        </w:tc>
        <w:tc>
          <w:tcPr>
            <w:tcW w:w="2212"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pacing w:val="-6"/>
                <w:szCs w:val="21"/>
              </w:rPr>
            </w:pPr>
            <w:r>
              <w:rPr>
                <w:spacing w:val="-6"/>
                <w:szCs w:val="21"/>
              </w:rPr>
              <w:t>用地（用海）</w:t>
            </w:r>
          </w:p>
          <w:p>
            <w:pPr>
              <w:adjustRightInd w:val="0"/>
              <w:snapToGrid w:val="0"/>
              <w:jc w:val="center"/>
              <w:rPr>
                <w:szCs w:val="21"/>
              </w:rPr>
            </w:pPr>
            <w:r>
              <w:rPr>
                <w:spacing w:val="-6"/>
                <w:szCs w:val="21"/>
              </w:rPr>
              <w:t>面积（m</w:t>
            </w:r>
            <w:r>
              <w:rPr>
                <w:spacing w:val="-6"/>
                <w:szCs w:val="21"/>
                <w:vertAlign w:val="superscript"/>
              </w:rPr>
              <w:t>2</w:t>
            </w:r>
            <w:r>
              <w:rPr>
                <w:spacing w:val="-6"/>
                <w:szCs w:val="21"/>
              </w:rPr>
              <w:t>）</w:t>
            </w:r>
          </w:p>
        </w:tc>
        <w:tc>
          <w:tcPr>
            <w:tcW w:w="2639"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szCs w:val="21"/>
              </w:rPr>
            </w:pPr>
            <w:r>
              <w:rPr>
                <w:rFonts w:hint="eastAsia"/>
                <w:szCs w:val="21"/>
              </w:rPr>
              <w:t>5202.6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982" w:hRule="atLeast"/>
          <w:jc w:val="center"/>
        </w:trPr>
        <w:tc>
          <w:tcPr>
            <w:tcW w:w="2140"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pPr>
              <w:autoSpaceDE w:val="0"/>
              <w:autoSpaceDN w:val="0"/>
              <w:adjustRightInd w:val="0"/>
              <w:snapToGrid w:val="0"/>
              <w:spacing w:line="360" w:lineRule="auto"/>
              <w:jc w:val="center"/>
              <w:rPr>
                <w:kern w:val="0"/>
                <w:szCs w:val="21"/>
              </w:rPr>
            </w:pPr>
            <w:r>
              <w:rPr>
                <w:kern w:val="0"/>
                <w:szCs w:val="21"/>
              </w:rPr>
              <w:t>专项评价设置情况</w:t>
            </w:r>
          </w:p>
        </w:tc>
        <w:tc>
          <w:tcPr>
            <w:tcW w:w="6730" w:type="dxa"/>
            <w:gridSpan w:val="3"/>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autoSpaceDE w:val="0"/>
              <w:autoSpaceDN w:val="0"/>
              <w:adjustRightInd w:val="0"/>
              <w:snapToGrid w:val="0"/>
              <w:spacing w:line="420" w:lineRule="exact"/>
              <w:ind w:firstLine="420" w:firstLineChars="200"/>
              <w:rPr>
                <w:rFonts w:cs="Arial"/>
              </w:rPr>
            </w:pPr>
            <w:r>
              <w:rPr>
                <w:rFonts w:hint="eastAsia" w:cs="Arial"/>
              </w:rPr>
              <w:t>根据建设项目环境影响报告表编制技术指南（污染影响类）（试行），本项目不需设置专项评价，对照情况见下表。</w:t>
            </w:r>
          </w:p>
          <w:p>
            <w:pPr>
              <w:autoSpaceDE w:val="0"/>
              <w:autoSpaceDN w:val="0"/>
              <w:adjustRightInd w:val="0"/>
              <w:spacing w:line="400" w:lineRule="exact"/>
              <w:ind w:firstLine="360" w:firstLineChars="200"/>
              <w:jc w:val="center"/>
              <w:rPr>
                <w:rFonts w:hint="eastAsia" w:ascii="黑体" w:hAnsi="黑体" w:eastAsia="黑体"/>
                <w:kern w:val="0"/>
                <w:sz w:val="18"/>
                <w:szCs w:val="18"/>
              </w:rPr>
            </w:pPr>
          </w:p>
          <w:p>
            <w:pPr>
              <w:autoSpaceDE w:val="0"/>
              <w:autoSpaceDN w:val="0"/>
              <w:adjustRightInd w:val="0"/>
              <w:spacing w:line="400" w:lineRule="exact"/>
              <w:ind w:firstLine="360" w:firstLineChars="200"/>
              <w:jc w:val="center"/>
              <w:rPr>
                <w:rFonts w:hint="eastAsia" w:ascii="黑体" w:hAnsi="黑体" w:eastAsia="黑体"/>
                <w:kern w:val="0"/>
                <w:sz w:val="18"/>
                <w:szCs w:val="18"/>
              </w:rPr>
            </w:pPr>
          </w:p>
          <w:p>
            <w:pPr>
              <w:autoSpaceDE w:val="0"/>
              <w:autoSpaceDN w:val="0"/>
              <w:adjustRightInd w:val="0"/>
              <w:spacing w:line="400" w:lineRule="exact"/>
              <w:ind w:firstLine="360" w:firstLineChars="200"/>
              <w:jc w:val="center"/>
              <w:rPr>
                <w:rFonts w:hint="eastAsia" w:ascii="黑体" w:hAnsi="黑体" w:eastAsia="黑体"/>
                <w:kern w:val="0"/>
                <w:sz w:val="18"/>
                <w:szCs w:val="18"/>
              </w:rPr>
            </w:pPr>
          </w:p>
          <w:p>
            <w:pPr>
              <w:autoSpaceDE w:val="0"/>
              <w:autoSpaceDN w:val="0"/>
              <w:adjustRightInd w:val="0"/>
              <w:spacing w:line="100" w:lineRule="exact"/>
              <w:ind w:firstLine="360" w:firstLineChars="200"/>
              <w:jc w:val="center"/>
              <w:rPr>
                <w:rFonts w:hint="eastAsia" w:ascii="黑体" w:hAnsi="黑体" w:eastAsia="黑体"/>
                <w:kern w:val="0"/>
                <w:sz w:val="18"/>
                <w:szCs w:val="18"/>
              </w:rPr>
            </w:pPr>
          </w:p>
          <w:p>
            <w:pPr>
              <w:autoSpaceDE w:val="0"/>
              <w:autoSpaceDN w:val="0"/>
              <w:adjustRightInd w:val="0"/>
              <w:spacing w:line="100" w:lineRule="exact"/>
              <w:ind w:firstLine="360" w:firstLineChars="200"/>
              <w:jc w:val="center"/>
              <w:rPr>
                <w:rFonts w:hint="eastAsia" w:ascii="黑体" w:hAnsi="黑体" w:eastAsia="黑体"/>
                <w:kern w:val="0"/>
                <w:sz w:val="18"/>
                <w:szCs w:val="18"/>
              </w:rPr>
            </w:pPr>
          </w:p>
          <w:p>
            <w:pPr>
              <w:autoSpaceDE w:val="0"/>
              <w:autoSpaceDN w:val="0"/>
              <w:adjustRightInd w:val="0"/>
              <w:spacing w:line="100" w:lineRule="exact"/>
              <w:ind w:firstLine="360" w:firstLineChars="200"/>
              <w:jc w:val="center"/>
              <w:rPr>
                <w:rFonts w:hint="eastAsia" w:ascii="黑体" w:hAnsi="黑体" w:eastAsia="黑体"/>
                <w:kern w:val="0"/>
                <w:sz w:val="18"/>
                <w:szCs w:val="18"/>
              </w:rPr>
            </w:pPr>
          </w:p>
          <w:p>
            <w:pPr>
              <w:autoSpaceDE w:val="0"/>
              <w:autoSpaceDN w:val="0"/>
              <w:adjustRightInd w:val="0"/>
              <w:spacing w:line="100" w:lineRule="exact"/>
              <w:ind w:firstLine="360" w:firstLineChars="200"/>
              <w:jc w:val="center"/>
              <w:rPr>
                <w:rFonts w:hint="eastAsia" w:ascii="黑体" w:hAnsi="黑体" w:eastAsia="黑体"/>
                <w:kern w:val="0"/>
                <w:sz w:val="18"/>
                <w:szCs w:val="18"/>
              </w:rPr>
            </w:pPr>
          </w:p>
          <w:p>
            <w:pPr>
              <w:autoSpaceDE w:val="0"/>
              <w:autoSpaceDN w:val="0"/>
              <w:adjustRightInd w:val="0"/>
              <w:spacing w:line="100" w:lineRule="exact"/>
              <w:ind w:firstLine="360" w:firstLineChars="200"/>
              <w:jc w:val="center"/>
              <w:rPr>
                <w:rFonts w:hint="eastAsia" w:ascii="黑体" w:hAnsi="黑体" w:eastAsia="黑体"/>
                <w:kern w:val="0"/>
                <w:sz w:val="18"/>
                <w:szCs w:val="18"/>
              </w:rPr>
            </w:pPr>
          </w:p>
          <w:p>
            <w:pPr>
              <w:autoSpaceDE w:val="0"/>
              <w:autoSpaceDN w:val="0"/>
              <w:adjustRightInd w:val="0"/>
              <w:spacing w:line="400" w:lineRule="exact"/>
              <w:ind w:firstLine="360" w:firstLineChars="200"/>
              <w:jc w:val="center"/>
              <w:rPr>
                <w:rFonts w:eastAsia="黑体"/>
                <w:kern w:val="0"/>
                <w:sz w:val="18"/>
                <w:szCs w:val="18"/>
              </w:rPr>
            </w:pPr>
            <w:r>
              <w:rPr>
                <w:rFonts w:ascii="黑体" w:hAnsi="黑体" w:eastAsia="黑体"/>
                <w:kern w:val="0"/>
                <w:sz w:val="18"/>
                <w:szCs w:val="18"/>
              </w:rPr>
              <w:t>表</w:t>
            </w:r>
            <w:r>
              <w:rPr>
                <w:rFonts w:eastAsia="黑体"/>
                <w:kern w:val="0"/>
                <w:sz w:val="18"/>
                <w:szCs w:val="18"/>
              </w:rPr>
              <w:t xml:space="preserve">1-1 </w:t>
            </w:r>
            <w:r>
              <w:rPr>
                <w:rFonts w:ascii="黑体" w:hAnsi="黑体" w:eastAsia="黑体"/>
                <w:kern w:val="0"/>
                <w:sz w:val="18"/>
                <w:szCs w:val="18"/>
              </w:rPr>
              <w:t>专项评价设置原则对照表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551"/>
              <w:gridCol w:w="3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53" w:leftChars="-25" w:right="-53" w:rightChars="-25"/>
                    <w:jc w:val="center"/>
                    <w:rPr>
                      <w:b/>
                      <w:bCs/>
                      <w:sz w:val="15"/>
                      <w:szCs w:val="15"/>
                    </w:rPr>
                  </w:pPr>
                  <w:r>
                    <w:rPr>
                      <w:rFonts w:ascii="宋体" w:hAnsi="宋体"/>
                      <w:b/>
                      <w:bCs/>
                      <w:sz w:val="15"/>
                      <w:szCs w:val="15"/>
                    </w:rPr>
                    <w:t>专项评价类别</w:t>
                  </w:r>
                </w:p>
              </w:tc>
              <w:tc>
                <w:tcPr>
                  <w:tcW w:w="2551"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53" w:leftChars="-25" w:right="-53" w:rightChars="-25"/>
                    <w:jc w:val="center"/>
                    <w:rPr>
                      <w:b/>
                      <w:bCs/>
                      <w:sz w:val="15"/>
                      <w:szCs w:val="15"/>
                    </w:rPr>
                  </w:pPr>
                  <w:r>
                    <w:rPr>
                      <w:rFonts w:ascii="宋体" w:hAnsi="宋体"/>
                      <w:b/>
                      <w:bCs/>
                      <w:sz w:val="15"/>
                      <w:szCs w:val="15"/>
                    </w:rPr>
                    <w:t>设置原则</w:t>
                  </w:r>
                </w:p>
              </w:tc>
              <w:tc>
                <w:tcPr>
                  <w:tcW w:w="3023"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53" w:leftChars="-25" w:right="-53" w:rightChars="-25"/>
                    <w:jc w:val="center"/>
                    <w:rPr>
                      <w:b/>
                      <w:bCs/>
                      <w:sz w:val="15"/>
                      <w:szCs w:val="15"/>
                    </w:rPr>
                  </w:pPr>
                  <w:r>
                    <w:rPr>
                      <w:rFonts w:ascii="宋体" w:hAnsi="宋体"/>
                      <w:b/>
                      <w:bCs/>
                      <w:sz w:val="15"/>
                      <w:szCs w:val="15"/>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53" w:leftChars="-25" w:right="-53" w:rightChars="-25"/>
                    <w:jc w:val="center"/>
                    <w:rPr>
                      <w:sz w:val="15"/>
                      <w:szCs w:val="15"/>
                    </w:rPr>
                  </w:pPr>
                  <w:r>
                    <w:rPr>
                      <w:rFonts w:ascii="宋体" w:hAnsi="宋体"/>
                      <w:sz w:val="15"/>
                      <w:szCs w:val="15"/>
                    </w:rPr>
                    <w:t>大气</w:t>
                  </w:r>
                </w:p>
              </w:tc>
              <w:tc>
                <w:tcPr>
                  <w:tcW w:w="2551"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53" w:leftChars="-25" w:right="-53" w:rightChars="-25"/>
                    <w:jc w:val="left"/>
                    <w:rPr>
                      <w:sz w:val="15"/>
                      <w:szCs w:val="15"/>
                    </w:rPr>
                  </w:pPr>
                  <w:r>
                    <w:rPr>
                      <w:rFonts w:ascii="宋体" w:hAnsi="宋体"/>
                      <w:sz w:val="15"/>
                      <w:szCs w:val="15"/>
                    </w:rPr>
                    <w:t>排放废气含有毒有害污染物</w:t>
                  </w:r>
                  <w:r>
                    <w:rPr>
                      <w:sz w:val="15"/>
                      <w:szCs w:val="15"/>
                      <w:vertAlign w:val="superscript"/>
                    </w:rPr>
                    <w:t>1</w:t>
                  </w:r>
                  <w:r>
                    <w:rPr>
                      <w:rFonts w:ascii="宋体" w:hAnsi="宋体"/>
                      <w:sz w:val="15"/>
                      <w:szCs w:val="15"/>
                    </w:rPr>
                    <w:t>、二噁英、苯并</w:t>
                  </w:r>
                  <w:r>
                    <w:rPr>
                      <w:sz w:val="15"/>
                      <w:szCs w:val="15"/>
                    </w:rPr>
                    <w:t>[a]</w:t>
                  </w:r>
                  <w:r>
                    <w:rPr>
                      <w:rFonts w:ascii="宋体" w:hAnsi="宋体"/>
                      <w:sz w:val="15"/>
                      <w:szCs w:val="15"/>
                    </w:rPr>
                    <w:t>芘、氰化物、氯气且厂界外</w:t>
                  </w:r>
                  <w:r>
                    <w:rPr>
                      <w:sz w:val="15"/>
                      <w:szCs w:val="15"/>
                    </w:rPr>
                    <w:t>500</w:t>
                  </w:r>
                  <w:r>
                    <w:rPr>
                      <w:rFonts w:ascii="宋体" w:hAnsi="宋体"/>
                      <w:sz w:val="15"/>
                      <w:szCs w:val="15"/>
                    </w:rPr>
                    <w:t>米范围内有环境空气保护目标</w:t>
                  </w:r>
                  <w:r>
                    <w:rPr>
                      <w:sz w:val="15"/>
                      <w:szCs w:val="15"/>
                      <w:vertAlign w:val="superscript"/>
                    </w:rPr>
                    <w:t>2</w:t>
                  </w:r>
                  <w:r>
                    <w:rPr>
                      <w:rFonts w:ascii="宋体" w:hAnsi="宋体"/>
                      <w:sz w:val="15"/>
                      <w:szCs w:val="15"/>
                    </w:rPr>
                    <w:t>的建设项目</w:t>
                  </w:r>
                </w:p>
              </w:tc>
              <w:tc>
                <w:tcPr>
                  <w:tcW w:w="3023"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53" w:leftChars="-25" w:right="-53" w:rightChars="-25"/>
                    <w:jc w:val="left"/>
                    <w:rPr>
                      <w:sz w:val="15"/>
                      <w:szCs w:val="15"/>
                    </w:rPr>
                  </w:pPr>
                  <w:r>
                    <w:rPr>
                      <w:rFonts w:ascii="宋体" w:hAnsi="宋体"/>
                      <w:sz w:val="15"/>
                      <w:szCs w:val="15"/>
                    </w:rPr>
                    <w:t>本项目运营期废气污染物因子</w:t>
                  </w:r>
                  <w:r>
                    <w:rPr>
                      <w:rFonts w:hint="eastAsia" w:ascii="宋体" w:hAnsi="宋体"/>
                      <w:sz w:val="15"/>
                      <w:szCs w:val="15"/>
                    </w:rPr>
                    <w:t>为粉尘</w:t>
                  </w:r>
                  <w:r>
                    <w:rPr>
                      <w:rFonts w:ascii="宋体" w:hAnsi="宋体"/>
                      <w:sz w:val="15"/>
                      <w:szCs w:val="15"/>
                    </w:rPr>
                    <w:t>，</w:t>
                  </w:r>
                  <w:r>
                    <w:rPr>
                      <w:rFonts w:hint="eastAsia" w:ascii="宋体" w:hAnsi="宋体"/>
                      <w:sz w:val="15"/>
                      <w:szCs w:val="15"/>
                    </w:rPr>
                    <w:t>不属于</w:t>
                  </w:r>
                  <w:r>
                    <w:rPr>
                      <w:rFonts w:ascii="宋体" w:hAnsi="宋体"/>
                      <w:sz w:val="15"/>
                      <w:szCs w:val="15"/>
                    </w:rPr>
                    <w:t>有毒有害污染物</w:t>
                  </w:r>
                  <w:r>
                    <w:rPr>
                      <w:rFonts w:hint="eastAsia" w:ascii="宋体" w:hAnsi="宋体"/>
                      <w:sz w:val="15"/>
                      <w:szCs w:val="15"/>
                    </w:rPr>
                    <w:t>等。</w:t>
                  </w:r>
                  <w:r>
                    <w:rPr>
                      <w:rFonts w:ascii="宋体" w:hAnsi="宋体"/>
                      <w:b/>
                      <w:bCs/>
                      <w:sz w:val="15"/>
                      <w:szCs w:val="15"/>
                    </w:rPr>
                    <w:t>因此本项目</w:t>
                  </w:r>
                  <w:r>
                    <w:rPr>
                      <w:rFonts w:hint="eastAsia" w:ascii="宋体" w:hAnsi="宋体"/>
                      <w:b/>
                      <w:bCs/>
                      <w:sz w:val="15"/>
                      <w:szCs w:val="15"/>
                    </w:rPr>
                    <w:t>不需</w:t>
                  </w:r>
                  <w:r>
                    <w:rPr>
                      <w:rFonts w:ascii="宋体" w:hAnsi="宋体"/>
                      <w:b/>
                      <w:bCs/>
                      <w:sz w:val="15"/>
                      <w:szCs w:val="15"/>
                    </w:rPr>
                    <w:t>设置大气专项评价。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53" w:leftChars="-25" w:right="-53" w:rightChars="-25"/>
                    <w:jc w:val="center"/>
                    <w:rPr>
                      <w:sz w:val="15"/>
                      <w:szCs w:val="15"/>
                    </w:rPr>
                  </w:pPr>
                  <w:r>
                    <w:rPr>
                      <w:rFonts w:ascii="宋体" w:hAnsi="宋体"/>
                      <w:sz w:val="15"/>
                      <w:szCs w:val="15"/>
                    </w:rPr>
                    <w:t>地表水</w:t>
                  </w:r>
                </w:p>
              </w:tc>
              <w:tc>
                <w:tcPr>
                  <w:tcW w:w="2551"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53" w:leftChars="-25" w:right="-53" w:rightChars="-25"/>
                    <w:jc w:val="left"/>
                    <w:rPr>
                      <w:sz w:val="15"/>
                      <w:szCs w:val="15"/>
                    </w:rPr>
                  </w:pPr>
                  <w:r>
                    <w:rPr>
                      <w:rFonts w:ascii="宋体" w:hAnsi="宋体"/>
                      <w:sz w:val="15"/>
                      <w:szCs w:val="15"/>
                    </w:rPr>
                    <w:t>新增工业废水直排建设项目（槽罐车外送污水处理厂的除外）；新增废水直排的污水集中处理厂</w:t>
                  </w:r>
                </w:p>
              </w:tc>
              <w:tc>
                <w:tcPr>
                  <w:tcW w:w="3023"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53" w:leftChars="-25" w:right="-53" w:rightChars="-25"/>
                    <w:jc w:val="left"/>
                    <w:rPr>
                      <w:sz w:val="15"/>
                      <w:szCs w:val="15"/>
                    </w:rPr>
                  </w:pPr>
                  <w:r>
                    <w:rPr>
                      <w:rFonts w:ascii="宋体" w:hAnsi="宋体"/>
                      <w:sz w:val="15"/>
                      <w:szCs w:val="15"/>
                    </w:rPr>
                    <w:t>本项目</w:t>
                  </w:r>
                  <w:r>
                    <w:rPr>
                      <w:rFonts w:hint="eastAsia" w:ascii="宋体" w:hAnsi="宋体"/>
                      <w:sz w:val="15"/>
                      <w:szCs w:val="15"/>
                    </w:rPr>
                    <w:t>不新增工业废水直排，生活污水通过拉运进入东岳场镇污水处理厂</w:t>
                  </w:r>
                  <w:r>
                    <w:rPr>
                      <w:rFonts w:ascii="宋体" w:hAnsi="宋体"/>
                      <w:sz w:val="15"/>
                      <w:szCs w:val="15"/>
                    </w:rPr>
                    <w:t>。</w:t>
                  </w:r>
                  <w:r>
                    <w:rPr>
                      <w:rFonts w:ascii="宋体" w:hAnsi="宋体"/>
                      <w:b/>
                      <w:bCs/>
                      <w:sz w:val="15"/>
                      <w:szCs w:val="15"/>
                    </w:rPr>
                    <w:t>故本项目无需开展地表水专项评价。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53" w:leftChars="-25" w:right="-53" w:rightChars="-25"/>
                    <w:jc w:val="center"/>
                    <w:rPr>
                      <w:sz w:val="15"/>
                      <w:szCs w:val="15"/>
                    </w:rPr>
                  </w:pPr>
                  <w:r>
                    <w:rPr>
                      <w:rFonts w:ascii="宋体" w:hAnsi="宋体"/>
                      <w:sz w:val="15"/>
                      <w:szCs w:val="15"/>
                    </w:rPr>
                    <w:t>环境风险</w:t>
                  </w:r>
                </w:p>
              </w:tc>
              <w:tc>
                <w:tcPr>
                  <w:tcW w:w="2551"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53" w:leftChars="-25" w:right="-53" w:rightChars="-25"/>
                    <w:jc w:val="left"/>
                    <w:rPr>
                      <w:sz w:val="15"/>
                      <w:szCs w:val="15"/>
                    </w:rPr>
                  </w:pPr>
                  <w:r>
                    <w:rPr>
                      <w:rFonts w:ascii="宋体" w:hAnsi="宋体"/>
                      <w:sz w:val="15"/>
                      <w:szCs w:val="15"/>
                    </w:rPr>
                    <w:t>有毒有害和易燃易爆危险物质存储量超过临界量</w:t>
                  </w:r>
                  <w:r>
                    <w:rPr>
                      <w:sz w:val="15"/>
                      <w:szCs w:val="15"/>
                      <w:vertAlign w:val="superscript"/>
                    </w:rPr>
                    <w:t>3</w:t>
                  </w:r>
                  <w:r>
                    <w:rPr>
                      <w:rFonts w:ascii="宋体" w:hAnsi="宋体"/>
                      <w:sz w:val="15"/>
                      <w:szCs w:val="15"/>
                    </w:rPr>
                    <w:t>的建设项目</w:t>
                  </w:r>
                </w:p>
              </w:tc>
              <w:tc>
                <w:tcPr>
                  <w:tcW w:w="3023"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53" w:leftChars="-25" w:right="-53" w:rightChars="-25"/>
                    <w:jc w:val="left"/>
                    <w:rPr>
                      <w:sz w:val="15"/>
                      <w:szCs w:val="15"/>
                    </w:rPr>
                  </w:pPr>
                  <w:r>
                    <w:rPr>
                      <w:rFonts w:ascii="宋体" w:hAnsi="宋体"/>
                      <w:sz w:val="15"/>
                      <w:szCs w:val="15"/>
                    </w:rPr>
                    <w:t>本项目</w:t>
                  </w:r>
                  <w:r>
                    <w:rPr>
                      <w:rFonts w:hint="eastAsia" w:ascii="宋体" w:hAnsi="宋体"/>
                      <w:sz w:val="15"/>
                      <w:szCs w:val="15"/>
                    </w:rPr>
                    <w:t>不涉及储存</w:t>
                  </w:r>
                  <w:r>
                    <w:rPr>
                      <w:rFonts w:ascii="宋体" w:hAnsi="宋体"/>
                      <w:sz w:val="15"/>
                      <w:szCs w:val="15"/>
                    </w:rPr>
                    <w:t>有毒有害和易燃易爆危险物质，</w:t>
                  </w:r>
                  <w:r>
                    <w:rPr>
                      <w:rFonts w:ascii="宋体" w:hAnsi="宋体"/>
                      <w:b/>
                      <w:bCs/>
                      <w:sz w:val="15"/>
                      <w:szCs w:val="15"/>
                    </w:rPr>
                    <w:t>故本项目无需开展环境风险专项评价。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53" w:leftChars="-25" w:right="-53" w:rightChars="-25"/>
                    <w:jc w:val="center"/>
                    <w:rPr>
                      <w:sz w:val="15"/>
                      <w:szCs w:val="15"/>
                    </w:rPr>
                  </w:pPr>
                  <w:r>
                    <w:rPr>
                      <w:rFonts w:ascii="宋体" w:hAnsi="宋体"/>
                      <w:sz w:val="15"/>
                      <w:szCs w:val="15"/>
                    </w:rPr>
                    <w:t>生态</w:t>
                  </w:r>
                </w:p>
              </w:tc>
              <w:tc>
                <w:tcPr>
                  <w:tcW w:w="2551"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53" w:leftChars="-25" w:right="-53" w:rightChars="-25"/>
                    <w:jc w:val="left"/>
                    <w:rPr>
                      <w:sz w:val="15"/>
                      <w:szCs w:val="15"/>
                    </w:rPr>
                  </w:pPr>
                  <w:r>
                    <w:rPr>
                      <w:rFonts w:ascii="宋体" w:hAnsi="宋体"/>
                      <w:sz w:val="15"/>
                      <w:szCs w:val="15"/>
                    </w:rPr>
                    <w:t>取水口下游</w:t>
                  </w:r>
                  <w:r>
                    <w:rPr>
                      <w:sz w:val="15"/>
                      <w:szCs w:val="15"/>
                    </w:rPr>
                    <w:t>500</w:t>
                  </w:r>
                  <w:r>
                    <w:rPr>
                      <w:rFonts w:ascii="宋体" w:hAnsi="宋体"/>
                      <w:sz w:val="15"/>
                      <w:szCs w:val="15"/>
                    </w:rPr>
                    <w:t>米范围内有重要水生生物的自然产卵场、索饵场、越冬场和洄游通道的新增河道取水的污染类建设项目</w:t>
                  </w:r>
                </w:p>
              </w:tc>
              <w:tc>
                <w:tcPr>
                  <w:tcW w:w="3023"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53" w:leftChars="-25" w:right="-53" w:rightChars="-25"/>
                    <w:jc w:val="left"/>
                    <w:rPr>
                      <w:sz w:val="15"/>
                      <w:szCs w:val="15"/>
                    </w:rPr>
                  </w:pPr>
                  <w:r>
                    <w:rPr>
                      <w:rFonts w:ascii="宋体" w:hAnsi="宋体"/>
                      <w:sz w:val="15"/>
                      <w:szCs w:val="15"/>
                    </w:rPr>
                    <w:t>本项目不涉及取水，</w:t>
                  </w:r>
                  <w:r>
                    <w:rPr>
                      <w:rFonts w:ascii="宋体" w:hAnsi="宋体"/>
                      <w:b/>
                      <w:bCs/>
                      <w:sz w:val="15"/>
                      <w:szCs w:val="15"/>
                    </w:rPr>
                    <w:t>故本项目无需开展生态专项评价。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53" w:leftChars="-25" w:right="-53" w:rightChars="-25"/>
                    <w:jc w:val="center"/>
                    <w:rPr>
                      <w:sz w:val="15"/>
                      <w:szCs w:val="15"/>
                    </w:rPr>
                  </w:pPr>
                  <w:r>
                    <w:rPr>
                      <w:rFonts w:ascii="宋体" w:hAnsi="宋体"/>
                      <w:sz w:val="15"/>
                      <w:szCs w:val="15"/>
                    </w:rPr>
                    <w:t>海洋</w:t>
                  </w:r>
                </w:p>
              </w:tc>
              <w:tc>
                <w:tcPr>
                  <w:tcW w:w="2551"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53" w:leftChars="-25" w:right="-53" w:rightChars="-25"/>
                    <w:jc w:val="left"/>
                    <w:rPr>
                      <w:sz w:val="15"/>
                      <w:szCs w:val="15"/>
                    </w:rPr>
                  </w:pPr>
                  <w:r>
                    <w:rPr>
                      <w:rFonts w:ascii="宋体" w:hAnsi="宋体"/>
                      <w:sz w:val="15"/>
                      <w:szCs w:val="15"/>
                    </w:rPr>
                    <w:t>直接向海排放污染物的海洋工程建设项目</w:t>
                  </w:r>
                </w:p>
              </w:tc>
              <w:tc>
                <w:tcPr>
                  <w:tcW w:w="3023"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53" w:leftChars="-25" w:right="-53" w:rightChars="-25"/>
                    <w:jc w:val="left"/>
                    <w:rPr>
                      <w:sz w:val="15"/>
                      <w:szCs w:val="15"/>
                    </w:rPr>
                  </w:pPr>
                  <w:r>
                    <w:rPr>
                      <w:rFonts w:ascii="宋体" w:hAnsi="宋体"/>
                      <w:sz w:val="15"/>
                      <w:szCs w:val="15"/>
                    </w:rPr>
                    <w:t>本项目不属于海洋工程建设项目，</w:t>
                  </w:r>
                  <w:r>
                    <w:rPr>
                      <w:rFonts w:ascii="宋体" w:hAnsi="宋体"/>
                      <w:b/>
                      <w:bCs/>
                      <w:sz w:val="15"/>
                      <w:szCs w:val="15"/>
                    </w:rPr>
                    <w:t>故本项目无需开展海洋专项评价。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53" w:leftChars="-25" w:right="-53" w:rightChars="-25"/>
                    <w:jc w:val="center"/>
                    <w:rPr>
                      <w:sz w:val="15"/>
                      <w:szCs w:val="15"/>
                    </w:rPr>
                  </w:pPr>
                  <w:r>
                    <w:rPr>
                      <w:rFonts w:ascii="宋体" w:hAnsi="宋体"/>
                      <w:sz w:val="15"/>
                      <w:szCs w:val="15"/>
                    </w:rPr>
                    <w:t>地下水</w:t>
                  </w:r>
                </w:p>
              </w:tc>
              <w:tc>
                <w:tcPr>
                  <w:tcW w:w="2551"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53" w:leftChars="-25" w:right="-53" w:rightChars="-25"/>
                    <w:jc w:val="left"/>
                    <w:rPr>
                      <w:sz w:val="15"/>
                      <w:szCs w:val="15"/>
                    </w:rPr>
                  </w:pPr>
                  <w:r>
                    <w:rPr>
                      <w:rFonts w:ascii="宋体" w:hAnsi="宋体"/>
                      <w:sz w:val="15"/>
                      <w:szCs w:val="15"/>
                    </w:rPr>
                    <w:t>涉及集中式饮用水水源和热水、矿泉水、温泉等特殊地下水资源保护区</w:t>
                  </w:r>
                </w:p>
              </w:tc>
              <w:tc>
                <w:tcPr>
                  <w:tcW w:w="3023"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53" w:leftChars="-25" w:right="-53" w:rightChars="-25"/>
                    <w:jc w:val="left"/>
                    <w:rPr>
                      <w:sz w:val="15"/>
                      <w:szCs w:val="15"/>
                    </w:rPr>
                  </w:pPr>
                  <w:r>
                    <w:rPr>
                      <w:rFonts w:ascii="宋体" w:hAnsi="宋体"/>
                      <w:sz w:val="15"/>
                      <w:szCs w:val="15"/>
                    </w:rPr>
                    <w:t>本项目不涉及集中式饮用水水源和热水、矿泉水、温泉等特殊地下水资源保护区，</w:t>
                  </w:r>
                  <w:r>
                    <w:rPr>
                      <w:rFonts w:ascii="宋体" w:hAnsi="宋体"/>
                      <w:b/>
                      <w:bCs/>
                      <w:sz w:val="15"/>
                      <w:szCs w:val="15"/>
                    </w:rPr>
                    <w:t>故无需开展地下水专项评价。</w:t>
                  </w:r>
                </w:p>
              </w:tc>
            </w:tr>
          </w:tbl>
          <w:p>
            <w:pPr>
              <w:pStyle w:val="15"/>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690" w:hRule="atLeast"/>
          <w:jc w:val="center"/>
        </w:trPr>
        <w:tc>
          <w:tcPr>
            <w:tcW w:w="2140"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pPr>
              <w:autoSpaceDE w:val="0"/>
              <w:autoSpaceDN w:val="0"/>
              <w:adjustRightInd w:val="0"/>
              <w:snapToGrid w:val="0"/>
              <w:spacing w:line="360" w:lineRule="auto"/>
              <w:jc w:val="center"/>
              <w:rPr>
                <w:kern w:val="0"/>
                <w:szCs w:val="21"/>
              </w:rPr>
            </w:pPr>
            <w:r>
              <w:rPr>
                <w:szCs w:val="21"/>
              </w:rPr>
              <w:t>规划情况</w:t>
            </w:r>
          </w:p>
        </w:tc>
        <w:tc>
          <w:tcPr>
            <w:tcW w:w="6730" w:type="dxa"/>
            <w:gridSpan w:val="3"/>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autoSpaceDE w:val="0"/>
              <w:autoSpaceDN w:val="0"/>
              <w:adjustRightInd w:val="0"/>
              <w:snapToGrid w:val="0"/>
              <w:spacing w:line="420" w:lineRule="exact"/>
              <w:ind w:firstLine="420" w:firstLineChars="200"/>
              <w:rPr>
                <w:rFonts w:cs="Arial"/>
              </w:rPr>
            </w:pPr>
            <w:r>
              <w:rPr>
                <w:rFonts w:hint="eastAsia" w:cs="Arial"/>
              </w:rPr>
              <w:t>规划名称：达州市通川区东岳新型工业集聚区规划</w:t>
            </w:r>
          </w:p>
          <w:p>
            <w:pPr>
              <w:autoSpaceDE w:val="0"/>
              <w:autoSpaceDN w:val="0"/>
              <w:adjustRightInd w:val="0"/>
              <w:snapToGrid w:val="0"/>
              <w:spacing w:line="420" w:lineRule="exact"/>
              <w:ind w:firstLine="420" w:firstLineChars="200"/>
              <w:rPr>
                <w:rFonts w:cs="Arial"/>
              </w:rPr>
            </w:pPr>
            <w:r>
              <w:rPr>
                <w:rFonts w:hint="eastAsia" w:cs="Arial"/>
              </w:rPr>
              <w:t>规划区范围：东以达州市环城高速为界，北至魏兴接壤处，西至襄渝铁路复线以东，南至双龙镇接壤处，规划面积7.34km</w:t>
            </w:r>
            <w:r>
              <w:rPr>
                <w:rFonts w:hint="eastAsia" w:cs="Arial"/>
                <w:vertAlign w:val="superscript"/>
              </w:rPr>
              <w:t>2</w:t>
            </w:r>
            <w:r>
              <w:rPr>
                <w:rFonts w:hint="eastAsia" w:cs="Arial"/>
              </w:rPr>
              <w:t>。</w:t>
            </w:r>
          </w:p>
          <w:p>
            <w:pPr>
              <w:autoSpaceDE w:val="0"/>
              <w:autoSpaceDN w:val="0"/>
              <w:adjustRightInd w:val="0"/>
              <w:snapToGrid w:val="0"/>
              <w:spacing w:line="420" w:lineRule="exact"/>
              <w:ind w:firstLine="420" w:firstLineChars="200"/>
              <w:rPr>
                <w:kern w:val="0"/>
                <w:szCs w:val="21"/>
              </w:rPr>
            </w:pPr>
            <w:r>
              <w:rPr>
                <w:rFonts w:hint="eastAsia" w:cs="Arial"/>
              </w:rPr>
              <w:t>功能定位：达州市通川区东岳新型工业集聚区定位发展成以轻工电子、新材料、节能环保、机械制造产业为主导，同时承接部分传统产业退城进郊的新型工业集聚区。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105" w:hRule="atLeast"/>
          <w:jc w:val="center"/>
        </w:trPr>
        <w:tc>
          <w:tcPr>
            <w:tcW w:w="2140"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20" w:lineRule="exact"/>
              <w:ind w:left="-53" w:leftChars="-25" w:right="-53" w:rightChars="-25"/>
              <w:jc w:val="center"/>
              <w:rPr>
                <w:szCs w:val="21"/>
              </w:rPr>
            </w:pPr>
            <w:r>
              <w:rPr>
                <w:rFonts w:hint="eastAsia" w:ascii="宋体" w:hAnsi="宋体"/>
              </w:rPr>
              <w:t>规划环境影响</w:t>
            </w:r>
          </w:p>
          <w:p>
            <w:pPr>
              <w:adjustRightInd w:val="0"/>
              <w:snapToGrid w:val="0"/>
              <w:spacing w:line="320" w:lineRule="exact"/>
              <w:ind w:left="-53" w:leftChars="-25" w:right="-53" w:rightChars="-25"/>
              <w:jc w:val="center"/>
              <w:rPr>
                <w:kern w:val="0"/>
                <w:szCs w:val="21"/>
              </w:rPr>
            </w:pPr>
            <w:r>
              <w:rPr>
                <w:rFonts w:hint="eastAsia" w:ascii="宋体" w:hAnsi="宋体"/>
              </w:rPr>
              <w:t>评价情况</w:t>
            </w:r>
          </w:p>
        </w:tc>
        <w:tc>
          <w:tcPr>
            <w:tcW w:w="6730" w:type="dxa"/>
            <w:gridSpan w:val="3"/>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autoSpaceDE w:val="0"/>
              <w:autoSpaceDN w:val="0"/>
              <w:adjustRightInd w:val="0"/>
              <w:snapToGrid w:val="0"/>
              <w:spacing w:line="400" w:lineRule="exact"/>
              <w:rPr>
                <w:kern w:val="0"/>
                <w:szCs w:val="21"/>
              </w:rPr>
            </w:pPr>
            <w:r>
              <w:rPr>
                <w:rFonts w:hint="eastAsia" w:ascii="宋体" w:hAnsi="宋体"/>
                <w:b/>
                <w:bCs/>
                <w:kern w:val="0"/>
              </w:rPr>
              <w:t>规划环评名称</w:t>
            </w:r>
            <w:r>
              <w:rPr>
                <w:rFonts w:hint="eastAsia" w:ascii="宋体" w:hAnsi="宋体"/>
                <w:kern w:val="0"/>
              </w:rPr>
              <w:t>：《达州市通川区东岳新型工业集聚区规划环境影响报告书》；</w:t>
            </w:r>
          </w:p>
          <w:p>
            <w:pPr>
              <w:autoSpaceDE w:val="0"/>
              <w:autoSpaceDN w:val="0"/>
              <w:adjustRightInd w:val="0"/>
              <w:snapToGrid w:val="0"/>
              <w:spacing w:line="400" w:lineRule="exact"/>
              <w:rPr>
                <w:kern w:val="0"/>
              </w:rPr>
            </w:pPr>
            <w:r>
              <w:rPr>
                <w:rFonts w:hint="eastAsia" w:ascii="宋体" w:hAnsi="宋体"/>
                <w:b/>
                <w:bCs/>
                <w:kern w:val="0"/>
              </w:rPr>
              <w:t>召集审查机关</w:t>
            </w:r>
            <w:r>
              <w:rPr>
                <w:rFonts w:hint="eastAsia" w:ascii="宋体" w:hAnsi="宋体"/>
                <w:kern w:val="0"/>
              </w:rPr>
              <w:t>：达州市通川生态环境局（原达州市通川区环境保护局）；</w:t>
            </w:r>
          </w:p>
          <w:p>
            <w:pPr>
              <w:autoSpaceDE w:val="0"/>
              <w:autoSpaceDN w:val="0"/>
              <w:adjustRightInd w:val="0"/>
              <w:snapToGrid w:val="0"/>
              <w:spacing w:line="400" w:lineRule="exact"/>
              <w:rPr>
                <w:kern w:val="0"/>
                <w:szCs w:val="21"/>
              </w:rPr>
            </w:pPr>
            <w:r>
              <w:rPr>
                <w:rFonts w:hint="eastAsia" w:ascii="宋体" w:hAnsi="宋体"/>
                <w:b/>
                <w:bCs/>
                <w:kern w:val="0"/>
              </w:rPr>
              <w:t>审查文件名称及文号</w:t>
            </w:r>
            <w:r>
              <w:rPr>
                <w:rFonts w:hint="eastAsia" w:ascii="宋体" w:hAnsi="宋体"/>
                <w:kern w:val="0"/>
              </w:rPr>
              <w:t>：关于《达州市通川区东岳新型工业集聚区规划环境影响报告书》审查意见的函（通区环函〔</w:t>
            </w:r>
            <w:r>
              <w:rPr>
                <w:kern w:val="0"/>
              </w:rPr>
              <w:t>2015</w:t>
            </w:r>
            <w:r>
              <w:rPr>
                <w:rFonts w:hint="eastAsia" w:ascii="宋体" w:hAnsi="宋体"/>
                <w:kern w:val="0"/>
              </w:rPr>
              <w:t>〕</w:t>
            </w:r>
            <w:r>
              <w:rPr>
                <w:kern w:val="0"/>
              </w:rPr>
              <w:t>122</w:t>
            </w:r>
            <w:r>
              <w:rPr>
                <w:rFonts w:hint="eastAsia" w:ascii="宋体" w:hAnsi="宋体"/>
                <w:kern w:val="0"/>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140"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pPr>
              <w:autoSpaceDE w:val="0"/>
              <w:autoSpaceDN w:val="0"/>
              <w:adjustRightInd w:val="0"/>
              <w:snapToGrid w:val="0"/>
              <w:jc w:val="center"/>
              <w:rPr>
                <w:kern w:val="0"/>
                <w:szCs w:val="21"/>
              </w:rPr>
            </w:pPr>
            <w:r>
              <w:rPr>
                <w:kern w:val="0"/>
                <w:szCs w:val="21"/>
              </w:rPr>
              <w:t>规划及规划环境</w:t>
            </w:r>
          </w:p>
          <w:p>
            <w:pPr>
              <w:autoSpaceDE w:val="0"/>
              <w:autoSpaceDN w:val="0"/>
              <w:adjustRightInd w:val="0"/>
              <w:snapToGrid w:val="0"/>
              <w:jc w:val="center"/>
            </w:pPr>
            <w:r>
              <w:rPr>
                <w:kern w:val="0"/>
                <w:szCs w:val="21"/>
              </w:rPr>
              <w:t>影响评价符合性分析</w:t>
            </w:r>
          </w:p>
        </w:tc>
        <w:tc>
          <w:tcPr>
            <w:tcW w:w="6730" w:type="dxa"/>
            <w:gridSpan w:val="3"/>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adjustRightInd w:val="0"/>
              <w:snapToGrid w:val="0"/>
              <w:spacing w:line="400" w:lineRule="exact"/>
              <w:rPr>
                <w:rFonts w:eastAsia="黑体"/>
                <w:bCs/>
                <w:sz w:val="22"/>
                <w:szCs w:val="22"/>
              </w:rPr>
            </w:pPr>
            <w:r>
              <w:rPr>
                <w:rFonts w:eastAsia="黑体"/>
                <w:bCs/>
                <w:sz w:val="22"/>
                <w:szCs w:val="22"/>
              </w:rPr>
              <w:t>1</w:t>
            </w:r>
            <w:r>
              <w:rPr>
                <w:rFonts w:hint="eastAsia" w:ascii="黑体" w:hAnsi="黑体" w:eastAsia="黑体"/>
                <w:bCs/>
                <w:sz w:val="22"/>
                <w:szCs w:val="22"/>
              </w:rPr>
              <w:t>、环境准入符合性分析</w:t>
            </w:r>
          </w:p>
          <w:p>
            <w:pPr>
              <w:autoSpaceDE w:val="0"/>
              <w:autoSpaceDN w:val="0"/>
              <w:adjustRightInd w:val="0"/>
              <w:snapToGrid w:val="0"/>
              <w:spacing w:line="400" w:lineRule="exact"/>
              <w:ind w:firstLine="420" w:firstLineChars="200"/>
              <w:rPr>
                <w:kern w:val="0"/>
                <w:szCs w:val="21"/>
              </w:rPr>
            </w:pPr>
            <w:r>
              <w:rPr>
                <w:rFonts w:hint="eastAsia" w:ascii="宋体" w:hAnsi="宋体"/>
                <w:kern w:val="0"/>
              </w:rPr>
              <w:t>根据规划、规划环评结论及审查意见，东岳新型工业集聚区鼓励、禁止及限制入驻企业类型见下表。</w:t>
            </w:r>
          </w:p>
          <w:p>
            <w:pPr>
              <w:autoSpaceDE w:val="0"/>
              <w:autoSpaceDN w:val="0"/>
              <w:adjustRightInd w:val="0"/>
              <w:snapToGrid w:val="0"/>
              <w:spacing w:line="340" w:lineRule="exact"/>
              <w:jc w:val="center"/>
              <w:rPr>
                <w:rFonts w:hint="eastAsia" w:ascii="黑体" w:hAnsi="黑体" w:eastAsia="黑体"/>
                <w:kern w:val="0"/>
                <w:sz w:val="18"/>
                <w:szCs w:val="20"/>
              </w:rPr>
            </w:pPr>
          </w:p>
          <w:p>
            <w:pPr>
              <w:autoSpaceDE w:val="0"/>
              <w:autoSpaceDN w:val="0"/>
              <w:adjustRightInd w:val="0"/>
              <w:snapToGrid w:val="0"/>
              <w:spacing w:line="340" w:lineRule="exact"/>
              <w:jc w:val="center"/>
              <w:rPr>
                <w:rFonts w:hint="eastAsia" w:ascii="黑体" w:hAnsi="黑体" w:eastAsia="黑体"/>
                <w:kern w:val="0"/>
                <w:sz w:val="18"/>
                <w:szCs w:val="20"/>
              </w:rPr>
            </w:pPr>
          </w:p>
          <w:p>
            <w:pPr>
              <w:autoSpaceDE w:val="0"/>
              <w:autoSpaceDN w:val="0"/>
              <w:adjustRightInd w:val="0"/>
              <w:snapToGrid w:val="0"/>
              <w:spacing w:line="340" w:lineRule="exact"/>
              <w:jc w:val="center"/>
              <w:rPr>
                <w:rFonts w:eastAsia="黑体"/>
                <w:kern w:val="0"/>
                <w:sz w:val="18"/>
                <w:szCs w:val="20"/>
              </w:rPr>
            </w:pPr>
            <w:r>
              <w:rPr>
                <w:rFonts w:hint="eastAsia" w:ascii="黑体" w:hAnsi="黑体" w:eastAsia="黑体"/>
                <w:kern w:val="0"/>
                <w:sz w:val="18"/>
                <w:szCs w:val="20"/>
              </w:rPr>
              <w:t>表</w:t>
            </w:r>
            <w:r>
              <w:rPr>
                <w:rFonts w:eastAsia="黑体"/>
                <w:kern w:val="0"/>
                <w:sz w:val="18"/>
                <w:szCs w:val="20"/>
              </w:rPr>
              <w:t>1-</w:t>
            </w:r>
            <w:r>
              <w:rPr>
                <w:rFonts w:hint="eastAsia" w:eastAsia="黑体"/>
                <w:kern w:val="0"/>
                <w:sz w:val="18"/>
                <w:szCs w:val="20"/>
              </w:rPr>
              <w:t xml:space="preserve">2  </w:t>
            </w:r>
            <w:r>
              <w:rPr>
                <w:rFonts w:hint="eastAsia" w:ascii="黑体" w:hAnsi="黑体" w:eastAsia="黑体"/>
                <w:kern w:val="0"/>
                <w:sz w:val="18"/>
                <w:szCs w:val="20"/>
              </w:rPr>
              <w:t>园区功能划分及入园企业要求</w:t>
            </w:r>
          </w:p>
          <w:tbl>
            <w:tblPr>
              <w:tblStyle w:val="21"/>
              <w:tblW w:w="6471"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059"/>
              <w:gridCol w:w="5412"/>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7" w:hRule="atLeast"/>
                <w:jc w:val="center"/>
              </w:trPr>
              <w:tc>
                <w:tcPr>
                  <w:tcW w:w="1059" w:type="dxa"/>
                  <w:tcBorders>
                    <w:top w:val="single" w:color="auto" w:sz="4" w:space="0"/>
                    <w:left w:val="single" w:color="auto" w:sz="4" w:space="0"/>
                    <w:bottom w:val="single" w:color="000000" w:sz="4" w:space="0"/>
                    <w:right w:val="single" w:color="000000" w:sz="4" w:space="0"/>
                  </w:tcBorders>
                  <w:vAlign w:val="center"/>
                </w:tcPr>
                <w:p>
                  <w:pPr>
                    <w:autoSpaceDE w:val="0"/>
                    <w:autoSpaceDN w:val="0"/>
                    <w:adjustRightInd w:val="0"/>
                    <w:snapToGrid w:val="0"/>
                    <w:spacing w:line="300" w:lineRule="exact"/>
                    <w:jc w:val="center"/>
                    <w:rPr>
                      <w:b/>
                      <w:bCs/>
                      <w:kern w:val="0"/>
                      <w:sz w:val="18"/>
                      <w:szCs w:val="18"/>
                    </w:rPr>
                  </w:pPr>
                  <w:r>
                    <w:rPr>
                      <w:rFonts w:hint="eastAsia" w:ascii="宋体" w:hAnsi="宋体"/>
                      <w:b/>
                      <w:bCs/>
                      <w:kern w:val="0"/>
                      <w:sz w:val="18"/>
                      <w:szCs w:val="18"/>
                    </w:rPr>
                    <w:t>类别</w:t>
                  </w:r>
                </w:p>
              </w:tc>
              <w:tc>
                <w:tcPr>
                  <w:tcW w:w="5412" w:type="dxa"/>
                  <w:tcBorders>
                    <w:top w:val="single" w:color="auto" w:sz="4" w:space="0"/>
                    <w:left w:val="nil"/>
                    <w:bottom w:val="single" w:color="000000" w:sz="4" w:space="0"/>
                    <w:right w:val="single" w:color="auto" w:sz="4" w:space="0"/>
                  </w:tcBorders>
                  <w:vAlign w:val="center"/>
                </w:tcPr>
                <w:p>
                  <w:pPr>
                    <w:autoSpaceDE w:val="0"/>
                    <w:autoSpaceDN w:val="0"/>
                    <w:adjustRightInd w:val="0"/>
                    <w:snapToGrid w:val="0"/>
                    <w:spacing w:line="300" w:lineRule="exact"/>
                    <w:jc w:val="center"/>
                    <w:rPr>
                      <w:b/>
                      <w:bCs/>
                      <w:kern w:val="0"/>
                      <w:sz w:val="18"/>
                      <w:szCs w:val="18"/>
                    </w:rPr>
                  </w:pPr>
                  <w:r>
                    <w:rPr>
                      <w:rFonts w:hint="eastAsia" w:ascii="宋体" w:hAnsi="宋体"/>
                      <w:b/>
                      <w:bCs/>
                      <w:kern w:val="0"/>
                      <w:sz w:val="18"/>
                      <w:szCs w:val="18"/>
                    </w:rPr>
                    <w:t>禁止入驻企业类型</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606" w:hRule="atLeast"/>
                <w:jc w:val="center"/>
              </w:trPr>
              <w:tc>
                <w:tcPr>
                  <w:tcW w:w="1059" w:type="dxa"/>
                  <w:tcBorders>
                    <w:top w:val="single" w:color="000000" w:sz="4" w:space="0"/>
                    <w:left w:val="single" w:color="auto" w:sz="4" w:space="0"/>
                    <w:bottom w:val="single" w:color="000000" w:sz="4" w:space="0"/>
                    <w:right w:val="single" w:color="000000" w:sz="4" w:space="0"/>
                  </w:tcBorders>
                  <w:vAlign w:val="center"/>
                </w:tcPr>
                <w:p>
                  <w:pPr>
                    <w:autoSpaceDE w:val="0"/>
                    <w:autoSpaceDN w:val="0"/>
                    <w:adjustRightInd w:val="0"/>
                    <w:snapToGrid w:val="0"/>
                    <w:spacing w:line="300" w:lineRule="exact"/>
                    <w:jc w:val="center"/>
                    <w:rPr>
                      <w:rFonts w:ascii="宋体" w:hAnsi="宋体"/>
                      <w:kern w:val="0"/>
                      <w:sz w:val="18"/>
                      <w:szCs w:val="18"/>
                    </w:rPr>
                  </w:pPr>
                  <w:r>
                    <w:rPr>
                      <w:rFonts w:hint="eastAsia" w:ascii="宋体" w:hAnsi="宋体"/>
                      <w:kern w:val="0"/>
                      <w:sz w:val="18"/>
                      <w:szCs w:val="18"/>
                    </w:rPr>
                    <w:t>鼓励类</w:t>
                  </w:r>
                </w:p>
                <w:p>
                  <w:pPr>
                    <w:autoSpaceDE w:val="0"/>
                    <w:autoSpaceDN w:val="0"/>
                    <w:adjustRightInd w:val="0"/>
                    <w:snapToGrid w:val="0"/>
                    <w:spacing w:line="300" w:lineRule="exact"/>
                    <w:jc w:val="center"/>
                    <w:rPr>
                      <w:kern w:val="0"/>
                      <w:sz w:val="18"/>
                      <w:szCs w:val="18"/>
                    </w:rPr>
                  </w:pPr>
                  <w:r>
                    <w:rPr>
                      <w:rFonts w:hint="eastAsia" w:ascii="宋体" w:hAnsi="宋体"/>
                      <w:kern w:val="0"/>
                      <w:sz w:val="18"/>
                      <w:szCs w:val="18"/>
                    </w:rPr>
                    <w:t>企业</w:t>
                  </w:r>
                </w:p>
              </w:tc>
              <w:tc>
                <w:tcPr>
                  <w:tcW w:w="5412" w:type="dxa"/>
                  <w:tcBorders>
                    <w:top w:val="single" w:color="000000" w:sz="4" w:space="0"/>
                    <w:left w:val="nil"/>
                    <w:bottom w:val="single" w:color="000000" w:sz="4" w:space="0"/>
                    <w:right w:val="single" w:color="auto" w:sz="4" w:space="0"/>
                  </w:tcBorders>
                  <w:vAlign w:val="center"/>
                </w:tcPr>
                <w:p>
                  <w:pPr>
                    <w:autoSpaceDE w:val="0"/>
                    <w:autoSpaceDN w:val="0"/>
                    <w:adjustRightInd w:val="0"/>
                    <w:snapToGrid w:val="0"/>
                    <w:spacing w:line="300" w:lineRule="exact"/>
                    <w:rPr>
                      <w:kern w:val="0"/>
                      <w:sz w:val="18"/>
                      <w:szCs w:val="18"/>
                    </w:rPr>
                  </w:pPr>
                  <w:r>
                    <w:rPr>
                      <w:rFonts w:hint="eastAsia" w:ascii="宋体" w:hAnsi="宋体"/>
                      <w:kern w:val="0"/>
                      <w:sz w:val="18"/>
                      <w:szCs w:val="18"/>
                    </w:rPr>
                    <w:t>（</w:t>
                  </w:r>
                  <w:r>
                    <w:rPr>
                      <w:kern w:val="0"/>
                      <w:sz w:val="18"/>
                      <w:szCs w:val="18"/>
                    </w:rPr>
                    <w:t>1</w:t>
                  </w:r>
                  <w:r>
                    <w:rPr>
                      <w:rFonts w:hint="eastAsia" w:ascii="宋体" w:hAnsi="宋体"/>
                      <w:kern w:val="0"/>
                      <w:sz w:val="18"/>
                      <w:szCs w:val="18"/>
                    </w:rPr>
                    <w:t>）在用水、节水、排水设计等方面达到国内先进水平；清洁生产标准达到过优于国家先进水平的项目；</w:t>
                  </w:r>
                </w:p>
                <w:p>
                  <w:pPr>
                    <w:autoSpaceDE w:val="0"/>
                    <w:autoSpaceDN w:val="0"/>
                    <w:adjustRightInd w:val="0"/>
                    <w:snapToGrid w:val="0"/>
                    <w:spacing w:line="300" w:lineRule="exact"/>
                    <w:rPr>
                      <w:kern w:val="0"/>
                      <w:sz w:val="18"/>
                      <w:szCs w:val="18"/>
                    </w:rPr>
                  </w:pPr>
                  <w:r>
                    <w:rPr>
                      <w:rFonts w:hint="eastAsia" w:ascii="宋体" w:hAnsi="宋体"/>
                      <w:kern w:val="0"/>
                      <w:sz w:val="18"/>
                      <w:szCs w:val="18"/>
                    </w:rPr>
                    <w:t>（</w:t>
                  </w:r>
                  <w:r>
                    <w:rPr>
                      <w:kern w:val="0"/>
                      <w:sz w:val="18"/>
                      <w:szCs w:val="18"/>
                    </w:rPr>
                    <w:t>2</w:t>
                  </w:r>
                  <w:r>
                    <w:rPr>
                      <w:rFonts w:hint="eastAsia" w:ascii="宋体" w:hAnsi="宋体"/>
                      <w:kern w:val="0"/>
                      <w:sz w:val="18"/>
                      <w:szCs w:val="18"/>
                    </w:rPr>
                    <w:t>）轻工电子、新材料、节能环保、机械制造等产业符合现行国家产业政策行业，符合规划区规划产业，企业效益明显，对区域不造成明显污染，遵循清洁生产及循环经济的项目</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208" w:hRule="atLeast"/>
                <w:jc w:val="center"/>
              </w:trPr>
              <w:tc>
                <w:tcPr>
                  <w:tcW w:w="1059" w:type="dxa"/>
                  <w:tcBorders>
                    <w:top w:val="single" w:color="000000" w:sz="4" w:space="0"/>
                    <w:left w:val="single" w:color="auto" w:sz="4" w:space="0"/>
                    <w:bottom w:val="single" w:color="000000" w:sz="4" w:space="0"/>
                    <w:right w:val="single" w:color="000000" w:sz="4" w:space="0"/>
                  </w:tcBorders>
                  <w:vAlign w:val="center"/>
                </w:tcPr>
                <w:p>
                  <w:pPr>
                    <w:autoSpaceDE w:val="0"/>
                    <w:autoSpaceDN w:val="0"/>
                    <w:adjustRightInd w:val="0"/>
                    <w:snapToGrid w:val="0"/>
                    <w:spacing w:line="300" w:lineRule="exact"/>
                    <w:jc w:val="center"/>
                    <w:rPr>
                      <w:kern w:val="0"/>
                      <w:sz w:val="18"/>
                      <w:szCs w:val="18"/>
                    </w:rPr>
                  </w:pPr>
                  <w:r>
                    <w:rPr>
                      <w:rFonts w:hint="eastAsia" w:ascii="宋体" w:hAnsi="宋体"/>
                      <w:kern w:val="0"/>
                      <w:sz w:val="18"/>
                      <w:szCs w:val="18"/>
                    </w:rPr>
                    <w:t>禁止及限制类企业</w:t>
                  </w:r>
                </w:p>
              </w:tc>
              <w:tc>
                <w:tcPr>
                  <w:tcW w:w="5412" w:type="dxa"/>
                  <w:tcBorders>
                    <w:top w:val="single" w:color="000000" w:sz="4" w:space="0"/>
                    <w:left w:val="nil"/>
                    <w:bottom w:val="single" w:color="000000" w:sz="4" w:space="0"/>
                    <w:right w:val="single" w:color="auto" w:sz="4" w:space="0"/>
                  </w:tcBorders>
                  <w:vAlign w:val="center"/>
                </w:tcPr>
                <w:p>
                  <w:pPr>
                    <w:autoSpaceDE w:val="0"/>
                    <w:autoSpaceDN w:val="0"/>
                    <w:adjustRightInd w:val="0"/>
                    <w:snapToGrid w:val="0"/>
                    <w:spacing w:line="300" w:lineRule="exact"/>
                    <w:rPr>
                      <w:kern w:val="0"/>
                      <w:sz w:val="18"/>
                      <w:szCs w:val="18"/>
                    </w:rPr>
                  </w:pPr>
                  <w:r>
                    <w:rPr>
                      <w:rFonts w:hint="eastAsia" w:ascii="宋体" w:hAnsi="宋体"/>
                      <w:kern w:val="0"/>
                      <w:sz w:val="18"/>
                      <w:szCs w:val="18"/>
                    </w:rPr>
                    <w:t>（</w:t>
                  </w:r>
                  <w:r>
                    <w:rPr>
                      <w:kern w:val="0"/>
                      <w:sz w:val="18"/>
                      <w:szCs w:val="18"/>
                    </w:rPr>
                    <w:t>1</w:t>
                  </w:r>
                  <w:r>
                    <w:rPr>
                      <w:rFonts w:hint="eastAsia" w:ascii="宋体" w:hAnsi="宋体"/>
                      <w:kern w:val="0"/>
                      <w:sz w:val="18"/>
                      <w:szCs w:val="18"/>
                    </w:rPr>
                    <w:t>）不符合国家产业政策、不满足行业准入条件的项目。</w:t>
                  </w:r>
                </w:p>
                <w:p>
                  <w:pPr>
                    <w:autoSpaceDE w:val="0"/>
                    <w:autoSpaceDN w:val="0"/>
                    <w:adjustRightInd w:val="0"/>
                    <w:snapToGrid w:val="0"/>
                    <w:spacing w:line="300" w:lineRule="exact"/>
                    <w:rPr>
                      <w:kern w:val="0"/>
                      <w:sz w:val="18"/>
                      <w:szCs w:val="18"/>
                    </w:rPr>
                  </w:pPr>
                  <w:r>
                    <w:rPr>
                      <w:rFonts w:hint="eastAsia" w:ascii="宋体" w:hAnsi="宋体"/>
                      <w:kern w:val="0"/>
                      <w:sz w:val="18"/>
                      <w:szCs w:val="18"/>
                    </w:rPr>
                    <w:t>（</w:t>
                  </w:r>
                  <w:r>
                    <w:rPr>
                      <w:kern w:val="0"/>
                      <w:sz w:val="18"/>
                      <w:szCs w:val="18"/>
                    </w:rPr>
                    <w:t>2</w:t>
                  </w:r>
                  <w:r>
                    <w:rPr>
                      <w:rFonts w:hint="eastAsia" w:ascii="宋体" w:hAnsi="宋体"/>
                      <w:kern w:val="0"/>
                      <w:sz w:val="18"/>
                      <w:szCs w:val="18"/>
                    </w:rPr>
                    <w:t>）禁止引进对水环境影响严重的工业企业，如：屠宰、电镀、制革、洗选、印染、含发酵工艺的生物制药等对水环境污染重的企业；禁止引进对大气环境影响严重的工业企业：电石、冶炼、焦化、煤化工、黄磷等对大气环境污染重的企业；以及其他重污染工业企业。</w:t>
                  </w:r>
                </w:p>
                <w:p>
                  <w:pPr>
                    <w:autoSpaceDE w:val="0"/>
                    <w:autoSpaceDN w:val="0"/>
                    <w:adjustRightInd w:val="0"/>
                    <w:snapToGrid w:val="0"/>
                    <w:spacing w:line="300" w:lineRule="exact"/>
                    <w:rPr>
                      <w:kern w:val="0"/>
                      <w:sz w:val="18"/>
                      <w:szCs w:val="18"/>
                    </w:rPr>
                  </w:pPr>
                  <w:r>
                    <w:rPr>
                      <w:rFonts w:hint="eastAsia" w:ascii="宋体" w:hAnsi="宋体"/>
                      <w:kern w:val="0"/>
                      <w:sz w:val="18"/>
                      <w:szCs w:val="18"/>
                    </w:rPr>
                    <w:t>（</w:t>
                  </w:r>
                  <w:r>
                    <w:rPr>
                      <w:kern w:val="0"/>
                      <w:sz w:val="18"/>
                      <w:szCs w:val="18"/>
                    </w:rPr>
                    <w:t>3</w:t>
                  </w:r>
                  <w:r>
                    <w:rPr>
                      <w:rFonts w:hint="eastAsia" w:ascii="宋体" w:hAnsi="宋体"/>
                      <w:kern w:val="0"/>
                      <w:sz w:val="18"/>
                      <w:szCs w:val="18"/>
                    </w:rPr>
                    <w:t>）禁止引进技术落后，项目清洁生产水平不能达到行业清洁生产标准二级标准要求或低于全国同类企业平均污渍生产水平的项目。</w:t>
                  </w:r>
                </w:p>
                <w:p>
                  <w:pPr>
                    <w:autoSpaceDE w:val="0"/>
                    <w:autoSpaceDN w:val="0"/>
                    <w:adjustRightInd w:val="0"/>
                    <w:snapToGrid w:val="0"/>
                    <w:spacing w:line="300" w:lineRule="exact"/>
                    <w:rPr>
                      <w:kern w:val="0"/>
                      <w:sz w:val="18"/>
                      <w:szCs w:val="18"/>
                    </w:rPr>
                  </w:pPr>
                  <w:r>
                    <w:rPr>
                      <w:rFonts w:hint="eastAsia" w:ascii="宋体" w:hAnsi="宋体"/>
                      <w:kern w:val="0"/>
                      <w:sz w:val="18"/>
                      <w:szCs w:val="18"/>
                    </w:rPr>
                    <w:t>（</w:t>
                  </w:r>
                  <w:r>
                    <w:rPr>
                      <w:kern w:val="0"/>
                      <w:sz w:val="18"/>
                      <w:szCs w:val="18"/>
                    </w:rPr>
                    <w:t>4</w:t>
                  </w:r>
                  <w:r>
                    <w:rPr>
                      <w:rFonts w:hint="eastAsia" w:ascii="宋体" w:hAnsi="宋体"/>
                      <w:kern w:val="0"/>
                      <w:sz w:val="18"/>
                      <w:szCs w:val="18"/>
                    </w:rPr>
                    <w:t>）禁止引进与园区主导产业不相容的项目。</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73" w:hRule="atLeast"/>
                <w:jc w:val="center"/>
              </w:trPr>
              <w:tc>
                <w:tcPr>
                  <w:tcW w:w="1059" w:type="dxa"/>
                  <w:tcBorders>
                    <w:top w:val="single" w:color="000000" w:sz="4" w:space="0"/>
                    <w:left w:val="single" w:color="auto" w:sz="4" w:space="0"/>
                    <w:bottom w:val="single" w:color="000000" w:sz="4" w:space="0"/>
                    <w:right w:val="single" w:color="000000" w:sz="4" w:space="0"/>
                  </w:tcBorders>
                  <w:vAlign w:val="center"/>
                </w:tcPr>
                <w:p>
                  <w:pPr>
                    <w:autoSpaceDE w:val="0"/>
                    <w:autoSpaceDN w:val="0"/>
                    <w:adjustRightInd w:val="0"/>
                    <w:snapToGrid w:val="0"/>
                    <w:spacing w:line="300" w:lineRule="exact"/>
                    <w:jc w:val="center"/>
                    <w:rPr>
                      <w:rFonts w:ascii="宋体" w:hAnsi="宋体"/>
                      <w:kern w:val="0"/>
                      <w:sz w:val="18"/>
                      <w:szCs w:val="18"/>
                    </w:rPr>
                  </w:pPr>
                  <w:r>
                    <w:rPr>
                      <w:rFonts w:hint="eastAsia" w:ascii="宋体" w:hAnsi="宋体"/>
                      <w:kern w:val="0"/>
                      <w:sz w:val="18"/>
                      <w:szCs w:val="18"/>
                    </w:rPr>
                    <w:t>允许类</w:t>
                  </w:r>
                </w:p>
                <w:p>
                  <w:pPr>
                    <w:autoSpaceDE w:val="0"/>
                    <w:autoSpaceDN w:val="0"/>
                    <w:adjustRightInd w:val="0"/>
                    <w:snapToGrid w:val="0"/>
                    <w:spacing w:line="300" w:lineRule="exact"/>
                    <w:jc w:val="center"/>
                    <w:rPr>
                      <w:kern w:val="0"/>
                      <w:sz w:val="18"/>
                      <w:szCs w:val="18"/>
                    </w:rPr>
                  </w:pPr>
                  <w:r>
                    <w:rPr>
                      <w:rFonts w:hint="eastAsia" w:ascii="宋体" w:hAnsi="宋体"/>
                      <w:kern w:val="0"/>
                      <w:sz w:val="18"/>
                      <w:szCs w:val="18"/>
                    </w:rPr>
                    <w:t>企业</w:t>
                  </w:r>
                </w:p>
              </w:tc>
              <w:tc>
                <w:tcPr>
                  <w:tcW w:w="5412" w:type="dxa"/>
                  <w:tcBorders>
                    <w:top w:val="single" w:color="000000" w:sz="4" w:space="0"/>
                    <w:left w:val="nil"/>
                    <w:bottom w:val="single" w:color="000000" w:sz="4" w:space="0"/>
                    <w:right w:val="single" w:color="auto" w:sz="4" w:space="0"/>
                  </w:tcBorders>
                  <w:vAlign w:val="center"/>
                </w:tcPr>
                <w:p>
                  <w:pPr>
                    <w:autoSpaceDE w:val="0"/>
                    <w:autoSpaceDN w:val="0"/>
                    <w:adjustRightInd w:val="0"/>
                    <w:snapToGrid w:val="0"/>
                    <w:spacing w:line="300" w:lineRule="exact"/>
                    <w:rPr>
                      <w:kern w:val="0"/>
                      <w:sz w:val="18"/>
                      <w:szCs w:val="18"/>
                    </w:rPr>
                  </w:pPr>
                  <w:r>
                    <w:rPr>
                      <w:rFonts w:hint="eastAsia" w:ascii="宋体" w:hAnsi="宋体"/>
                      <w:kern w:val="0"/>
                      <w:sz w:val="18"/>
                      <w:szCs w:val="18"/>
                    </w:rPr>
                    <w:t>不排斥与区域或各产业片区主业不相禁忌和不形成交叉影响的企业入驻。</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89" w:hRule="atLeast"/>
                <w:jc w:val="center"/>
              </w:trPr>
              <w:tc>
                <w:tcPr>
                  <w:tcW w:w="1059" w:type="dxa"/>
                  <w:tcBorders>
                    <w:top w:val="single" w:color="000000" w:sz="4" w:space="0"/>
                    <w:left w:val="single" w:color="auto" w:sz="4" w:space="0"/>
                    <w:bottom w:val="single" w:color="000000" w:sz="4" w:space="0"/>
                    <w:right w:val="single" w:color="000000" w:sz="4" w:space="0"/>
                  </w:tcBorders>
                  <w:vAlign w:val="center"/>
                </w:tcPr>
                <w:p>
                  <w:pPr>
                    <w:autoSpaceDE w:val="0"/>
                    <w:autoSpaceDN w:val="0"/>
                    <w:adjustRightInd w:val="0"/>
                    <w:snapToGrid w:val="0"/>
                    <w:spacing w:line="300" w:lineRule="exact"/>
                    <w:jc w:val="center"/>
                    <w:rPr>
                      <w:kern w:val="0"/>
                      <w:sz w:val="18"/>
                      <w:szCs w:val="18"/>
                    </w:rPr>
                  </w:pPr>
                  <w:r>
                    <w:rPr>
                      <w:rFonts w:hint="eastAsia" w:ascii="宋体" w:hAnsi="宋体"/>
                      <w:kern w:val="0"/>
                      <w:sz w:val="18"/>
                      <w:szCs w:val="18"/>
                    </w:rPr>
                    <w:t>清洁生产门槛</w:t>
                  </w:r>
                </w:p>
              </w:tc>
              <w:tc>
                <w:tcPr>
                  <w:tcW w:w="5412" w:type="dxa"/>
                  <w:tcBorders>
                    <w:top w:val="single" w:color="000000" w:sz="4" w:space="0"/>
                    <w:left w:val="nil"/>
                    <w:bottom w:val="single" w:color="000000" w:sz="4" w:space="0"/>
                    <w:right w:val="single" w:color="auto" w:sz="4" w:space="0"/>
                  </w:tcBorders>
                  <w:vAlign w:val="center"/>
                </w:tcPr>
                <w:p>
                  <w:pPr>
                    <w:autoSpaceDE w:val="0"/>
                    <w:autoSpaceDN w:val="0"/>
                    <w:adjustRightInd w:val="0"/>
                    <w:snapToGrid w:val="0"/>
                    <w:spacing w:line="300" w:lineRule="exact"/>
                    <w:rPr>
                      <w:kern w:val="0"/>
                      <w:sz w:val="18"/>
                      <w:szCs w:val="18"/>
                    </w:rPr>
                  </w:pPr>
                  <w:r>
                    <w:rPr>
                      <w:rFonts w:hint="eastAsia" w:ascii="宋体" w:hAnsi="宋体"/>
                      <w:kern w:val="0"/>
                      <w:sz w:val="18"/>
                      <w:szCs w:val="18"/>
                    </w:rPr>
                    <w:t>入园企业必须采用国际、国内先进水平的生产工艺、设备及污染治理技术，物耗、能耗、水耗等至少应达到相应行业的清洁生产水平二级或国内先进水平。</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059" w:type="dxa"/>
                  <w:tcBorders>
                    <w:top w:val="single" w:color="000000" w:sz="4" w:space="0"/>
                    <w:left w:val="single" w:color="auto" w:sz="4" w:space="0"/>
                    <w:bottom w:val="single" w:color="auto" w:sz="4" w:space="0"/>
                    <w:right w:val="single" w:color="000000" w:sz="4" w:space="0"/>
                  </w:tcBorders>
                  <w:vAlign w:val="center"/>
                </w:tcPr>
                <w:p>
                  <w:pPr>
                    <w:autoSpaceDE w:val="0"/>
                    <w:autoSpaceDN w:val="0"/>
                    <w:adjustRightInd w:val="0"/>
                    <w:snapToGrid w:val="0"/>
                    <w:spacing w:line="300" w:lineRule="exact"/>
                    <w:jc w:val="center"/>
                    <w:rPr>
                      <w:kern w:val="0"/>
                      <w:sz w:val="18"/>
                      <w:szCs w:val="18"/>
                    </w:rPr>
                  </w:pPr>
                  <w:r>
                    <w:rPr>
                      <w:rFonts w:hint="eastAsia" w:ascii="宋体" w:hAnsi="宋体"/>
                      <w:kern w:val="0"/>
                      <w:sz w:val="18"/>
                      <w:szCs w:val="18"/>
                    </w:rPr>
                    <w:t>本项目</w:t>
                  </w:r>
                </w:p>
              </w:tc>
              <w:tc>
                <w:tcPr>
                  <w:tcW w:w="5412" w:type="dxa"/>
                  <w:tcBorders>
                    <w:top w:val="single" w:color="000000" w:sz="4" w:space="0"/>
                    <w:left w:val="nil"/>
                    <w:bottom w:val="single" w:color="auto" w:sz="4" w:space="0"/>
                    <w:right w:val="single" w:color="auto" w:sz="4" w:space="0"/>
                  </w:tcBorders>
                  <w:vAlign w:val="center"/>
                </w:tcPr>
                <w:p>
                  <w:pPr>
                    <w:autoSpaceDE w:val="0"/>
                    <w:autoSpaceDN w:val="0"/>
                    <w:adjustRightInd w:val="0"/>
                    <w:snapToGrid w:val="0"/>
                    <w:spacing w:line="300" w:lineRule="exact"/>
                    <w:rPr>
                      <w:kern w:val="0"/>
                      <w:sz w:val="18"/>
                      <w:szCs w:val="18"/>
                    </w:rPr>
                  </w:pPr>
                  <w:r>
                    <w:rPr>
                      <w:rFonts w:hint="eastAsia" w:ascii="宋体" w:hAnsi="宋体"/>
                      <w:kern w:val="0"/>
                      <w:sz w:val="18"/>
                      <w:szCs w:val="18"/>
                    </w:rPr>
                    <w:t>本项目为储煤棚建设项目，堆存的煤炭主要交付给东岳电厂使用，属于规划环评中提及的“与区域或各产业片区主业不相禁忌和不形成交叉影响的企业”，且不属于规划环评中明确的禁止及限制类企业，属于允许类企业，符合入园要求。</w:t>
                  </w:r>
                </w:p>
              </w:tc>
            </w:tr>
          </w:tbl>
          <w:p>
            <w:pPr>
              <w:adjustRightInd w:val="0"/>
              <w:snapToGrid w:val="0"/>
              <w:spacing w:line="400" w:lineRule="exact"/>
              <w:rPr>
                <w:rFonts w:eastAsia="黑体"/>
                <w:bCs/>
                <w:sz w:val="22"/>
                <w:szCs w:val="22"/>
              </w:rPr>
            </w:pPr>
            <w:r>
              <w:rPr>
                <w:rFonts w:eastAsia="黑体"/>
                <w:bCs/>
                <w:sz w:val="22"/>
                <w:szCs w:val="22"/>
              </w:rPr>
              <w:t>2</w:t>
            </w:r>
            <w:r>
              <w:rPr>
                <w:rFonts w:hint="eastAsia" w:ascii="黑体" w:hAnsi="黑体" w:eastAsia="黑体"/>
                <w:bCs/>
                <w:sz w:val="22"/>
                <w:szCs w:val="22"/>
              </w:rPr>
              <w:t>、功能分区符合性分析</w:t>
            </w:r>
          </w:p>
          <w:p>
            <w:pPr>
              <w:autoSpaceDE w:val="0"/>
              <w:autoSpaceDN w:val="0"/>
              <w:adjustRightInd w:val="0"/>
              <w:snapToGrid w:val="0"/>
              <w:spacing w:line="400" w:lineRule="exact"/>
              <w:ind w:firstLine="420" w:firstLineChars="200"/>
            </w:pPr>
            <w:r>
              <w:rPr>
                <w:rFonts w:hint="eastAsia"/>
              </w:rPr>
              <w:t>功能分区布局：规划形成</w:t>
            </w:r>
            <w:r>
              <w:t>“</w:t>
            </w:r>
            <w:r>
              <w:rPr>
                <w:rFonts w:hint="eastAsia"/>
              </w:rPr>
              <w:t>一轴、一心、两片区</w:t>
            </w:r>
            <w:r>
              <w:t>”</w:t>
            </w:r>
            <w:r>
              <w:rPr>
                <w:rFonts w:hint="eastAsia"/>
              </w:rPr>
              <w:t>的总体布局结构。一轴：沿</w:t>
            </w:r>
            <w:r>
              <w:t>210</w:t>
            </w:r>
            <w:r>
              <w:rPr>
                <w:rFonts w:hint="eastAsia"/>
              </w:rPr>
              <w:t>国道的城镇产业发展轴；一心：东岳场镇生活服务中心；两片区：北部综合工业区、南部新型工业区。北部加工贸易区：主要包括机械制造产业区和轻工电子产业区；南部新型工业集中区：主要包括新材料产业区和节能环保产业区。</w:t>
            </w:r>
          </w:p>
          <w:p>
            <w:pPr>
              <w:autoSpaceDE w:val="0"/>
              <w:autoSpaceDN w:val="0"/>
              <w:adjustRightInd w:val="0"/>
              <w:snapToGrid w:val="0"/>
              <w:spacing w:line="400" w:lineRule="exact"/>
              <w:ind w:firstLine="420" w:firstLineChars="200"/>
              <w:rPr>
                <w:kern w:val="0"/>
                <w:szCs w:val="21"/>
              </w:rPr>
            </w:pPr>
            <w:r>
              <w:rPr>
                <w:rFonts w:hint="eastAsia"/>
              </w:rPr>
              <w:t>项目位于北部新型工业集聚区，该区主要包括机械制造产业区和轻工电子产业区。项目租用的闲置场地属于规划的工业用地，场地原为露天储煤棚，本次建设后用地性质不发生变化。本项目为储煤棚建设项目，主要中转堆存交付国电达州发电有限公司东岳电厂的电煤，属于传统行业退城进郊企业，对比《规划区发展项目类型限定表》，本项目不属于其中所列的“禁止和限制发展”类产业。因此，项目与达州市通川区东岳新型工业集聚区规划要求是相符的</w:t>
            </w:r>
            <w:r>
              <w:rPr>
                <w:kern w:val="0"/>
                <w:szCs w:val="21"/>
              </w:rPr>
              <w:t>。</w:t>
            </w:r>
          </w:p>
          <w:p>
            <w:pPr>
              <w:autoSpaceDE w:val="0"/>
              <w:autoSpaceDN w:val="0"/>
              <w:adjustRightInd w:val="0"/>
              <w:snapToGrid w:val="0"/>
              <w:spacing w:line="100" w:lineRule="exact"/>
              <w:ind w:firstLine="420" w:firstLineChars="200"/>
              <w:rPr>
                <w:kern w:val="0"/>
                <w:szCs w:val="21"/>
              </w:rPr>
            </w:pPr>
          </w:p>
          <w:p>
            <w:pPr>
              <w:autoSpaceDE w:val="0"/>
              <w:autoSpaceDN w:val="0"/>
              <w:adjustRightInd w:val="0"/>
              <w:snapToGrid w:val="0"/>
              <w:spacing w:line="100" w:lineRule="exact"/>
              <w:ind w:firstLine="420" w:firstLineChars="200"/>
              <w:rPr>
                <w:kern w:val="0"/>
                <w:szCs w:val="21"/>
              </w:rPr>
            </w:pPr>
          </w:p>
          <w:p>
            <w:pPr>
              <w:autoSpaceDE w:val="0"/>
              <w:autoSpaceDN w:val="0"/>
              <w:adjustRightInd w:val="0"/>
              <w:snapToGrid w:val="0"/>
              <w:spacing w:line="100" w:lineRule="exact"/>
              <w:ind w:firstLine="420" w:firstLineChars="200"/>
              <w:rPr>
                <w:kern w:val="0"/>
                <w:szCs w:val="21"/>
              </w:rPr>
            </w:pPr>
          </w:p>
          <w:p>
            <w:pPr>
              <w:adjustRightInd w:val="0"/>
              <w:snapToGrid w:val="0"/>
              <w:spacing w:line="400" w:lineRule="exact"/>
              <w:rPr>
                <w:rFonts w:eastAsia="黑体"/>
                <w:bCs/>
                <w:sz w:val="22"/>
                <w:szCs w:val="22"/>
              </w:rPr>
            </w:pPr>
            <w:r>
              <w:rPr>
                <w:rFonts w:hint="eastAsia" w:eastAsia="黑体"/>
                <w:bCs/>
                <w:sz w:val="22"/>
                <w:szCs w:val="22"/>
              </w:rPr>
              <w:t>3</w:t>
            </w:r>
            <w:r>
              <w:rPr>
                <w:rFonts w:hint="eastAsia" w:ascii="黑体" w:hAnsi="黑体" w:eastAsia="黑体"/>
                <w:bCs/>
                <w:sz w:val="22"/>
                <w:szCs w:val="22"/>
              </w:rPr>
              <w:t>、用地规划符合性分析</w:t>
            </w:r>
          </w:p>
          <w:p>
            <w:pPr>
              <w:autoSpaceDE w:val="0"/>
              <w:autoSpaceDN w:val="0"/>
              <w:adjustRightInd w:val="0"/>
              <w:snapToGrid w:val="0"/>
              <w:spacing w:line="400" w:lineRule="exact"/>
              <w:ind w:firstLine="420" w:firstLineChars="200"/>
              <w:rPr>
                <w:kern w:val="0"/>
                <w:szCs w:val="21"/>
              </w:rPr>
            </w:pPr>
            <w:r>
              <w:rPr>
                <w:rFonts w:hint="eastAsia"/>
              </w:rPr>
              <w:t>本项目位于达州市通川区东岳新型工业集聚区范围内，根据达州市通川区东岳新型工业集聚区用地规划图，项目占地属于规划的工业用地。本项目为工业项目，主要为国电达州发电有限公司东岳电厂供应燃煤，保障城市用电供应。因此，本项目用地符合区域用地规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6" w:hRule="atLeast"/>
          <w:jc w:val="center"/>
        </w:trPr>
        <w:tc>
          <w:tcPr>
            <w:tcW w:w="2140" w:type="dxa"/>
            <w:tcBorders>
              <w:top w:val="single" w:color="auto" w:sz="4" w:space="0"/>
              <w:left w:val="single" w:color="auto" w:sz="8" w:space="0"/>
              <w:bottom w:val="single" w:color="auto" w:sz="8" w:space="0"/>
              <w:right w:val="single" w:color="auto" w:sz="4" w:space="0"/>
            </w:tcBorders>
            <w:tcMar>
              <w:top w:w="0" w:type="dxa"/>
              <w:left w:w="108" w:type="dxa"/>
              <w:bottom w:w="0" w:type="dxa"/>
              <w:right w:w="108" w:type="dxa"/>
            </w:tcMar>
            <w:vAlign w:val="center"/>
          </w:tcPr>
          <w:p>
            <w:pPr>
              <w:autoSpaceDE w:val="0"/>
              <w:autoSpaceDN w:val="0"/>
              <w:adjustRightInd w:val="0"/>
              <w:snapToGrid w:val="0"/>
              <w:jc w:val="center"/>
              <w:rPr>
                <w:kern w:val="0"/>
                <w:szCs w:val="21"/>
              </w:rPr>
            </w:pPr>
          </w:p>
          <w:p>
            <w:pPr>
              <w:pStyle w:val="15"/>
              <w:spacing w:after="0" w:line="240" w:lineRule="exact"/>
            </w:pPr>
          </w:p>
          <w:p>
            <w:pPr>
              <w:autoSpaceDE w:val="0"/>
              <w:autoSpaceDN w:val="0"/>
              <w:adjustRightInd w:val="0"/>
              <w:snapToGrid w:val="0"/>
              <w:jc w:val="center"/>
              <w:rPr>
                <w:kern w:val="0"/>
                <w:szCs w:val="21"/>
              </w:rPr>
            </w:pPr>
          </w:p>
          <w:p>
            <w:pPr>
              <w:pStyle w:val="15"/>
            </w:pPr>
          </w:p>
          <w:p>
            <w:pPr>
              <w:pStyle w:val="15"/>
            </w:pPr>
          </w:p>
          <w:p>
            <w:pPr>
              <w:pStyle w:val="15"/>
            </w:pPr>
          </w:p>
          <w:p>
            <w:pPr>
              <w:pStyle w:val="15"/>
            </w:pPr>
          </w:p>
          <w:p>
            <w:pPr>
              <w:pStyle w:val="15"/>
            </w:pPr>
          </w:p>
          <w:p>
            <w:pPr>
              <w:pStyle w:val="15"/>
            </w:pPr>
          </w:p>
          <w:p>
            <w:pPr>
              <w:pStyle w:val="15"/>
            </w:pPr>
          </w:p>
          <w:p>
            <w:pPr>
              <w:autoSpaceDE w:val="0"/>
              <w:autoSpaceDN w:val="0"/>
              <w:adjustRightInd w:val="0"/>
              <w:snapToGrid w:val="0"/>
              <w:jc w:val="center"/>
              <w:rPr>
                <w:kern w:val="0"/>
                <w:szCs w:val="21"/>
              </w:rPr>
            </w:pPr>
            <w:r>
              <w:rPr>
                <w:kern w:val="0"/>
                <w:szCs w:val="21"/>
              </w:rPr>
              <w:t>其他符合性分析</w:t>
            </w: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rPr>
                <w:rFonts w:hint="eastAsia"/>
              </w:rPr>
            </w:pPr>
          </w:p>
          <w:p>
            <w:pPr>
              <w:pStyle w:val="15"/>
            </w:pPr>
          </w:p>
          <w:p>
            <w:pPr>
              <w:pStyle w:val="15"/>
              <w:spacing w:after="0" w:line="240" w:lineRule="exact"/>
              <w:ind w:left="0" w:leftChars="0"/>
              <w:rPr>
                <w:kern w:val="0"/>
                <w:szCs w:val="21"/>
              </w:rPr>
            </w:pPr>
          </w:p>
          <w:p>
            <w:pPr>
              <w:pStyle w:val="15"/>
              <w:spacing w:after="0" w:line="240" w:lineRule="exact"/>
              <w:ind w:left="0" w:leftChars="0"/>
              <w:rPr>
                <w:kern w:val="0"/>
                <w:szCs w:val="21"/>
              </w:rPr>
            </w:pPr>
          </w:p>
          <w:p>
            <w:pPr>
              <w:pStyle w:val="15"/>
              <w:spacing w:after="0" w:line="240" w:lineRule="exact"/>
              <w:ind w:left="0" w:leftChars="0"/>
              <w:rPr>
                <w:kern w:val="0"/>
                <w:szCs w:val="21"/>
              </w:rPr>
            </w:pPr>
          </w:p>
          <w:p>
            <w:pPr>
              <w:pStyle w:val="15"/>
              <w:spacing w:after="0" w:line="240" w:lineRule="exact"/>
              <w:ind w:left="0" w:leftChars="0"/>
              <w:jc w:val="center"/>
              <w:rPr>
                <w:kern w:val="0"/>
                <w:szCs w:val="21"/>
              </w:rPr>
            </w:pPr>
          </w:p>
          <w:p>
            <w:pPr>
              <w:pStyle w:val="15"/>
              <w:spacing w:after="0" w:line="240" w:lineRule="exact"/>
              <w:ind w:left="0" w:leftChars="0"/>
              <w:jc w:val="center"/>
              <w:rPr>
                <w:kern w:val="0"/>
                <w:szCs w:val="21"/>
              </w:rPr>
            </w:pPr>
          </w:p>
          <w:p>
            <w:pPr>
              <w:pStyle w:val="15"/>
              <w:spacing w:after="0" w:line="240" w:lineRule="exact"/>
              <w:ind w:left="0" w:leftChars="0"/>
              <w:jc w:val="center"/>
              <w:rPr>
                <w:kern w:val="0"/>
                <w:szCs w:val="21"/>
              </w:rPr>
            </w:pPr>
          </w:p>
          <w:p>
            <w:pPr>
              <w:pStyle w:val="15"/>
              <w:spacing w:after="0" w:line="240" w:lineRule="exact"/>
              <w:ind w:left="0" w:leftChars="0"/>
              <w:jc w:val="center"/>
              <w:rPr>
                <w:kern w:val="0"/>
                <w:szCs w:val="21"/>
              </w:rPr>
            </w:pPr>
          </w:p>
          <w:p>
            <w:pPr>
              <w:pStyle w:val="15"/>
              <w:spacing w:after="0" w:line="240" w:lineRule="exact"/>
              <w:ind w:left="0" w:leftChars="0"/>
              <w:jc w:val="center"/>
              <w:rPr>
                <w:kern w:val="0"/>
                <w:szCs w:val="21"/>
              </w:rPr>
            </w:pPr>
          </w:p>
          <w:p>
            <w:pPr>
              <w:pStyle w:val="15"/>
              <w:spacing w:after="0" w:line="240" w:lineRule="exact"/>
              <w:ind w:left="0" w:leftChars="0"/>
              <w:jc w:val="center"/>
            </w:pPr>
            <w:r>
              <w:rPr>
                <w:kern w:val="0"/>
                <w:szCs w:val="21"/>
              </w:rPr>
              <w:t>其他符合性分析</w:t>
            </w:r>
          </w:p>
          <w:p>
            <w:pPr>
              <w:pStyle w:val="15"/>
            </w:pPr>
          </w:p>
          <w:p>
            <w:pPr>
              <w:pStyle w:val="15"/>
            </w:pPr>
          </w:p>
          <w:p>
            <w:pPr>
              <w:pStyle w:val="15"/>
            </w:pPr>
          </w:p>
          <w:p>
            <w:pPr>
              <w:pStyle w:val="15"/>
            </w:pPr>
          </w:p>
          <w:p>
            <w:pPr>
              <w:pStyle w:val="15"/>
            </w:pPr>
          </w:p>
          <w:p>
            <w:pPr>
              <w:pStyle w:val="15"/>
            </w:pPr>
          </w:p>
          <w:p>
            <w:pPr>
              <w:pStyle w:val="15"/>
              <w:spacing w:after="0" w:line="100" w:lineRule="exact"/>
            </w:pPr>
          </w:p>
          <w:p>
            <w:pPr>
              <w:pStyle w:val="15"/>
              <w:spacing w:after="0" w:line="100" w:lineRule="exact"/>
            </w:pPr>
          </w:p>
          <w:p>
            <w:pPr>
              <w:pStyle w:val="15"/>
              <w:spacing w:after="0" w:line="100" w:lineRule="exact"/>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spacing w:after="0" w:line="240" w:lineRule="exact"/>
              <w:ind w:left="0" w:leftChars="0"/>
              <w:jc w:val="center"/>
              <w:rPr>
                <w:kern w:val="0"/>
                <w:szCs w:val="21"/>
              </w:rPr>
            </w:pPr>
          </w:p>
          <w:p>
            <w:pPr>
              <w:pStyle w:val="15"/>
              <w:spacing w:after="0" w:line="240" w:lineRule="exact"/>
              <w:ind w:left="0" w:leftChars="0"/>
              <w:jc w:val="center"/>
              <w:rPr>
                <w:kern w:val="0"/>
                <w:szCs w:val="21"/>
              </w:rPr>
            </w:pPr>
          </w:p>
          <w:p>
            <w:pPr>
              <w:pStyle w:val="15"/>
              <w:spacing w:after="0" w:line="240" w:lineRule="exact"/>
              <w:ind w:left="0" w:leftChars="0"/>
              <w:jc w:val="center"/>
              <w:rPr>
                <w:kern w:val="0"/>
                <w:szCs w:val="21"/>
              </w:rPr>
            </w:pPr>
          </w:p>
          <w:p>
            <w:pPr>
              <w:pStyle w:val="15"/>
              <w:spacing w:after="0" w:line="240" w:lineRule="exact"/>
              <w:ind w:left="0" w:leftChars="0"/>
              <w:jc w:val="center"/>
              <w:rPr>
                <w:kern w:val="0"/>
                <w:szCs w:val="21"/>
              </w:rPr>
            </w:pPr>
          </w:p>
          <w:p>
            <w:pPr>
              <w:pStyle w:val="15"/>
              <w:spacing w:after="0" w:line="240" w:lineRule="exact"/>
              <w:ind w:left="0" w:leftChars="0"/>
              <w:jc w:val="center"/>
              <w:rPr>
                <w:kern w:val="0"/>
                <w:szCs w:val="21"/>
              </w:rPr>
            </w:pPr>
          </w:p>
          <w:p>
            <w:pPr>
              <w:pStyle w:val="15"/>
              <w:spacing w:after="0" w:line="240" w:lineRule="exact"/>
              <w:ind w:left="0" w:leftChars="0"/>
              <w:jc w:val="center"/>
              <w:rPr>
                <w:kern w:val="0"/>
                <w:szCs w:val="21"/>
              </w:rPr>
            </w:pPr>
          </w:p>
          <w:p>
            <w:pPr>
              <w:pStyle w:val="15"/>
              <w:spacing w:after="0" w:line="240" w:lineRule="exact"/>
              <w:ind w:left="0" w:leftChars="0"/>
              <w:jc w:val="center"/>
              <w:rPr>
                <w:kern w:val="0"/>
                <w:szCs w:val="21"/>
              </w:rPr>
            </w:pPr>
          </w:p>
          <w:p>
            <w:pPr>
              <w:pStyle w:val="15"/>
              <w:spacing w:after="0" w:line="240" w:lineRule="exact"/>
              <w:ind w:left="0" w:leftChars="0"/>
              <w:jc w:val="center"/>
              <w:rPr>
                <w:kern w:val="0"/>
                <w:szCs w:val="21"/>
              </w:rPr>
            </w:pPr>
          </w:p>
          <w:p>
            <w:pPr>
              <w:pStyle w:val="15"/>
              <w:spacing w:after="0" w:line="240" w:lineRule="exact"/>
              <w:ind w:left="0" w:leftChars="0"/>
              <w:jc w:val="center"/>
              <w:rPr>
                <w:kern w:val="0"/>
                <w:szCs w:val="21"/>
              </w:rPr>
            </w:pPr>
          </w:p>
          <w:p>
            <w:pPr>
              <w:pStyle w:val="15"/>
              <w:spacing w:after="0" w:line="240" w:lineRule="exact"/>
              <w:ind w:left="0" w:leftChars="0"/>
              <w:jc w:val="center"/>
              <w:rPr>
                <w:kern w:val="0"/>
                <w:szCs w:val="21"/>
              </w:rPr>
            </w:pPr>
          </w:p>
          <w:p>
            <w:pPr>
              <w:pStyle w:val="15"/>
              <w:spacing w:after="0" w:line="240" w:lineRule="exact"/>
              <w:ind w:left="0" w:leftChars="0"/>
              <w:jc w:val="center"/>
              <w:rPr>
                <w:kern w:val="0"/>
                <w:szCs w:val="21"/>
              </w:rPr>
            </w:pPr>
          </w:p>
          <w:p>
            <w:pPr>
              <w:pStyle w:val="15"/>
              <w:spacing w:after="0" w:line="240" w:lineRule="exact"/>
              <w:ind w:left="0" w:leftChars="0"/>
              <w:jc w:val="center"/>
              <w:rPr>
                <w:kern w:val="0"/>
                <w:szCs w:val="21"/>
              </w:rPr>
            </w:pPr>
          </w:p>
          <w:p>
            <w:pPr>
              <w:pStyle w:val="15"/>
              <w:spacing w:after="0" w:line="240" w:lineRule="exact"/>
              <w:ind w:left="0" w:leftChars="0"/>
              <w:jc w:val="center"/>
              <w:rPr>
                <w:kern w:val="0"/>
                <w:szCs w:val="21"/>
              </w:rPr>
            </w:pPr>
          </w:p>
          <w:p>
            <w:pPr>
              <w:pStyle w:val="15"/>
              <w:spacing w:after="0" w:line="240" w:lineRule="exact"/>
              <w:ind w:left="0" w:leftChars="0"/>
              <w:jc w:val="center"/>
              <w:rPr>
                <w:kern w:val="0"/>
                <w:szCs w:val="21"/>
              </w:rPr>
            </w:pPr>
          </w:p>
          <w:p>
            <w:pPr>
              <w:pStyle w:val="15"/>
              <w:spacing w:after="0" w:line="240" w:lineRule="exact"/>
              <w:ind w:left="0" w:leftChars="0"/>
              <w:jc w:val="center"/>
              <w:rPr>
                <w:kern w:val="0"/>
                <w:szCs w:val="21"/>
              </w:rPr>
            </w:pPr>
          </w:p>
          <w:p>
            <w:pPr>
              <w:pStyle w:val="15"/>
              <w:spacing w:after="0" w:line="240" w:lineRule="exact"/>
              <w:ind w:left="0" w:leftChars="0"/>
              <w:jc w:val="center"/>
            </w:pPr>
            <w:r>
              <w:rPr>
                <w:kern w:val="0"/>
                <w:szCs w:val="21"/>
              </w:rPr>
              <w:t>其他符合性分析</w:t>
            </w:r>
          </w:p>
          <w:p>
            <w:pPr>
              <w:pStyle w:val="15"/>
            </w:pPr>
          </w:p>
          <w:p>
            <w:pPr>
              <w:pStyle w:val="15"/>
            </w:pPr>
          </w:p>
          <w:p>
            <w:pPr>
              <w:pStyle w:val="15"/>
            </w:pPr>
          </w:p>
          <w:p>
            <w:pPr>
              <w:pStyle w:val="15"/>
            </w:pPr>
          </w:p>
          <w:p>
            <w:pPr>
              <w:pStyle w:val="15"/>
            </w:pPr>
          </w:p>
          <w:p>
            <w:pPr>
              <w:pStyle w:val="15"/>
            </w:pPr>
          </w:p>
        </w:tc>
        <w:tc>
          <w:tcPr>
            <w:tcW w:w="6730" w:type="dxa"/>
            <w:gridSpan w:val="3"/>
            <w:tcBorders>
              <w:top w:val="single" w:color="auto" w:sz="4" w:space="0"/>
              <w:left w:val="single" w:color="auto" w:sz="4" w:space="0"/>
              <w:bottom w:val="single" w:color="auto" w:sz="8" w:space="0"/>
              <w:right w:val="single" w:color="auto" w:sz="8" w:space="0"/>
            </w:tcBorders>
            <w:tcMar>
              <w:top w:w="0" w:type="dxa"/>
              <w:left w:w="108" w:type="dxa"/>
              <w:bottom w:w="0" w:type="dxa"/>
              <w:right w:w="108" w:type="dxa"/>
            </w:tcMar>
            <w:vAlign w:val="center"/>
          </w:tcPr>
          <w:p>
            <w:pPr>
              <w:pStyle w:val="5"/>
              <w:numPr>
                <w:ilvl w:val="3"/>
                <w:numId w:val="0"/>
              </w:numPr>
              <w:spacing w:before="0" w:line="410" w:lineRule="exact"/>
              <w:rPr>
                <w:rFonts w:eastAsia="黑体"/>
                <w:b w:val="0"/>
                <w:bCs/>
                <w:sz w:val="21"/>
                <w:szCs w:val="21"/>
              </w:rPr>
            </w:pPr>
            <w:r>
              <w:rPr>
                <w:rFonts w:hint="eastAsia" w:eastAsia="黑体"/>
                <w:b w:val="0"/>
                <w:bCs/>
                <w:sz w:val="21"/>
                <w:szCs w:val="21"/>
              </w:rPr>
              <w:t>1、产业政策的符合性分析</w:t>
            </w:r>
          </w:p>
          <w:p>
            <w:pPr>
              <w:autoSpaceDE w:val="0"/>
              <w:autoSpaceDN w:val="0"/>
              <w:adjustRightInd w:val="0"/>
              <w:snapToGrid w:val="0"/>
              <w:spacing w:line="400" w:lineRule="exact"/>
              <w:ind w:firstLine="420" w:firstLineChars="200"/>
              <w:rPr>
                <w:kern w:val="0"/>
                <w:szCs w:val="21"/>
              </w:rPr>
            </w:pPr>
            <w:r>
              <w:rPr>
                <w:rFonts w:hint="eastAsia"/>
                <w:kern w:val="0"/>
                <w:szCs w:val="21"/>
              </w:rPr>
              <w:t>本项目为煤炭储棚建设项目，不属于国家发展和改革委员会令第29号《产业结构调整指导目录（2019年本）》中的鼓励类、限制类及淘汰类项目，按照《促进产业结构调整暂行规定》（国发[2005]40号）中第十三条的规定，该项目属于允许类项目。同时，项目在生产过程中也不使用国家明令禁止的淘汰类和限制类设备及工艺</w:t>
            </w:r>
            <w:r>
              <w:rPr>
                <w:rFonts w:hint="eastAsia"/>
              </w:rPr>
              <w:t>。建设单位已在通川区发展和改革局取得了《四川省固定资产投资项目备案表》，备案号：</w:t>
            </w:r>
            <w:r>
              <w:rPr>
                <w:szCs w:val="21"/>
              </w:rPr>
              <w:t>川投资备【</w:t>
            </w:r>
            <w:r>
              <w:rPr>
                <w:rFonts w:hint="eastAsia"/>
                <w:kern w:val="0"/>
                <w:szCs w:val="21"/>
              </w:rPr>
              <w:t>2304-511702-04-01-687567</w:t>
            </w:r>
            <w:r>
              <w:rPr>
                <w:szCs w:val="21"/>
              </w:rPr>
              <w:t>】FGQB-0</w:t>
            </w:r>
            <w:r>
              <w:rPr>
                <w:rFonts w:hint="eastAsia"/>
                <w:szCs w:val="21"/>
              </w:rPr>
              <w:t>040</w:t>
            </w:r>
            <w:r>
              <w:rPr>
                <w:szCs w:val="21"/>
              </w:rPr>
              <w:t>号</w:t>
            </w:r>
            <w:r>
              <w:rPr>
                <w:rFonts w:hint="eastAsia"/>
                <w:kern w:val="0"/>
                <w:szCs w:val="21"/>
              </w:rPr>
              <w:t>。</w:t>
            </w:r>
          </w:p>
          <w:p>
            <w:pPr>
              <w:autoSpaceDE w:val="0"/>
              <w:autoSpaceDN w:val="0"/>
              <w:adjustRightInd w:val="0"/>
              <w:snapToGrid w:val="0"/>
              <w:spacing w:line="400" w:lineRule="exact"/>
              <w:ind w:firstLine="420" w:firstLineChars="200"/>
              <w:rPr>
                <w:kern w:val="0"/>
                <w:szCs w:val="21"/>
              </w:rPr>
            </w:pPr>
            <w:r>
              <w:rPr>
                <w:rFonts w:hint="eastAsia"/>
                <w:kern w:val="0"/>
                <w:szCs w:val="21"/>
              </w:rPr>
              <w:t>因此，本项目与国家现行的产业政策是相符的。</w:t>
            </w:r>
          </w:p>
          <w:p>
            <w:pPr>
              <w:adjustRightInd w:val="0"/>
              <w:snapToGrid w:val="0"/>
              <w:spacing w:line="410" w:lineRule="exact"/>
              <w:ind w:left="-53" w:leftChars="-25" w:right="-53" w:rightChars="-25"/>
              <w:jc w:val="left"/>
              <w:rPr>
                <w:rFonts w:eastAsia="黑体" w:cs="宋体"/>
                <w:bCs/>
                <w:szCs w:val="21"/>
              </w:rPr>
            </w:pPr>
            <w:r>
              <w:rPr>
                <w:rFonts w:hint="eastAsia" w:eastAsia="黑体" w:cs="宋体"/>
                <w:bCs/>
                <w:szCs w:val="21"/>
              </w:rPr>
              <w:t>2、与“三线一单”的符合性分析</w:t>
            </w:r>
          </w:p>
          <w:p>
            <w:pPr>
              <w:autoSpaceDE w:val="0"/>
              <w:autoSpaceDN w:val="0"/>
              <w:adjustRightInd w:val="0"/>
              <w:snapToGrid w:val="0"/>
              <w:spacing w:line="410" w:lineRule="exact"/>
              <w:ind w:firstLine="422" w:firstLineChars="200"/>
              <w:jc w:val="left"/>
              <w:rPr>
                <w:rFonts w:ascii="宋体" w:hAnsi="宋体" w:cs="宋体"/>
                <w:b/>
                <w:kern w:val="0"/>
                <w:szCs w:val="21"/>
              </w:rPr>
            </w:pPr>
            <w:r>
              <w:rPr>
                <w:rFonts w:hint="eastAsia" w:ascii="宋体" w:hAnsi="宋体" w:cs="宋体"/>
                <w:b/>
                <w:kern w:val="0"/>
                <w:szCs w:val="21"/>
              </w:rPr>
              <w:t>（1）与达州市“三线一单”的符合性</w:t>
            </w:r>
          </w:p>
          <w:p>
            <w:pPr>
              <w:autoSpaceDE w:val="0"/>
              <w:autoSpaceDN w:val="0"/>
              <w:adjustRightInd w:val="0"/>
              <w:snapToGrid w:val="0"/>
              <w:spacing w:line="410" w:lineRule="exact"/>
              <w:ind w:firstLine="420" w:firstLineChars="200"/>
              <w:jc w:val="left"/>
              <w:rPr>
                <w:rFonts w:cs="宋体"/>
                <w:kern w:val="0"/>
                <w:szCs w:val="21"/>
              </w:rPr>
            </w:pPr>
            <w:r>
              <w:rPr>
                <w:rFonts w:hint="eastAsia" w:cs="宋体"/>
                <w:kern w:val="0"/>
                <w:szCs w:val="21"/>
              </w:rPr>
              <w:t>“三线一单”是指生态保护红线、环境质量底线、资源利用上线和生态环境准入清单，是推进生态环境保护精细化管理、强化国土空间环境管控、推进绿色发展高质量发展的一项重要工作。</w:t>
            </w:r>
          </w:p>
          <w:p>
            <w:pPr>
              <w:autoSpaceDE w:val="0"/>
              <w:autoSpaceDN w:val="0"/>
              <w:adjustRightInd w:val="0"/>
              <w:snapToGrid w:val="0"/>
              <w:spacing w:line="410" w:lineRule="exact"/>
              <w:ind w:firstLine="420" w:firstLineChars="200"/>
              <w:jc w:val="left"/>
              <w:rPr>
                <w:rFonts w:cs="宋体"/>
                <w:kern w:val="0"/>
                <w:szCs w:val="21"/>
              </w:rPr>
            </w:pPr>
            <w:r>
              <w:rPr>
                <w:rFonts w:hint="eastAsia" w:cs="宋体"/>
                <w:kern w:val="0"/>
                <w:szCs w:val="21"/>
              </w:rPr>
              <w:t>生态保护红线指在生态空间范围内具有特殊重要生态功能、必须强制性严格保护的区域；环境质量底线指结合环境质量现状和相关规划、功能区划要求，确定的分区域分阶段环境质量目标及相应的环境管控、污染物排放控制等要求；资源利用上线以保障生态安全和改善环境质量为目的，结合自然资源开发管控，提出的分区域分阶段的资源开发利用总量、强度、效率等上线管控要求；生态环境准入清单则是指基于环境管控单元，统筹考虑“三线”的管控要求，提出的空间布局、污染物排放、环境风险、资源开发利用等方面禁止和限制的环境准入要求。</w:t>
            </w:r>
          </w:p>
          <w:p>
            <w:pPr>
              <w:autoSpaceDE w:val="0"/>
              <w:autoSpaceDN w:val="0"/>
              <w:adjustRightInd w:val="0"/>
              <w:snapToGrid w:val="0"/>
              <w:spacing w:line="410" w:lineRule="exact"/>
              <w:ind w:firstLine="420" w:firstLineChars="200"/>
              <w:jc w:val="left"/>
              <w:rPr>
                <w:rFonts w:cs="宋体"/>
                <w:kern w:val="0"/>
                <w:szCs w:val="21"/>
              </w:rPr>
            </w:pPr>
            <w:r>
              <w:rPr>
                <w:rFonts w:hint="eastAsia" w:cs="宋体"/>
                <w:kern w:val="0"/>
                <w:szCs w:val="21"/>
              </w:rPr>
              <w:t>根据《长江经济带战略环境评价四川省达州市“三线一单”生态环境分区管控优化完善研究报告》，达州市生态保护红线面积1214.56km</w:t>
            </w:r>
            <w:r>
              <w:rPr>
                <w:rFonts w:hint="eastAsia" w:cs="宋体"/>
                <w:kern w:val="0"/>
                <w:szCs w:val="21"/>
                <w:vertAlign w:val="superscript"/>
              </w:rPr>
              <w:t>2</w:t>
            </w:r>
            <w:r>
              <w:rPr>
                <w:rFonts w:hint="eastAsia" w:cs="宋体"/>
                <w:kern w:val="0"/>
                <w:szCs w:val="21"/>
              </w:rPr>
              <w:t>，占达州市国土面积比例的7.33%。达州市生态保护红线图如下。</w:t>
            </w:r>
          </w:p>
          <w:p>
            <w:pPr>
              <w:autoSpaceDE w:val="0"/>
              <w:autoSpaceDN w:val="0"/>
              <w:adjustRightInd w:val="0"/>
              <w:snapToGrid w:val="0"/>
              <w:spacing w:line="410" w:lineRule="exact"/>
              <w:ind w:firstLine="420" w:firstLineChars="200"/>
              <w:jc w:val="left"/>
              <w:rPr>
                <w:rFonts w:cs="宋体"/>
                <w:kern w:val="0"/>
                <w:szCs w:val="21"/>
              </w:rPr>
            </w:pPr>
          </w:p>
          <w:p>
            <w:pPr>
              <w:autoSpaceDE w:val="0"/>
              <w:autoSpaceDN w:val="0"/>
              <w:adjustRightInd w:val="0"/>
              <w:snapToGrid w:val="0"/>
              <w:spacing w:line="410" w:lineRule="exact"/>
              <w:ind w:firstLine="420" w:firstLineChars="200"/>
              <w:jc w:val="left"/>
              <w:rPr>
                <w:rFonts w:cs="宋体"/>
                <w:kern w:val="0"/>
                <w:szCs w:val="21"/>
              </w:rPr>
            </w:pPr>
          </w:p>
          <w:p>
            <w:pPr>
              <w:autoSpaceDE w:val="0"/>
              <w:autoSpaceDN w:val="0"/>
              <w:adjustRightInd w:val="0"/>
              <w:snapToGrid w:val="0"/>
              <w:spacing w:line="200" w:lineRule="exact"/>
              <w:ind w:firstLine="420" w:firstLineChars="200"/>
              <w:jc w:val="left"/>
              <w:rPr>
                <w:rFonts w:cs="宋体"/>
                <w:kern w:val="0"/>
                <w:szCs w:val="21"/>
              </w:rPr>
            </w:pPr>
          </w:p>
          <w:p>
            <w:pPr>
              <w:autoSpaceDE w:val="0"/>
              <w:autoSpaceDN w:val="0"/>
              <w:adjustRightInd w:val="0"/>
              <w:snapToGrid w:val="0"/>
              <w:jc w:val="center"/>
              <w:rPr>
                <w:rFonts w:ascii="宋体" w:hAnsi="宋体" w:cs="宋体"/>
                <w:kern w:val="0"/>
                <w:szCs w:val="21"/>
              </w:rPr>
            </w:pPr>
            <w:r>
              <w:rPr>
                <w:rFonts w:ascii="宋体" w:hAnsi="宋体" w:cs="宋体"/>
                <w:kern w:val="0"/>
                <w:sz w:val="24"/>
              </w:rPr>
              <mc:AlternateContent>
                <mc:Choice Requires="wps">
                  <w:drawing>
                    <wp:anchor distT="0" distB="0" distL="114300" distR="114300" simplePos="0" relativeHeight="251696128" behindDoc="0" locked="0" layoutInCell="1" allowOverlap="1">
                      <wp:simplePos x="0" y="0"/>
                      <wp:positionH relativeFrom="column">
                        <wp:posOffset>1945005</wp:posOffset>
                      </wp:positionH>
                      <wp:positionV relativeFrom="paragraph">
                        <wp:posOffset>1910080</wp:posOffset>
                      </wp:positionV>
                      <wp:extent cx="844550" cy="257175"/>
                      <wp:effectExtent l="467360" t="546100" r="21590" b="15875"/>
                      <wp:wrapNone/>
                      <wp:docPr id="17" name="自选图形 135"/>
                      <wp:cNvGraphicFramePr/>
                      <a:graphic xmlns:a="http://schemas.openxmlformats.org/drawingml/2006/main">
                        <a:graphicData uri="http://schemas.microsoft.com/office/word/2010/wordprocessingShape">
                          <wps:wsp>
                            <wps:cNvSpPr/>
                            <wps:spPr>
                              <a:xfrm>
                                <a:off x="0" y="0"/>
                                <a:ext cx="844550" cy="257175"/>
                              </a:xfrm>
                              <a:prstGeom prst="wedgeRectCallout">
                                <a:avLst>
                                  <a:gd name="adj1" fmla="val -101653"/>
                                  <a:gd name="adj2" fmla="val -252718"/>
                                </a:avLst>
                              </a:prstGeom>
                              <a:solidFill>
                                <a:srgbClr val="FFFFFF"/>
                              </a:solidFill>
                              <a:ln w="9525" cap="flat" cmpd="sng">
                                <a:solidFill>
                                  <a:srgbClr val="FF0000"/>
                                </a:solidFill>
                                <a:prstDash val="solid"/>
                                <a:miter/>
                                <a:headEnd type="none" w="med" len="med"/>
                                <a:tailEnd type="none" w="med" len="med"/>
                              </a:ln>
                            </wps:spPr>
                            <wps:txbx>
                              <w:txbxContent>
                                <w:p>
                                  <w:pPr>
                                    <w:spacing w:line="200" w:lineRule="exact"/>
                                    <w:rPr>
                                      <w:b/>
                                      <w:color w:val="FF0000"/>
                                      <w:sz w:val="18"/>
                                    </w:rPr>
                                  </w:pPr>
                                  <w:r>
                                    <w:rPr>
                                      <w:b/>
                                      <w:color w:val="FF0000"/>
                                      <w:sz w:val="18"/>
                                    </w:rPr>
                                    <w:t>项目多在地</w:t>
                                  </w:r>
                                </w:p>
                              </w:txbxContent>
                            </wps:txbx>
                            <wps:bodyPr upright="1"/>
                          </wps:wsp>
                        </a:graphicData>
                      </a:graphic>
                    </wp:anchor>
                  </w:drawing>
                </mc:Choice>
                <mc:Fallback>
                  <w:pict>
                    <v:shape id="自选图形 135" o:spid="_x0000_s1026" o:spt="61" type="#_x0000_t61" style="position:absolute;left:0pt;margin-left:153.15pt;margin-top:150.4pt;height:20.25pt;width:66.5pt;z-index:251696128;mso-width-relative:page;mso-height-relative:page;" fillcolor="#FFFFFF" filled="t" stroked="t" coordsize="21600,21600" o:gfxdata="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oRnatgAAAALAQAADwAAAAAAAAABACAAAAAiAAAAZHJz&#10;L2Rvd25yZXYueG1sUEsBAhQAFAAAAAgAh07iQJw3D/I9AgAAkgQAAA4AAAAAAAAAAQAgAAAAJwEA&#10;AGRycy9lMm9Eb2MueG1sUEsFBgAAAAAGAAYAWQEAANYFAAAAAA==&#10;" adj="-11157,-43787">
                      <v:fill on="t" focussize="0,0"/>
                      <v:stroke color="#FF0000" joinstyle="miter"/>
                      <v:imagedata o:title=""/>
                      <o:lock v:ext="edit" aspectratio="f"/>
                      <v:textbox>
                        <w:txbxContent>
                          <w:p>
                            <w:pPr>
                              <w:spacing w:line="200" w:lineRule="exact"/>
                              <w:rPr>
                                <w:b/>
                                <w:color w:val="FF0000"/>
                                <w:sz w:val="18"/>
                              </w:rPr>
                            </w:pPr>
                            <w:r>
                              <w:rPr>
                                <w:b/>
                                <w:color w:val="FF0000"/>
                                <w:sz w:val="18"/>
                              </w:rPr>
                              <w:t>项目多在地</w:t>
                            </w:r>
                          </w:p>
                        </w:txbxContent>
                      </v:textbox>
                    </v:shape>
                  </w:pict>
                </mc:Fallback>
              </mc:AlternateContent>
            </w:r>
            <w:r>
              <w:rPr>
                <w:rFonts w:ascii="宋体" w:hAnsi="宋体" w:cs="宋体"/>
                <w:kern w:val="0"/>
                <w:szCs w:val="21"/>
              </w:rPr>
              <mc:AlternateContent>
                <mc:Choice Requires="wps">
                  <w:drawing>
                    <wp:anchor distT="0" distB="0" distL="114300" distR="114300" simplePos="0" relativeHeight="251697152" behindDoc="0" locked="0" layoutInCell="1" allowOverlap="1">
                      <wp:simplePos x="0" y="0"/>
                      <wp:positionH relativeFrom="column">
                        <wp:posOffset>1447165</wp:posOffset>
                      </wp:positionH>
                      <wp:positionV relativeFrom="paragraph">
                        <wp:posOffset>1341755</wp:posOffset>
                      </wp:positionV>
                      <wp:extent cx="78740" cy="85725"/>
                      <wp:effectExtent l="13335" t="17145" r="22225" b="30480"/>
                      <wp:wrapNone/>
                      <wp:docPr id="18" name="自选图形 136"/>
                      <wp:cNvGraphicFramePr/>
                      <a:graphic xmlns:a="http://schemas.openxmlformats.org/drawingml/2006/main">
                        <a:graphicData uri="http://schemas.microsoft.com/office/word/2010/wordprocessingShape">
                          <wps:wsp>
                            <wps:cNvSpPr/>
                            <wps:spPr>
                              <a:xfrm>
                                <a:off x="0" y="0"/>
                                <a:ext cx="78740" cy="85725"/>
                              </a:xfrm>
                              <a:prstGeom prst="star5">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shape id="自选图形 136" o:spid="_x0000_s1026" style="position:absolute;left:0pt;margin-left:113.95pt;margin-top:105.65pt;height:6.75pt;width:6.2pt;z-index:251697152;mso-width-relative:page;mso-height-relative:page;" fillcolor="#FF0000" filled="t" stroked="t" coordsize="78740,85725" o:gfxdata="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&#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ae2QR2QAAAAsBAAAPAAAAAAAAAAEAIAAAACIAAABk&#10;cnMvZG93bnJldi54bWxQSwECFAAUAAAACACHTuJArOwZAwUCAAAlBAAADgAAAAAAAAABACAAAAAo&#10;AQAAZHJzL2Uyb0RvYy54bWxQSwUGAAAAAAYABgBZAQAAnwUAAAAA&#10;" path="m0,32743l30076,32744,39370,0,48663,32744,78739,32743,54407,52980,63701,85724,39370,65487,15038,85724,24332,52980xe">
                      <v:path o:connectlocs="39370,0;0,32743;15038,85724;63701,85724;78739,32743" o:connectangles="247,164,82,82,0"/>
                      <v:fill on="t" focussize="0,0"/>
                      <v:stroke color="#FF0000" joinstyle="miter"/>
                      <v:imagedata o:title=""/>
                      <o:lock v:ext="edit" aspectratio="f"/>
                    </v:shape>
                  </w:pict>
                </mc:Fallback>
              </mc:AlternateContent>
            </w:r>
            <w:r>
              <w:rPr>
                <w:rFonts w:ascii="宋体" w:hAnsi="宋体" w:cs="宋体"/>
                <w:kern w:val="0"/>
                <w:sz w:val="24"/>
              </w:rPr>
              <w:drawing>
                <wp:inline distT="0" distB="0" distL="0" distR="0">
                  <wp:extent cx="3808095" cy="2475865"/>
                  <wp:effectExtent l="0" t="0" r="1905" b="635"/>
                  <wp:docPr id="226" name="图片 226" descr="C:\Users\ADMINI~1\AppData\Local\Temp\ksohtml7676\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descr="C:\Users\ADMINI~1\AppData\Local\Temp\ksohtml7676\wps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6201" cy="2481182"/>
                          </a:xfrm>
                          <a:prstGeom prst="rect">
                            <a:avLst/>
                          </a:prstGeom>
                          <a:noFill/>
                          <a:ln>
                            <a:noFill/>
                          </a:ln>
                        </pic:spPr>
                      </pic:pic>
                    </a:graphicData>
                  </a:graphic>
                </wp:inline>
              </w:drawing>
            </w:r>
          </w:p>
          <w:p>
            <w:pPr>
              <w:autoSpaceDE w:val="0"/>
              <w:autoSpaceDN w:val="0"/>
              <w:adjustRightInd w:val="0"/>
              <w:snapToGrid w:val="0"/>
              <w:spacing w:line="410" w:lineRule="exact"/>
              <w:ind w:firstLine="420" w:firstLineChars="200"/>
              <w:jc w:val="left"/>
              <w:rPr>
                <w:rFonts w:ascii="宋体" w:hAnsi="宋体" w:cs="宋体"/>
                <w:kern w:val="0"/>
                <w:szCs w:val="21"/>
              </w:rPr>
            </w:pPr>
            <w:r>
              <w:rPr>
                <w:rFonts w:ascii="宋体" w:hAnsi="宋体" w:cs="宋体"/>
                <w:kern w:val="0"/>
                <w:szCs w:val="21"/>
              </w:rPr>
              <mc:AlternateContent>
                <mc:Choice Requires="wps">
                  <w:drawing>
                    <wp:anchor distT="0" distB="0" distL="114300" distR="114300" simplePos="0" relativeHeight="251698176" behindDoc="0" locked="0" layoutInCell="1" allowOverlap="1">
                      <wp:simplePos x="0" y="0"/>
                      <wp:positionH relativeFrom="column">
                        <wp:posOffset>162560</wp:posOffset>
                      </wp:positionH>
                      <wp:positionV relativeFrom="paragraph">
                        <wp:posOffset>-2540</wp:posOffset>
                      </wp:positionV>
                      <wp:extent cx="3811270" cy="327660"/>
                      <wp:effectExtent l="0" t="0" r="0" b="0"/>
                      <wp:wrapNone/>
                      <wp:docPr id="19" name="文本框 137"/>
                      <wp:cNvGraphicFramePr/>
                      <a:graphic xmlns:a="http://schemas.openxmlformats.org/drawingml/2006/main">
                        <a:graphicData uri="http://schemas.microsoft.com/office/word/2010/wordprocessingShape">
                          <wps:wsp>
                            <wps:cNvSpPr txBox="1"/>
                            <wps:spPr>
                              <a:xfrm>
                                <a:off x="0" y="0"/>
                                <a:ext cx="3811270" cy="327660"/>
                              </a:xfrm>
                              <a:prstGeom prst="rect">
                                <a:avLst/>
                              </a:prstGeom>
                              <a:noFill/>
                              <a:ln>
                                <a:noFill/>
                              </a:ln>
                            </wps:spPr>
                            <wps:txbx>
                              <w:txbxContent>
                                <w:p>
                                  <w:pPr>
                                    <w:jc w:val="center"/>
                                    <w:rPr>
                                      <w:rFonts w:ascii="黑体" w:hAnsi="黑体" w:eastAsia="黑体"/>
                                      <w:sz w:val="18"/>
                                    </w:rPr>
                                  </w:pPr>
                                  <w:r>
                                    <w:rPr>
                                      <w:rFonts w:hint="eastAsia" w:ascii="黑体" w:hAnsi="黑体" w:eastAsia="黑体"/>
                                      <w:sz w:val="18"/>
                                    </w:rPr>
                                    <w:t>附图1-1   达州市生态保护红线分布图</w:t>
                                  </w:r>
                                </w:p>
                              </w:txbxContent>
                            </wps:txbx>
                            <wps:bodyPr upright="1"/>
                          </wps:wsp>
                        </a:graphicData>
                      </a:graphic>
                    </wp:anchor>
                  </w:drawing>
                </mc:Choice>
                <mc:Fallback>
                  <w:pict>
                    <v:shape id="文本框 137" o:spid="_x0000_s1026" o:spt="202" type="#_x0000_t202" style="position:absolute;left:0pt;margin-left:12.8pt;margin-top:-0.2pt;height:25.8pt;width:300.1pt;z-index:251698176;mso-width-relative:page;mso-height-relative:page;" filled="f" stroked="f" coordsize="21600,21600" o:gfxdata="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K6BCD1QAA&#10;AAcBAAAPAAAAAAAAAAEAIAAAACIAAABkcnMvZG93bnJldi54bWxQSwECFAAUAAAACACHTuJA5Rft&#10;+K8BAABRAwAADgAAAAAAAAABACAAAAAkAQAAZHJzL2Uyb0RvYy54bWxQSwUGAAAAAAYABgBZAQAA&#10;RQUAAAAA&#10;">
                      <v:fill on="f" focussize="0,0"/>
                      <v:stroke on="f"/>
                      <v:imagedata o:title=""/>
                      <o:lock v:ext="edit" aspectratio="f"/>
                      <v:textbox>
                        <w:txbxContent>
                          <w:p>
                            <w:pPr>
                              <w:jc w:val="center"/>
                              <w:rPr>
                                <w:rFonts w:ascii="黑体" w:hAnsi="黑体" w:eastAsia="黑体"/>
                                <w:sz w:val="18"/>
                              </w:rPr>
                            </w:pPr>
                            <w:r>
                              <w:rPr>
                                <w:rFonts w:hint="eastAsia" w:ascii="黑体" w:hAnsi="黑体" w:eastAsia="黑体"/>
                                <w:sz w:val="18"/>
                              </w:rPr>
                              <w:t>附图1-1   达州市生态保护红线分布图</w:t>
                            </w:r>
                          </w:p>
                        </w:txbxContent>
                      </v:textbox>
                    </v:shape>
                  </w:pict>
                </mc:Fallback>
              </mc:AlternateContent>
            </w:r>
          </w:p>
          <w:p>
            <w:pPr>
              <w:autoSpaceDE w:val="0"/>
              <w:autoSpaceDN w:val="0"/>
              <w:adjustRightInd w:val="0"/>
              <w:snapToGrid w:val="0"/>
              <w:spacing w:line="410" w:lineRule="exact"/>
              <w:ind w:firstLine="420" w:firstLineChars="200"/>
              <w:jc w:val="left"/>
              <w:rPr>
                <w:rFonts w:ascii="宋体" w:hAnsi="宋体" w:cs="宋体"/>
                <w:kern w:val="0"/>
                <w:szCs w:val="21"/>
              </w:rPr>
            </w:pPr>
            <w:r>
              <w:rPr>
                <w:rFonts w:hint="eastAsia" w:ascii="宋体" w:hAnsi="宋体" w:cs="宋体"/>
                <w:kern w:val="0"/>
                <w:szCs w:val="21"/>
              </w:rPr>
              <w:t>由上图可知，项目占地范围不涉及达州市生态保护红线。</w:t>
            </w:r>
          </w:p>
          <w:p>
            <w:pPr>
              <w:autoSpaceDE w:val="0"/>
              <w:autoSpaceDN w:val="0"/>
              <w:adjustRightInd w:val="0"/>
              <w:snapToGrid w:val="0"/>
              <w:spacing w:line="410" w:lineRule="exact"/>
              <w:ind w:firstLine="422" w:firstLineChars="200"/>
              <w:jc w:val="left"/>
              <w:rPr>
                <w:rFonts w:ascii="宋体" w:hAnsi="宋体" w:cs="宋体"/>
                <w:b/>
                <w:kern w:val="0"/>
                <w:szCs w:val="21"/>
              </w:rPr>
            </w:pPr>
            <w:r>
              <w:rPr>
                <w:rFonts w:hint="eastAsia" w:ascii="宋体" w:hAnsi="宋体" w:cs="宋体"/>
                <w:b/>
                <w:kern w:val="0"/>
                <w:szCs w:val="21"/>
              </w:rPr>
              <w:t>（2）项目所属环境管控单元</w:t>
            </w:r>
          </w:p>
          <w:p>
            <w:pPr>
              <w:autoSpaceDE w:val="0"/>
              <w:autoSpaceDN w:val="0"/>
              <w:adjustRightInd w:val="0"/>
              <w:snapToGrid w:val="0"/>
              <w:spacing w:line="410" w:lineRule="exact"/>
              <w:ind w:firstLine="420" w:firstLineChars="200"/>
              <w:jc w:val="left"/>
              <w:rPr>
                <w:rFonts w:ascii="宋体" w:hAnsi="宋体" w:cs="宋体"/>
                <w:kern w:val="0"/>
                <w:szCs w:val="21"/>
              </w:rPr>
            </w:pPr>
            <w:r>
              <w:rPr>
                <w:rFonts w:hint="eastAsia" w:ascii="宋体" w:hAnsi="宋体" w:cs="宋体"/>
                <w:kern w:val="0"/>
                <w:szCs w:val="21"/>
              </w:rPr>
              <w:t>根据《达州市人民政府&lt;关于落实生态保护红线、环境质量底线、资源利用上线制定生态环境准入清单实施生态环境分区管控的通知&gt;》（达市府发〔2021〕17号），将全市行政区域从生态环境保护角度划分为优先保护、重点管控和一般管控三类环境管控单元，全市共划定46个综合环境管控单元。</w:t>
            </w:r>
          </w:p>
          <w:p>
            <w:pPr>
              <w:autoSpaceDE w:val="0"/>
              <w:autoSpaceDN w:val="0"/>
              <w:adjustRightInd w:val="0"/>
              <w:snapToGrid w:val="0"/>
              <w:spacing w:line="410" w:lineRule="exact"/>
              <w:ind w:firstLine="422" w:firstLineChars="200"/>
              <w:jc w:val="left"/>
              <w:rPr>
                <w:rFonts w:ascii="宋体" w:hAnsi="宋体" w:cs="宋体"/>
                <w:kern w:val="0"/>
                <w:szCs w:val="21"/>
              </w:rPr>
            </w:pPr>
            <w:r>
              <w:rPr>
                <w:rFonts w:hint="eastAsia" w:ascii="宋体" w:hAnsi="宋体" w:cs="宋体"/>
                <w:b/>
                <w:kern w:val="0"/>
                <w:szCs w:val="21"/>
              </w:rPr>
              <w:t>优先保护单元。</w:t>
            </w:r>
            <w:r>
              <w:rPr>
                <w:rFonts w:hint="eastAsia" w:ascii="宋体" w:hAnsi="宋体" w:cs="宋体"/>
                <w:kern w:val="0"/>
                <w:szCs w:val="21"/>
              </w:rPr>
              <w:t>以生态环境保护为主的区域，全市划分优先保护单元17个，主要包括生态保护红线、自然保护地、饮用水水源保护区等。</w:t>
            </w:r>
          </w:p>
          <w:p>
            <w:pPr>
              <w:autoSpaceDE w:val="0"/>
              <w:autoSpaceDN w:val="0"/>
              <w:adjustRightInd w:val="0"/>
              <w:snapToGrid w:val="0"/>
              <w:spacing w:line="410" w:lineRule="exact"/>
              <w:ind w:firstLine="422" w:firstLineChars="200"/>
              <w:jc w:val="left"/>
              <w:rPr>
                <w:rFonts w:ascii="宋体" w:hAnsi="宋体" w:cs="宋体"/>
                <w:kern w:val="0"/>
                <w:szCs w:val="21"/>
              </w:rPr>
            </w:pPr>
            <w:r>
              <w:rPr>
                <w:rFonts w:hint="eastAsia" w:ascii="宋体" w:hAnsi="宋体" w:cs="宋体"/>
                <w:b/>
                <w:kern w:val="0"/>
                <w:szCs w:val="21"/>
              </w:rPr>
              <w:t>重点管控单元。</w:t>
            </w:r>
            <w:r>
              <w:rPr>
                <w:rFonts w:hint="eastAsia" w:ascii="宋体" w:hAnsi="宋体" w:cs="宋体"/>
                <w:kern w:val="0"/>
                <w:szCs w:val="21"/>
              </w:rPr>
              <w:t>涉及水、大气、土壤、自然资源等资源环境要素重点管控的区域，全市划分重点管控单元22个，主要包括人口密集的城镇规划区和产业集聚的工业园区（工业集聚区）等。</w:t>
            </w:r>
          </w:p>
          <w:p>
            <w:pPr>
              <w:autoSpaceDE w:val="0"/>
              <w:autoSpaceDN w:val="0"/>
              <w:adjustRightInd w:val="0"/>
              <w:snapToGrid w:val="0"/>
              <w:spacing w:line="410" w:lineRule="exact"/>
              <w:ind w:firstLine="422" w:firstLineChars="200"/>
              <w:jc w:val="left"/>
              <w:rPr>
                <w:rFonts w:ascii="宋体" w:hAnsi="宋体" w:cs="宋体"/>
                <w:kern w:val="0"/>
                <w:szCs w:val="21"/>
              </w:rPr>
            </w:pPr>
            <w:r>
              <w:rPr>
                <w:rFonts w:hint="eastAsia" w:ascii="宋体" w:hAnsi="宋体" w:cs="宋体"/>
                <w:b/>
                <w:kern w:val="0"/>
                <w:szCs w:val="21"/>
              </w:rPr>
              <w:t>一般管控单元。</w:t>
            </w:r>
            <w:r>
              <w:rPr>
                <w:rFonts w:hint="eastAsia" w:ascii="宋体" w:hAnsi="宋体" w:cs="宋体"/>
                <w:kern w:val="0"/>
                <w:szCs w:val="21"/>
              </w:rPr>
              <w:t>除优先保护单元和重点管控单元之外的其他区域，全市共划分一般管控单元7个。</w:t>
            </w:r>
          </w:p>
          <w:p>
            <w:pPr>
              <w:autoSpaceDE w:val="0"/>
              <w:autoSpaceDN w:val="0"/>
              <w:adjustRightInd w:val="0"/>
              <w:snapToGrid w:val="0"/>
              <w:spacing w:line="410" w:lineRule="exact"/>
              <w:ind w:firstLine="420" w:firstLineChars="200"/>
              <w:jc w:val="left"/>
              <w:rPr>
                <w:rFonts w:ascii="宋体" w:hAnsi="宋体" w:cs="宋体"/>
                <w:kern w:val="0"/>
                <w:szCs w:val="21"/>
              </w:rPr>
            </w:pPr>
            <w:r>
              <w:rPr>
                <w:rFonts w:hint="eastAsia" w:ascii="宋体" w:hAnsi="宋体" w:cs="宋体"/>
                <w:kern w:val="0"/>
                <w:szCs w:val="21"/>
              </w:rPr>
              <w:t>本项目位于达州市通川区东岳新型工业集聚区，属于环境综合管控单元工业重点管控单元。</w:t>
            </w:r>
          </w:p>
          <w:p>
            <w:pPr>
              <w:autoSpaceDE w:val="0"/>
              <w:autoSpaceDN w:val="0"/>
              <w:adjustRightInd w:val="0"/>
              <w:snapToGrid w:val="0"/>
              <w:spacing w:line="410" w:lineRule="exact"/>
              <w:ind w:firstLine="420" w:firstLineChars="200"/>
              <w:jc w:val="left"/>
              <w:rPr>
                <w:rFonts w:ascii="宋体" w:hAnsi="宋体" w:cs="宋体"/>
                <w:kern w:val="0"/>
                <w:szCs w:val="21"/>
              </w:rPr>
            </w:pPr>
            <w:r>
              <w:rPr>
                <w:rFonts w:hint="eastAsia" w:ascii="宋体" w:hAnsi="宋体" w:cs="宋体"/>
                <w:kern w:val="0"/>
                <w:szCs w:val="21"/>
              </w:rPr>
              <w:t>项目与环境管控单元相对位置如下图：</w:t>
            </w:r>
          </w:p>
          <w:p>
            <w:pPr>
              <w:autoSpaceDE w:val="0"/>
              <w:autoSpaceDN w:val="0"/>
              <w:adjustRightInd w:val="0"/>
              <w:snapToGrid w:val="0"/>
              <w:spacing w:line="410" w:lineRule="exact"/>
              <w:ind w:firstLine="420" w:firstLineChars="200"/>
              <w:jc w:val="left"/>
              <w:rPr>
                <w:rFonts w:ascii="宋体" w:hAnsi="宋体" w:cs="宋体"/>
                <w:kern w:val="0"/>
                <w:szCs w:val="21"/>
              </w:rPr>
            </w:pPr>
          </w:p>
          <w:p>
            <w:pPr>
              <w:autoSpaceDE w:val="0"/>
              <w:autoSpaceDN w:val="0"/>
              <w:adjustRightInd w:val="0"/>
              <w:snapToGrid w:val="0"/>
              <w:spacing w:line="410" w:lineRule="exact"/>
              <w:ind w:firstLine="420" w:firstLineChars="200"/>
              <w:jc w:val="left"/>
              <w:rPr>
                <w:rFonts w:ascii="宋体" w:hAnsi="宋体" w:cs="宋体"/>
                <w:kern w:val="0"/>
                <w:szCs w:val="21"/>
              </w:rPr>
            </w:pPr>
          </w:p>
          <w:p>
            <w:pPr>
              <w:autoSpaceDE w:val="0"/>
              <w:autoSpaceDN w:val="0"/>
              <w:adjustRightInd w:val="0"/>
              <w:snapToGrid w:val="0"/>
              <w:spacing w:line="410" w:lineRule="exact"/>
              <w:ind w:firstLine="420" w:firstLineChars="200"/>
              <w:jc w:val="left"/>
              <w:rPr>
                <w:rFonts w:ascii="宋体" w:hAnsi="宋体" w:cs="宋体"/>
                <w:kern w:val="0"/>
                <w:szCs w:val="21"/>
              </w:rPr>
            </w:pPr>
          </w:p>
          <w:p>
            <w:pPr>
              <w:autoSpaceDE w:val="0"/>
              <w:autoSpaceDN w:val="0"/>
              <w:adjustRightInd w:val="0"/>
              <w:snapToGrid w:val="0"/>
              <w:spacing w:line="410" w:lineRule="exact"/>
              <w:ind w:firstLine="420" w:firstLineChars="200"/>
              <w:jc w:val="left"/>
              <w:rPr>
                <w:rFonts w:ascii="宋体" w:hAnsi="宋体" w:cs="宋体"/>
                <w:kern w:val="0"/>
                <w:szCs w:val="21"/>
              </w:rPr>
            </w:pPr>
          </w:p>
          <w:p>
            <w:pPr>
              <w:autoSpaceDE w:val="0"/>
              <w:autoSpaceDN w:val="0"/>
              <w:adjustRightInd w:val="0"/>
              <w:snapToGrid w:val="0"/>
              <w:spacing w:line="200" w:lineRule="exact"/>
              <w:ind w:firstLine="420" w:firstLineChars="200"/>
              <w:jc w:val="left"/>
              <w:rPr>
                <w:rFonts w:ascii="宋体" w:hAnsi="宋体" w:cs="宋体"/>
                <w:kern w:val="0"/>
                <w:szCs w:val="21"/>
              </w:rPr>
            </w:pPr>
          </w:p>
          <w:p>
            <w:pPr>
              <w:autoSpaceDE w:val="0"/>
              <w:autoSpaceDN w:val="0"/>
              <w:adjustRightInd w:val="0"/>
              <w:snapToGrid w:val="0"/>
              <w:spacing w:line="200" w:lineRule="exact"/>
              <w:ind w:firstLine="420" w:firstLineChars="200"/>
              <w:jc w:val="left"/>
              <w:rPr>
                <w:rFonts w:ascii="宋体" w:hAnsi="宋体" w:cs="宋体"/>
                <w:kern w:val="0"/>
                <w:szCs w:val="21"/>
              </w:rPr>
            </w:pPr>
          </w:p>
          <w:p>
            <w:r>
              <w:rPr>
                <w:rFonts w:eastAsia="黑体"/>
                <w:b/>
                <w:bCs/>
                <w:szCs w:val="21"/>
              </w:rPr>
              <mc:AlternateContent>
                <mc:Choice Requires="wps">
                  <w:drawing>
                    <wp:anchor distT="0" distB="0" distL="114300" distR="114300" simplePos="0" relativeHeight="251701248" behindDoc="0" locked="0" layoutInCell="1" allowOverlap="1">
                      <wp:simplePos x="0" y="0"/>
                      <wp:positionH relativeFrom="column">
                        <wp:posOffset>1757680</wp:posOffset>
                      </wp:positionH>
                      <wp:positionV relativeFrom="paragraph">
                        <wp:posOffset>303530</wp:posOffset>
                      </wp:positionV>
                      <wp:extent cx="642620" cy="276225"/>
                      <wp:effectExtent l="0" t="0" r="0" b="0"/>
                      <wp:wrapNone/>
                      <wp:docPr id="22" name="文本框 141"/>
                      <wp:cNvGraphicFramePr/>
                      <a:graphic xmlns:a="http://schemas.openxmlformats.org/drawingml/2006/main">
                        <a:graphicData uri="http://schemas.microsoft.com/office/word/2010/wordprocessingShape">
                          <wps:wsp>
                            <wps:cNvSpPr txBox="1"/>
                            <wps:spPr>
                              <a:xfrm>
                                <a:off x="0" y="0"/>
                                <a:ext cx="642620" cy="276225"/>
                              </a:xfrm>
                              <a:prstGeom prst="rect">
                                <a:avLst/>
                              </a:prstGeom>
                              <a:noFill/>
                              <a:ln>
                                <a:noFill/>
                              </a:ln>
                            </wps:spPr>
                            <wps:txbx>
                              <w:txbxContent>
                                <w:p>
                                  <w:pPr>
                                    <w:jc w:val="center"/>
                                    <w:rPr>
                                      <w:rFonts w:ascii="黑体" w:hAnsi="黑体" w:eastAsia="黑体"/>
                                      <w:color w:val="FF0000"/>
                                      <w:sz w:val="18"/>
                                    </w:rPr>
                                  </w:pPr>
                                  <w:r>
                                    <w:rPr>
                                      <w:rFonts w:ascii="黑体" w:hAnsi="黑体" w:eastAsia="黑体"/>
                                      <w:color w:val="FF0000"/>
                                      <w:sz w:val="18"/>
                                    </w:rPr>
                                    <w:t>项目区</w:t>
                                  </w:r>
                                </w:p>
                              </w:txbxContent>
                            </wps:txbx>
                            <wps:bodyPr upright="1"/>
                          </wps:wsp>
                        </a:graphicData>
                      </a:graphic>
                    </wp:anchor>
                  </w:drawing>
                </mc:Choice>
                <mc:Fallback>
                  <w:pict>
                    <v:shape id="文本框 141" o:spid="_x0000_s1026" o:spt="202" type="#_x0000_t202" style="position:absolute;left:0pt;margin-left:138.4pt;margin-top:23.9pt;height:21.75pt;width:50.6pt;z-index:251701248;mso-width-relative:page;mso-height-relative:page;" filled="f" stroked="f" coordsize="21600,21600" o:gfxdata="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BoRX71wAA&#10;AAkBAAAPAAAAAAAAAAEAIAAAACIAAABkcnMvZG93bnJldi54bWxQSwECFAAUAAAACACHTuJA7l+V&#10;D60BAABQAwAADgAAAAAAAAABACAAAAAmAQAAZHJzL2Uyb0RvYy54bWxQSwUGAAAAAAYABgBZAQAA&#10;RQUAAAAA&#10;">
                      <v:fill on="f" focussize="0,0"/>
                      <v:stroke on="f"/>
                      <v:imagedata o:title=""/>
                      <o:lock v:ext="edit" aspectratio="f"/>
                      <v:textbox>
                        <w:txbxContent>
                          <w:p>
                            <w:pPr>
                              <w:jc w:val="center"/>
                              <w:rPr>
                                <w:rFonts w:ascii="黑体" w:hAnsi="黑体" w:eastAsia="黑体"/>
                                <w:color w:val="FF0000"/>
                                <w:sz w:val="18"/>
                              </w:rPr>
                            </w:pPr>
                            <w:r>
                              <w:rPr>
                                <w:rFonts w:ascii="黑体" w:hAnsi="黑体" w:eastAsia="黑体"/>
                                <w:color w:val="FF0000"/>
                                <w:sz w:val="18"/>
                              </w:rPr>
                              <w:t>项目区</w:t>
                            </w:r>
                          </w:p>
                        </w:txbxContent>
                      </v:textbox>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2101850</wp:posOffset>
                      </wp:positionH>
                      <wp:positionV relativeFrom="paragraph">
                        <wp:posOffset>511810</wp:posOffset>
                      </wp:positionV>
                      <wp:extent cx="295910" cy="417830"/>
                      <wp:effectExtent l="3810" t="2540" r="5080" b="17780"/>
                      <wp:wrapNone/>
                      <wp:docPr id="20" name="自选图形 138"/>
                      <wp:cNvGraphicFramePr/>
                      <a:graphic xmlns:a="http://schemas.openxmlformats.org/drawingml/2006/main">
                        <a:graphicData uri="http://schemas.microsoft.com/office/word/2010/wordprocessingShape">
                          <wps:wsp>
                            <wps:cNvCnPr/>
                            <wps:spPr>
                              <a:xfrm>
                                <a:off x="0" y="0"/>
                                <a:ext cx="295910" cy="417830"/>
                              </a:xfrm>
                              <a:prstGeom prst="straightConnector1">
                                <a:avLst/>
                              </a:prstGeom>
                              <a:ln w="9525" cap="flat" cmpd="sng">
                                <a:solidFill>
                                  <a:srgbClr val="FF0000"/>
                                </a:solidFill>
                                <a:prstDash val="solid"/>
                                <a:headEnd type="none" w="med" len="med"/>
                                <a:tailEnd type="triangle" w="med" len="med"/>
                              </a:ln>
                            </wps:spPr>
                            <wps:bodyPr/>
                          </wps:wsp>
                        </a:graphicData>
                      </a:graphic>
                    </wp:anchor>
                  </w:drawing>
                </mc:Choice>
                <mc:Fallback>
                  <w:pict>
                    <v:shape id="自选图形 138" o:spid="_x0000_s1026" o:spt="32" type="#_x0000_t32" style="position:absolute;left:0pt;margin-left:165.5pt;margin-top:40.3pt;height:32.9pt;width:23.3pt;z-index:251699200;mso-width-relative:page;mso-height-relative:page;" filled="f" stroked="t" coordsize="21600,21600" o:gfxdata="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JNXqnaAAAACgEAAA8AAAAAAAAAAQAgAAAAIgAA&#10;AGRycy9kb3ducmV2LnhtbFBLAQIUABQAAAAIAIdO4kDYxpUiBgIAAO4DAAAOAAAAAAAAAAEAIAAA&#10;ACkBAABkcnMvZTJvRG9jLnhtbFBLBQYAAAAABgAGAFkBAAChBQAAAAA=&#10;">
                      <v:fill on="f" focussize="0,0"/>
                      <v:stroke color="#FF0000" joinstyle="round" endarrow="block"/>
                      <v:imagedata o:title=""/>
                      <o:lock v:ext="edit" aspectratio="f"/>
                    </v:shape>
                  </w:pict>
                </mc:Fallback>
              </mc:AlternateContent>
            </w:r>
            <w:r>
              <w:rPr>
                <w:rFonts w:eastAsia="黑体"/>
                <w:b/>
                <w:bCs/>
                <w:szCs w:val="21"/>
              </w:rPr>
              <mc:AlternateContent>
                <mc:Choice Requires="wps">
                  <w:drawing>
                    <wp:anchor distT="0" distB="0" distL="114300" distR="114300" simplePos="0" relativeHeight="251700224" behindDoc="0" locked="0" layoutInCell="1" allowOverlap="1">
                      <wp:simplePos x="0" y="0"/>
                      <wp:positionH relativeFrom="column">
                        <wp:posOffset>213995</wp:posOffset>
                      </wp:positionH>
                      <wp:positionV relativeFrom="paragraph">
                        <wp:posOffset>2454910</wp:posOffset>
                      </wp:positionV>
                      <wp:extent cx="3811270" cy="327660"/>
                      <wp:effectExtent l="0" t="0" r="0" b="0"/>
                      <wp:wrapNone/>
                      <wp:docPr id="21" name="文本框 139"/>
                      <wp:cNvGraphicFramePr/>
                      <a:graphic xmlns:a="http://schemas.openxmlformats.org/drawingml/2006/main">
                        <a:graphicData uri="http://schemas.microsoft.com/office/word/2010/wordprocessingShape">
                          <wps:wsp>
                            <wps:cNvSpPr txBox="1"/>
                            <wps:spPr>
                              <a:xfrm>
                                <a:off x="0" y="0"/>
                                <a:ext cx="3811270" cy="327660"/>
                              </a:xfrm>
                              <a:prstGeom prst="rect">
                                <a:avLst/>
                              </a:prstGeom>
                              <a:noFill/>
                              <a:ln>
                                <a:noFill/>
                              </a:ln>
                            </wps:spPr>
                            <wps:txbx>
                              <w:txbxContent>
                                <w:p>
                                  <w:pPr>
                                    <w:jc w:val="center"/>
                                    <w:rPr>
                                      <w:rFonts w:ascii="黑体" w:hAnsi="黑体" w:eastAsia="黑体"/>
                                      <w:sz w:val="18"/>
                                    </w:rPr>
                                  </w:pPr>
                                  <w:r>
                                    <w:rPr>
                                      <w:rFonts w:hint="eastAsia" w:ascii="黑体" w:hAnsi="黑体" w:eastAsia="黑体"/>
                                      <w:sz w:val="18"/>
                                    </w:rPr>
                                    <w:t>附图1-2   项目与管控单元相对位置如下图</w:t>
                                  </w:r>
                                </w:p>
                              </w:txbxContent>
                            </wps:txbx>
                            <wps:bodyPr upright="1"/>
                          </wps:wsp>
                        </a:graphicData>
                      </a:graphic>
                    </wp:anchor>
                  </w:drawing>
                </mc:Choice>
                <mc:Fallback>
                  <w:pict>
                    <v:shape id="文本框 139" o:spid="_x0000_s1026" o:spt="202" type="#_x0000_t202" style="position:absolute;left:0pt;margin-left:16.85pt;margin-top:193.3pt;height:25.8pt;width:300.1pt;z-index:251700224;mso-width-relative:page;mso-height-relative:page;" filled="f" stroked="f" coordsize="21600,21600" o:gfxdata="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GyA7&#10;SNgAAAAKAQAADwAAAAAAAAABACAAAAAiAAAAZHJzL2Rvd25yZXYueG1sUEsBAhQAFAAAAAgAh07i&#10;QAryKVuwAQAAUQMAAA4AAAAAAAAAAQAgAAAAJwEAAGRycy9lMm9Eb2MueG1sUEsFBgAAAAAGAAYA&#10;WQEAAEkFAAAAAA==&#10;">
                      <v:fill on="f" focussize="0,0"/>
                      <v:stroke on="f"/>
                      <v:imagedata o:title=""/>
                      <o:lock v:ext="edit" aspectratio="f"/>
                      <v:textbox>
                        <w:txbxContent>
                          <w:p>
                            <w:pPr>
                              <w:jc w:val="center"/>
                              <w:rPr>
                                <w:rFonts w:ascii="黑体" w:hAnsi="黑体" w:eastAsia="黑体"/>
                                <w:sz w:val="18"/>
                              </w:rPr>
                            </w:pPr>
                            <w:r>
                              <w:rPr>
                                <w:rFonts w:hint="eastAsia" w:ascii="黑体" w:hAnsi="黑体" w:eastAsia="黑体"/>
                                <w:sz w:val="18"/>
                              </w:rPr>
                              <w:t>附图1-2   项目与管控单元相对位置如下图</w:t>
                            </w:r>
                          </w:p>
                        </w:txbxContent>
                      </v:textbox>
                    </v:shape>
                  </w:pict>
                </mc:Fallback>
              </mc:AlternateContent>
            </w:r>
            <w:r>
              <w:drawing>
                <wp:inline distT="0" distB="0" distL="0" distR="0">
                  <wp:extent cx="4100830" cy="2457450"/>
                  <wp:effectExtent l="0" t="0" r="0" b="0"/>
                  <wp:docPr id="2" name="图片 2" descr="C:\Users\Administrator\AppData\Local\Temp\ksohtml12392\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Local\Temp\ksohtml12392\wps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105295" cy="2460304"/>
                          </a:xfrm>
                          <a:prstGeom prst="rect">
                            <a:avLst/>
                          </a:prstGeom>
                          <a:noFill/>
                          <a:ln>
                            <a:noFill/>
                          </a:ln>
                        </pic:spPr>
                      </pic:pic>
                    </a:graphicData>
                  </a:graphic>
                </wp:inline>
              </w:drawing>
            </w:r>
          </w:p>
          <w:p/>
          <w:p>
            <w:pPr>
              <w:jc w:val="center"/>
            </w:pPr>
          </w:p>
          <w:p>
            <w:pPr>
              <w:autoSpaceDE w:val="0"/>
              <w:autoSpaceDN w:val="0"/>
              <w:adjustRightInd w:val="0"/>
              <w:snapToGrid w:val="0"/>
              <w:spacing w:line="404" w:lineRule="exact"/>
              <w:ind w:firstLine="420" w:firstLineChars="200"/>
              <w:rPr>
                <w:szCs w:val="21"/>
                <w:lang w:val="zh-CN"/>
              </w:rPr>
            </w:pPr>
            <w:r>
              <w:rPr>
                <w:szCs w:val="21"/>
                <w:lang w:val="zh-CN"/>
              </w:rPr>
              <w:t>项目涉及到环境管控单元</w:t>
            </w:r>
            <w:r>
              <w:rPr>
                <w:rFonts w:hint="eastAsia"/>
                <w:szCs w:val="21"/>
                <w:lang w:val="zh-CN"/>
              </w:rPr>
              <w:t>3</w:t>
            </w:r>
            <w:r>
              <w:rPr>
                <w:szCs w:val="21"/>
                <w:lang w:val="zh-CN"/>
              </w:rPr>
              <w:t>个，涉及到管控单元见下表。</w:t>
            </w:r>
          </w:p>
          <w:p>
            <w:pPr>
              <w:autoSpaceDE w:val="0"/>
              <w:autoSpaceDN w:val="0"/>
              <w:adjustRightInd w:val="0"/>
              <w:snapToGrid w:val="0"/>
              <w:spacing w:line="404" w:lineRule="exact"/>
              <w:ind w:firstLine="360" w:firstLineChars="200"/>
              <w:jc w:val="center"/>
              <w:rPr>
                <w:rFonts w:ascii="黑体" w:hAnsi="黑体" w:eastAsia="黑体" w:cs="宋体"/>
                <w:kern w:val="0"/>
                <w:sz w:val="18"/>
                <w:szCs w:val="18"/>
              </w:rPr>
            </w:pPr>
            <w:r>
              <w:rPr>
                <w:rFonts w:hint="eastAsia" w:ascii="黑体" w:hAnsi="黑体" w:eastAsia="黑体" w:cs="宋体"/>
                <w:kern w:val="0"/>
                <w:sz w:val="18"/>
                <w:szCs w:val="18"/>
              </w:rPr>
              <w:t>表1-3  本项目涉及的环境管控单元</w:t>
            </w:r>
          </w:p>
          <w:tbl>
            <w:tblPr>
              <w:tblStyle w:val="21"/>
              <w:tblW w:w="65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1137"/>
              <w:gridCol w:w="892"/>
              <w:gridCol w:w="943"/>
              <w:gridCol w:w="1074"/>
              <w:gridCol w:w="1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 w:hRule="atLeast"/>
              </w:trPr>
              <w:tc>
                <w:tcPr>
                  <w:tcW w:w="109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Style w:val="61"/>
                      <w:rFonts w:eastAsia="仿宋"/>
                      <w:b/>
                      <w:bCs/>
                    </w:rPr>
                  </w:pPr>
                  <w:r>
                    <w:rPr>
                      <w:rFonts w:hint="eastAsia" w:ascii="宋体" w:hAnsi="宋体"/>
                      <w:b/>
                      <w:bCs/>
                      <w:kern w:val="0"/>
                      <w:sz w:val="18"/>
                      <w:szCs w:val="18"/>
                    </w:rPr>
                    <w:t>环境管控单元编码</w:t>
                  </w:r>
                </w:p>
              </w:tc>
              <w:tc>
                <w:tcPr>
                  <w:tcW w:w="113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Style w:val="61"/>
                      <w:rFonts w:eastAsia="仿宋"/>
                      <w:b/>
                      <w:bCs/>
                    </w:rPr>
                  </w:pPr>
                  <w:r>
                    <w:rPr>
                      <w:rFonts w:hint="eastAsia" w:ascii="宋体" w:hAnsi="宋体"/>
                      <w:b/>
                      <w:bCs/>
                      <w:kern w:val="0"/>
                      <w:sz w:val="18"/>
                      <w:szCs w:val="18"/>
                    </w:rPr>
                    <w:t>环境管控单元名称</w:t>
                  </w:r>
                </w:p>
              </w:tc>
              <w:tc>
                <w:tcPr>
                  <w:tcW w:w="892"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Style w:val="61"/>
                      <w:rFonts w:eastAsia="仿宋"/>
                      <w:b/>
                      <w:bCs/>
                    </w:rPr>
                  </w:pPr>
                  <w:r>
                    <w:rPr>
                      <w:rFonts w:hint="eastAsia" w:ascii="宋体" w:hAnsi="宋体"/>
                      <w:b/>
                      <w:bCs/>
                      <w:kern w:val="0"/>
                      <w:sz w:val="18"/>
                      <w:szCs w:val="18"/>
                    </w:rPr>
                    <w:t>所属市（州）</w:t>
                  </w:r>
                </w:p>
              </w:tc>
              <w:tc>
                <w:tcPr>
                  <w:tcW w:w="94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Style w:val="61"/>
                      <w:rFonts w:eastAsia="仿宋"/>
                      <w:b/>
                      <w:bCs/>
                    </w:rPr>
                  </w:pPr>
                  <w:r>
                    <w:rPr>
                      <w:rFonts w:hint="eastAsia" w:ascii="宋体" w:hAnsi="宋体"/>
                      <w:b/>
                      <w:bCs/>
                      <w:kern w:val="0"/>
                      <w:sz w:val="18"/>
                      <w:szCs w:val="18"/>
                    </w:rPr>
                    <w:t>所属区县</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Style w:val="61"/>
                      <w:rFonts w:eastAsia="仿宋"/>
                      <w:b/>
                      <w:bCs/>
                    </w:rPr>
                  </w:pPr>
                  <w:r>
                    <w:rPr>
                      <w:rFonts w:hint="eastAsia" w:ascii="宋体" w:hAnsi="宋体"/>
                      <w:b/>
                      <w:bCs/>
                      <w:kern w:val="0"/>
                      <w:sz w:val="18"/>
                      <w:szCs w:val="18"/>
                    </w:rPr>
                    <w:t>准入清单类型</w:t>
                  </w:r>
                </w:p>
              </w:tc>
              <w:tc>
                <w:tcPr>
                  <w:tcW w:w="138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Style w:val="61"/>
                      <w:rFonts w:eastAsia="仿宋"/>
                      <w:b/>
                      <w:bCs/>
                    </w:rPr>
                  </w:pPr>
                  <w:r>
                    <w:rPr>
                      <w:rFonts w:hint="eastAsia" w:ascii="宋体" w:hAnsi="宋体"/>
                      <w:b/>
                      <w:bCs/>
                      <w:kern w:val="0"/>
                      <w:sz w:val="18"/>
                      <w:szCs w:val="18"/>
                    </w:rP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 w:hRule="atLeast"/>
              </w:trPr>
              <w:tc>
                <w:tcPr>
                  <w:tcW w:w="1097" w:type="dxa"/>
                  <w:tcBorders>
                    <w:top w:val="single" w:color="auto" w:sz="4" w:space="0"/>
                    <w:left w:val="single" w:color="auto" w:sz="4" w:space="0"/>
                    <w:bottom w:val="single" w:color="auto" w:sz="4" w:space="0"/>
                    <w:right w:val="single" w:color="auto" w:sz="4" w:space="0"/>
                  </w:tcBorders>
                  <w:vAlign w:val="center"/>
                </w:tcPr>
                <w:p>
                  <w:pPr>
                    <w:pStyle w:val="60"/>
                    <w:widowControl/>
                    <w:spacing w:line="300" w:lineRule="exact"/>
                    <w:ind w:firstLine="0" w:firstLineChars="0"/>
                    <w:jc w:val="center"/>
                    <w:rPr>
                      <w:rFonts w:ascii="宋体" w:hAnsi="宋体" w:eastAsia="宋体"/>
                      <w:sz w:val="18"/>
                      <w:szCs w:val="18"/>
                    </w:rPr>
                  </w:pPr>
                  <w:r>
                    <w:rPr>
                      <w:rFonts w:hint="eastAsia" w:ascii="宋体" w:hAnsi="宋体" w:eastAsia="宋体"/>
                      <w:sz w:val="18"/>
                      <w:szCs w:val="18"/>
                    </w:rPr>
                    <w:t>ZH51170220003</w:t>
                  </w:r>
                </w:p>
              </w:tc>
              <w:tc>
                <w:tcPr>
                  <w:tcW w:w="1137" w:type="dxa"/>
                  <w:tcBorders>
                    <w:top w:val="single" w:color="auto" w:sz="4" w:space="0"/>
                    <w:left w:val="single" w:color="auto" w:sz="4" w:space="0"/>
                    <w:bottom w:val="single" w:color="auto" w:sz="4" w:space="0"/>
                    <w:right w:val="single" w:color="auto" w:sz="4" w:space="0"/>
                  </w:tcBorders>
                  <w:vAlign w:val="center"/>
                </w:tcPr>
                <w:p>
                  <w:pPr>
                    <w:pStyle w:val="60"/>
                    <w:widowControl/>
                    <w:spacing w:line="300" w:lineRule="exact"/>
                    <w:ind w:firstLine="0" w:firstLineChars="0"/>
                    <w:jc w:val="center"/>
                    <w:rPr>
                      <w:rFonts w:ascii="宋体" w:hAnsi="宋体" w:eastAsia="宋体"/>
                      <w:sz w:val="18"/>
                      <w:szCs w:val="18"/>
                    </w:rPr>
                  </w:pPr>
                  <w:r>
                    <w:rPr>
                      <w:rFonts w:hint="eastAsia" w:ascii="宋体" w:hAnsi="宋体" w:eastAsia="宋体"/>
                      <w:sz w:val="18"/>
                      <w:szCs w:val="18"/>
                    </w:rPr>
                    <w:t>东岳新型工业集聚区</w:t>
                  </w:r>
                </w:p>
              </w:tc>
              <w:tc>
                <w:tcPr>
                  <w:tcW w:w="892" w:type="dxa"/>
                  <w:tcBorders>
                    <w:top w:val="single" w:color="auto" w:sz="4" w:space="0"/>
                    <w:left w:val="single" w:color="auto" w:sz="4" w:space="0"/>
                    <w:bottom w:val="single" w:color="auto" w:sz="4" w:space="0"/>
                    <w:right w:val="single" w:color="auto" w:sz="4" w:space="0"/>
                  </w:tcBorders>
                  <w:vAlign w:val="center"/>
                </w:tcPr>
                <w:p>
                  <w:pPr>
                    <w:pStyle w:val="60"/>
                    <w:widowControl/>
                    <w:spacing w:line="300" w:lineRule="exact"/>
                    <w:ind w:firstLine="0" w:firstLineChars="0"/>
                    <w:jc w:val="center"/>
                    <w:rPr>
                      <w:rFonts w:ascii="宋体" w:hAnsi="宋体" w:eastAsia="宋体"/>
                      <w:sz w:val="18"/>
                      <w:szCs w:val="18"/>
                    </w:rPr>
                  </w:pPr>
                  <w:r>
                    <w:rPr>
                      <w:rFonts w:hint="eastAsia" w:ascii="宋体" w:hAnsi="宋体" w:eastAsia="宋体"/>
                      <w:sz w:val="18"/>
                      <w:szCs w:val="18"/>
                    </w:rPr>
                    <w:t>达州市</w:t>
                  </w:r>
                </w:p>
              </w:tc>
              <w:tc>
                <w:tcPr>
                  <w:tcW w:w="943" w:type="dxa"/>
                  <w:tcBorders>
                    <w:top w:val="single" w:color="auto" w:sz="4" w:space="0"/>
                    <w:left w:val="single" w:color="auto" w:sz="4" w:space="0"/>
                    <w:bottom w:val="single" w:color="auto" w:sz="4" w:space="0"/>
                    <w:right w:val="single" w:color="auto" w:sz="4" w:space="0"/>
                  </w:tcBorders>
                  <w:vAlign w:val="center"/>
                </w:tcPr>
                <w:p>
                  <w:pPr>
                    <w:pStyle w:val="60"/>
                    <w:widowControl/>
                    <w:spacing w:line="300" w:lineRule="exact"/>
                    <w:ind w:firstLine="0" w:firstLineChars="0"/>
                    <w:jc w:val="center"/>
                    <w:rPr>
                      <w:rFonts w:ascii="宋体" w:hAnsi="宋体" w:eastAsia="宋体"/>
                      <w:sz w:val="18"/>
                      <w:szCs w:val="18"/>
                    </w:rPr>
                  </w:pPr>
                  <w:r>
                    <w:rPr>
                      <w:rFonts w:hint="eastAsia" w:ascii="宋体" w:hAnsi="宋体" w:eastAsia="宋体"/>
                      <w:sz w:val="18"/>
                      <w:szCs w:val="18"/>
                    </w:rPr>
                    <w:t>通川区</w:t>
                  </w:r>
                </w:p>
              </w:tc>
              <w:tc>
                <w:tcPr>
                  <w:tcW w:w="1074" w:type="dxa"/>
                  <w:tcBorders>
                    <w:top w:val="single" w:color="auto" w:sz="4" w:space="0"/>
                    <w:left w:val="single" w:color="auto" w:sz="4" w:space="0"/>
                    <w:bottom w:val="single" w:color="auto" w:sz="4" w:space="0"/>
                    <w:right w:val="single" w:color="auto" w:sz="4" w:space="0"/>
                  </w:tcBorders>
                  <w:vAlign w:val="center"/>
                </w:tcPr>
                <w:p>
                  <w:pPr>
                    <w:pStyle w:val="60"/>
                    <w:widowControl/>
                    <w:spacing w:line="300" w:lineRule="exact"/>
                    <w:ind w:firstLine="0" w:firstLineChars="0"/>
                    <w:jc w:val="center"/>
                    <w:rPr>
                      <w:rFonts w:ascii="宋体" w:hAnsi="宋体" w:eastAsia="宋体"/>
                      <w:sz w:val="18"/>
                      <w:szCs w:val="18"/>
                    </w:rPr>
                  </w:pPr>
                  <w:r>
                    <w:rPr>
                      <w:rFonts w:hint="eastAsia" w:ascii="宋体" w:hAnsi="宋体" w:eastAsia="宋体"/>
                      <w:sz w:val="18"/>
                      <w:szCs w:val="18"/>
                    </w:rPr>
                    <w:t>环境管控单元</w:t>
                  </w:r>
                </w:p>
              </w:tc>
              <w:tc>
                <w:tcPr>
                  <w:tcW w:w="1381" w:type="dxa"/>
                  <w:tcBorders>
                    <w:top w:val="single" w:color="auto" w:sz="4" w:space="0"/>
                    <w:left w:val="single" w:color="auto" w:sz="4" w:space="0"/>
                    <w:bottom w:val="single" w:color="auto" w:sz="4" w:space="0"/>
                    <w:right w:val="single" w:color="auto" w:sz="4" w:space="0"/>
                  </w:tcBorders>
                  <w:vAlign w:val="center"/>
                </w:tcPr>
                <w:p>
                  <w:pPr>
                    <w:pStyle w:val="60"/>
                    <w:widowControl/>
                    <w:spacing w:line="300" w:lineRule="exact"/>
                    <w:ind w:firstLine="0" w:firstLineChars="0"/>
                    <w:jc w:val="center"/>
                    <w:rPr>
                      <w:rFonts w:ascii="宋体" w:hAnsi="宋体" w:eastAsia="宋体"/>
                      <w:sz w:val="18"/>
                      <w:szCs w:val="18"/>
                    </w:rPr>
                  </w:pPr>
                  <w:r>
                    <w:rPr>
                      <w:rFonts w:hint="eastAsia" w:ascii="宋体" w:hAnsi="宋体" w:eastAsia="宋体"/>
                      <w:sz w:val="18"/>
                      <w:szCs w:val="18"/>
                    </w:rPr>
                    <w:t>环境综合管控单元工业重点管控单元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 w:hRule="atLeast"/>
              </w:trPr>
              <w:tc>
                <w:tcPr>
                  <w:tcW w:w="1097" w:type="dxa"/>
                  <w:tcBorders>
                    <w:top w:val="single" w:color="auto" w:sz="4" w:space="0"/>
                    <w:left w:val="single" w:color="auto" w:sz="4" w:space="0"/>
                    <w:bottom w:val="single" w:color="auto" w:sz="4" w:space="0"/>
                    <w:right w:val="single" w:color="auto" w:sz="4" w:space="0"/>
                  </w:tcBorders>
                  <w:vAlign w:val="center"/>
                </w:tcPr>
                <w:p>
                  <w:pPr>
                    <w:pStyle w:val="60"/>
                    <w:widowControl/>
                    <w:spacing w:line="300" w:lineRule="exact"/>
                    <w:ind w:firstLine="0" w:firstLineChars="0"/>
                    <w:jc w:val="center"/>
                    <w:rPr>
                      <w:rFonts w:ascii="宋体" w:hAnsi="宋体" w:eastAsia="宋体"/>
                      <w:sz w:val="18"/>
                      <w:szCs w:val="18"/>
                    </w:rPr>
                  </w:pPr>
                  <w:r>
                    <w:rPr>
                      <w:rFonts w:hint="eastAsia" w:ascii="宋体" w:hAnsi="宋体" w:eastAsia="宋体"/>
                      <w:sz w:val="18"/>
                      <w:szCs w:val="18"/>
                    </w:rPr>
                    <w:t>YS5117022210002</w:t>
                  </w:r>
                </w:p>
              </w:tc>
              <w:tc>
                <w:tcPr>
                  <w:tcW w:w="1137" w:type="dxa"/>
                  <w:tcBorders>
                    <w:top w:val="single" w:color="auto" w:sz="4" w:space="0"/>
                    <w:left w:val="single" w:color="auto" w:sz="4" w:space="0"/>
                    <w:bottom w:val="single" w:color="auto" w:sz="4" w:space="0"/>
                    <w:right w:val="single" w:color="auto" w:sz="4" w:space="0"/>
                  </w:tcBorders>
                  <w:vAlign w:val="center"/>
                </w:tcPr>
                <w:p>
                  <w:pPr>
                    <w:pStyle w:val="60"/>
                    <w:widowControl/>
                    <w:spacing w:line="300" w:lineRule="exact"/>
                    <w:ind w:firstLine="0" w:firstLineChars="0"/>
                    <w:jc w:val="center"/>
                    <w:rPr>
                      <w:rFonts w:ascii="宋体" w:hAnsi="宋体" w:eastAsia="宋体"/>
                      <w:sz w:val="18"/>
                      <w:szCs w:val="18"/>
                    </w:rPr>
                  </w:pPr>
                  <w:r>
                    <w:rPr>
                      <w:rFonts w:hint="eastAsia" w:ascii="宋体" w:hAnsi="宋体" w:eastAsia="宋体"/>
                      <w:sz w:val="18"/>
                      <w:szCs w:val="18"/>
                    </w:rPr>
                    <w:t>州河通川区车家河控制单元</w:t>
                  </w:r>
                </w:p>
              </w:tc>
              <w:tc>
                <w:tcPr>
                  <w:tcW w:w="892" w:type="dxa"/>
                  <w:tcBorders>
                    <w:top w:val="single" w:color="auto" w:sz="4" w:space="0"/>
                    <w:left w:val="single" w:color="auto" w:sz="4" w:space="0"/>
                    <w:bottom w:val="single" w:color="auto" w:sz="4" w:space="0"/>
                    <w:right w:val="single" w:color="auto" w:sz="4" w:space="0"/>
                  </w:tcBorders>
                  <w:vAlign w:val="center"/>
                </w:tcPr>
                <w:p>
                  <w:pPr>
                    <w:pStyle w:val="60"/>
                    <w:widowControl/>
                    <w:spacing w:line="300" w:lineRule="exact"/>
                    <w:ind w:firstLine="0" w:firstLineChars="0"/>
                    <w:jc w:val="center"/>
                    <w:rPr>
                      <w:rFonts w:ascii="宋体" w:hAnsi="宋体" w:eastAsia="宋体"/>
                      <w:sz w:val="18"/>
                      <w:szCs w:val="18"/>
                    </w:rPr>
                  </w:pPr>
                  <w:r>
                    <w:rPr>
                      <w:rFonts w:hint="eastAsia" w:ascii="宋体" w:hAnsi="宋体" w:eastAsia="宋体"/>
                      <w:sz w:val="18"/>
                      <w:szCs w:val="18"/>
                    </w:rPr>
                    <w:t>达州市</w:t>
                  </w:r>
                </w:p>
              </w:tc>
              <w:tc>
                <w:tcPr>
                  <w:tcW w:w="943" w:type="dxa"/>
                  <w:tcBorders>
                    <w:top w:val="single" w:color="auto" w:sz="4" w:space="0"/>
                    <w:left w:val="single" w:color="auto" w:sz="4" w:space="0"/>
                    <w:bottom w:val="single" w:color="auto" w:sz="4" w:space="0"/>
                    <w:right w:val="single" w:color="auto" w:sz="4" w:space="0"/>
                  </w:tcBorders>
                  <w:vAlign w:val="center"/>
                </w:tcPr>
                <w:p>
                  <w:pPr>
                    <w:pStyle w:val="60"/>
                    <w:widowControl/>
                    <w:spacing w:line="300" w:lineRule="exact"/>
                    <w:ind w:firstLine="0" w:firstLineChars="0"/>
                    <w:jc w:val="center"/>
                    <w:rPr>
                      <w:rFonts w:ascii="宋体" w:hAnsi="宋体" w:eastAsia="宋体"/>
                      <w:sz w:val="18"/>
                      <w:szCs w:val="18"/>
                    </w:rPr>
                  </w:pPr>
                  <w:r>
                    <w:rPr>
                      <w:rFonts w:hint="eastAsia" w:ascii="宋体" w:hAnsi="宋体" w:eastAsia="宋体"/>
                      <w:sz w:val="18"/>
                      <w:szCs w:val="18"/>
                    </w:rPr>
                    <w:t>通川区</w:t>
                  </w:r>
                </w:p>
              </w:tc>
              <w:tc>
                <w:tcPr>
                  <w:tcW w:w="1074" w:type="dxa"/>
                  <w:tcBorders>
                    <w:top w:val="single" w:color="auto" w:sz="4" w:space="0"/>
                    <w:left w:val="single" w:color="auto" w:sz="4" w:space="0"/>
                    <w:bottom w:val="single" w:color="auto" w:sz="4" w:space="0"/>
                    <w:right w:val="single" w:color="auto" w:sz="4" w:space="0"/>
                  </w:tcBorders>
                  <w:vAlign w:val="center"/>
                </w:tcPr>
                <w:p>
                  <w:pPr>
                    <w:pStyle w:val="60"/>
                    <w:widowControl/>
                    <w:spacing w:line="300" w:lineRule="exact"/>
                    <w:ind w:firstLine="0" w:firstLineChars="0"/>
                    <w:jc w:val="center"/>
                    <w:rPr>
                      <w:rFonts w:ascii="宋体" w:hAnsi="宋体" w:eastAsia="宋体"/>
                      <w:sz w:val="18"/>
                      <w:szCs w:val="18"/>
                    </w:rPr>
                  </w:pPr>
                  <w:r>
                    <w:rPr>
                      <w:rFonts w:hint="eastAsia" w:ascii="宋体" w:hAnsi="宋体" w:eastAsia="宋体"/>
                      <w:sz w:val="18"/>
                      <w:szCs w:val="18"/>
                    </w:rPr>
                    <w:t>水环境管控分区</w:t>
                  </w:r>
                </w:p>
              </w:tc>
              <w:tc>
                <w:tcPr>
                  <w:tcW w:w="1381" w:type="dxa"/>
                  <w:tcBorders>
                    <w:top w:val="single" w:color="auto" w:sz="4" w:space="0"/>
                    <w:left w:val="single" w:color="auto" w:sz="4" w:space="0"/>
                    <w:bottom w:val="single" w:color="auto" w:sz="4" w:space="0"/>
                    <w:right w:val="single" w:color="auto" w:sz="4" w:space="0"/>
                  </w:tcBorders>
                  <w:vAlign w:val="center"/>
                </w:tcPr>
                <w:p>
                  <w:pPr>
                    <w:pStyle w:val="60"/>
                    <w:widowControl/>
                    <w:spacing w:line="300" w:lineRule="exact"/>
                    <w:ind w:firstLine="0" w:firstLineChars="0"/>
                    <w:jc w:val="center"/>
                    <w:rPr>
                      <w:rFonts w:ascii="宋体" w:hAnsi="宋体" w:eastAsia="宋体"/>
                      <w:sz w:val="18"/>
                      <w:szCs w:val="18"/>
                    </w:rPr>
                  </w:pPr>
                  <w:r>
                    <w:rPr>
                      <w:rFonts w:hint="eastAsia" w:ascii="宋体" w:hAnsi="宋体" w:eastAsia="宋体"/>
                      <w:sz w:val="18"/>
                      <w:szCs w:val="18"/>
                    </w:rPr>
                    <w:t>水环境工业污染重点管控区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 w:hRule="atLeast"/>
              </w:trPr>
              <w:tc>
                <w:tcPr>
                  <w:tcW w:w="1097" w:type="dxa"/>
                  <w:tcBorders>
                    <w:top w:val="single" w:color="auto" w:sz="4" w:space="0"/>
                    <w:left w:val="single" w:color="auto" w:sz="4" w:space="0"/>
                    <w:bottom w:val="single" w:color="auto" w:sz="4" w:space="0"/>
                    <w:right w:val="single" w:color="auto" w:sz="4" w:space="0"/>
                  </w:tcBorders>
                  <w:vAlign w:val="center"/>
                </w:tcPr>
                <w:p>
                  <w:pPr>
                    <w:pStyle w:val="60"/>
                    <w:widowControl/>
                    <w:spacing w:line="300" w:lineRule="exact"/>
                    <w:ind w:firstLine="0" w:firstLineChars="0"/>
                    <w:jc w:val="center"/>
                    <w:rPr>
                      <w:rFonts w:ascii="宋体" w:hAnsi="宋体" w:eastAsia="宋体"/>
                      <w:sz w:val="18"/>
                      <w:szCs w:val="18"/>
                    </w:rPr>
                  </w:pPr>
                  <w:r>
                    <w:rPr>
                      <w:rFonts w:hint="eastAsia" w:ascii="宋体" w:hAnsi="宋体" w:eastAsia="宋体"/>
                      <w:sz w:val="18"/>
                      <w:szCs w:val="18"/>
                    </w:rPr>
                    <w:t>YS5117022310002</w:t>
                  </w:r>
                </w:p>
              </w:tc>
              <w:tc>
                <w:tcPr>
                  <w:tcW w:w="1137" w:type="dxa"/>
                  <w:tcBorders>
                    <w:top w:val="single" w:color="auto" w:sz="4" w:space="0"/>
                    <w:left w:val="single" w:color="auto" w:sz="4" w:space="0"/>
                    <w:bottom w:val="single" w:color="auto" w:sz="4" w:space="0"/>
                    <w:right w:val="single" w:color="auto" w:sz="4" w:space="0"/>
                  </w:tcBorders>
                  <w:vAlign w:val="center"/>
                </w:tcPr>
                <w:p>
                  <w:pPr>
                    <w:pStyle w:val="60"/>
                    <w:widowControl/>
                    <w:spacing w:line="300" w:lineRule="exact"/>
                    <w:ind w:firstLine="0" w:firstLineChars="0"/>
                    <w:jc w:val="center"/>
                    <w:rPr>
                      <w:rFonts w:ascii="宋体" w:hAnsi="宋体" w:eastAsia="宋体"/>
                      <w:sz w:val="18"/>
                      <w:szCs w:val="18"/>
                    </w:rPr>
                  </w:pPr>
                  <w:r>
                    <w:rPr>
                      <w:rFonts w:hint="eastAsia" w:ascii="宋体" w:hAnsi="宋体" w:eastAsia="宋体"/>
                      <w:sz w:val="18"/>
                      <w:szCs w:val="18"/>
                    </w:rPr>
                    <w:t>东岳新型工业集聚区</w:t>
                  </w:r>
                </w:p>
              </w:tc>
              <w:tc>
                <w:tcPr>
                  <w:tcW w:w="892" w:type="dxa"/>
                  <w:tcBorders>
                    <w:top w:val="single" w:color="auto" w:sz="4" w:space="0"/>
                    <w:left w:val="single" w:color="auto" w:sz="4" w:space="0"/>
                    <w:bottom w:val="single" w:color="auto" w:sz="4" w:space="0"/>
                    <w:right w:val="single" w:color="auto" w:sz="4" w:space="0"/>
                  </w:tcBorders>
                  <w:vAlign w:val="center"/>
                </w:tcPr>
                <w:p>
                  <w:pPr>
                    <w:pStyle w:val="60"/>
                    <w:widowControl/>
                    <w:spacing w:line="300" w:lineRule="exact"/>
                    <w:ind w:firstLine="0" w:firstLineChars="0"/>
                    <w:jc w:val="center"/>
                    <w:rPr>
                      <w:rFonts w:ascii="宋体" w:hAnsi="宋体" w:eastAsia="宋体"/>
                      <w:sz w:val="18"/>
                      <w:szCs w:val="18"/>
                    </w:rPr>
                  </w:pPr>
                  <w:r>
                    <w:rPr>
                      <w:rFonts w:hint="eastAsia" w:ascii="宋体" w:hAnsi="宋体" w:eastAsia="宋体"/>
                      <w:sz w:val="18"/>
                      <w:szCs w:val="18"/>
                    </w:rPr>
                    <w:t>达州市</w:t>
                  </w:r>
                </w:p>
              </w:tc>
              <w:tc>
                <w:tcPr>
                  <w:tcW w:w="943" w:type="dxa"/>
                  <w:tcBorders>
                    <w:top w:val="single" w:color="auto" w:sz="4" w:space="0"/>
                    <w:left w:val="single" w:color="auto" w:sz="4" w:space="0"/>
                    <w:bottom w:val="single" w:color="auto" w:sz="4" w:space="0"/>
                    <w:right w:val="single" w:color="auto" w:sz="4" w:space="0"/>
                  </w:tcBorders>
                  <w:vAlign w:val="center"/>
                </w:tcPr>
                <w:p>
                  <w:pPr>
                    <w:pStyle w:val="60"/>
                    <w:widowControl/>
                    <w:spacing w:line="300" w:lineRule="exact"/>
                    <w:ind w:firstLine="0" w:firstLineChars="0"/>
                    <w:jc w:val="center"/>
                    <w:rPr>
                      <w:rFonts w:ascii="宋体" w:hAnsi="宋体" w:eastAsia="宋体"/>
                      <w:sz w:val="18"/>
                      <w:szCs w:val="18"/>
                    </w:rPr>
                  </w:pPr>
                  <w:r>
                    <w:rPr>
                      <w:rFonts w:hint="eastAsia" w:ascii="宋体" w:hAnsi="宋体" w:eastAsia="宋体"/>
                      <w:sz w:val="18"/>
                      <w:szCs w:val="18"/>
                    </w:rPr>
                    <w:t>通川区</w:t>
                  </w:r>
                </w:p>
              </w:tc>
              <w:tc>
                <w:tcPr>
                  <w:tcW w:w="1074" w:type="dxa"/>
                  <w:tcBorders>
                    <w:top w:val="single" w:color="auto" w:sz="4" w:space="0"/>
                    <w:left w:val="single" w:color="auto" w:sz="4" w:space="0"/>
                    <w:bottom w:val="single" w:color="auto" w:sz="4" w:space="0"/>
                    <w:right w:val="single" w:color="auto" w:sz="4" w:space="0"/>
                  </w:tcBorders>
                  <w:vAlign w:val="center"/>
                </w:tcPr>
                <w:p>
                  <w:pPr>
                    <w:pStyle w:val="60"/>
                    <w:widowControl/>
                    <w:spacing w:line="300" w:lineRule="exact"/>
                    <w:ind w:firstLine="0" w:firstLineChars="0"/>
                    <w:jc w:val="center"/>
                    <w:rPr>
                      <w:rFonts w:ascii="宋体" w:hAnsi="宋体" w:eastAsia="宋体"/>
                      <w:sz w:val="18"/>
                      <w:szCs w:val="18"/>
                    </w:rPr>
                  </w:pPr>
                  <w:r>
                    <w:rPr>
                      <w:rFonts w:hint="eastAsia" w:ascii="宋体" w:hAnsi="宋体" w:eastAsia="宋体"/>
                      <w:sz w:val="18"/>
                      <w:szCs w:val="18"/>
                    </w:rPr>
                    <w:t>大气环境管控分区</w:t>
                  </w:r>
                </w:p>
              </w:tc>
              <w:tc>
                <w:tcPr>
                  <w:tcW w:w="1381" w:type="dxa"/>
                  <w:tcBorders>
                    <w:top w:val="single" w:color="auto" w:sz="4" w:space="0"/>
                    <w:left w:val="single" w:color="auto" w:sz="4" w:space="0"/>
                    <w:bottom w:val="single" w:color="auto" w:sz="4" w:space="0"/>
                    <w:right w:val="single" w:color="auto" w:sz="4" w:space="0"/>
                  </w:tcBorders>
                  <w:vAlign w:val="center"/>
                </w:tcPr>
                <w:p>
                  <w:pPr>
                    <w:pStyle w:val="60"/>
                    <w:widowControl/>
                    <w:spacing w:line="300" w:lineRule="exact"/>
                    <w:ind w:firstLine="0" w:firstLineChars="0"/>
                    <w:jc w:val="center"/>
                    <w:rPr>
                      <w:rFonts w:ascii="宋体" w:hAnsi="宋体" w:eastAsia="宋体"/>
                      <w:sz w:val="18"/>
                      <w:szCs w:val="18"/>
                    </w:rPr>
                  </w:pPr>
                  <w:r>
                    <w:rPr>
                      <w:rFonts w:hint="eastAsia" w:ascii="宋体" w:hAnsi="宋体" w:eastAsia="宋体"/>
                      <w:sz w:val="18"/>
                      <w:szCs w:val="18"/>
                    </w:rPr>
                    <w:t>大气环境高排放重点管控区</w:t>
                  </w:r>
                </w:p>
              </w:tc>
            </w:tr>
          </w:tbl>
          <w:p>
            <w:pPr>
              <w:autoSpaceDE w:val="0"/>
              <w:autoSpaceDN w:val="0"/>
              <w:adjustRightInd w:val="0"/>
              <w:snapToGrid w:val="0"/>
              <w:spacing w:line="410" w:lineRule="exact"/>
              <w:ind w:firstLine="422" w:firstLineChars="200"/>
              <w:jc w:val="left"/>
              <w:rPr>
                <w:rFonts w:ascii="宋体" w:hAnsi="宋体" w:cs="宋体"/>
                <w:b/>
                <w:kern w:val="0"/>
                <w:szCs w:val="21"/>
              </w:rPr>
            </w:pPr>
            <w:r>
              <w:rPr>
                <w:rFonts w:hint="eastAsia" w:ascii="宋体" w:hAnsi="宋体" w:cs="宋体"/>
                <w:b/>
                <w:kern w:val="0"/>
                <w:szCs w:val="21"/>
              </w:rPr>
              <w:t>（3）与《川环办函〔2021〕469号》要求的符合性</w:t>
            </w:r>
          </w:p>
          <w:p>
            <w:pPr>
              <w:autoSpaceDE w:val="0"/>
              <w:autoSpaceDN w:val="0"/>
              <w:adjustRightInd w:val="0"/>
              <w:snapToGrid w:val="0"/>
              <w:spacing w:line="410" w:lineRule="exact"/>
              <w:ind w:firstLine="420" w:firstLineChars="200"/>
              <w:jc w:val="left"/>
              <w:rPr>
                <w:rFonts w:ascii="宋体" w:hAnsi="宋体" w:cs="宋体"/>
                <w:kern w:val="0"/>
                <w:szCs w:val="21"/>
              </w:rPr>
            </w:pPr>
            <w:r>
              <w:rPr>
                <w:rFonts w:hint="eastAsia" w:ascii="宋体" w:hAnsi="宋体" w:cs="宋体"/>
                <w:kern w:val="0"/>
                <w:szCs w:val="21"/>
              </w:rPr>
              <w:t>根据四川省生态环境厅办公室《关于印发《产业园区规划环评“三线一单”符合性分析技术要点(试行)》和《项目环评“三线一单”符合性分析技术要点(试行)》的通知》（川环办函〔2021〕469号），本项目属于位于产业园区内的污染影响类建设项目，但产业园区规划环评未开展与“三线一单”的符合性分析。因此，本项目的“三线一单”分析重点为空间符合性分析和管控要求符合性分析。</w:t>
            </w:r>
          </w:p>
          <w:p>
            <w:pPr>
              <w:autoSpaceDE w:val="0"/>
              <w:autoSpaceDN w:val="0"/>
              <w:adjustRightInd w:val="0"/>
              <w:snapToGrid w:val="0"/>
              <w:spacing w:line="410" w:lineRule="exact"/>
              <w:ind w:firstLine="422" w:firstLineChars="200"/>
              <w:jc w:val="left"/>
              <w:rPr>
                <w:rFonts w:ascii="宋体" w:hAnsi="宋体" w:cs="宋体"/>
                <w:b/>
                <w:kern w:val="0"/>
                <w:szCs w:val="21"/>
              </w:rPr>
            </w:pPr>
            <w:r>
              <w:rPr>
                <w:rFonts w:hint="eastAsia" w:ascii="宋体" w:hAnsi="宋体" w:cs="宋体"/>
                <w:b/>
                <w:kern w:val="0"/>
                <w:szCs w:val="21"/>
              </w:rPr>
              <w:t>（4）生态环境准入清单符合性分析</w:t>
            </w: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tc>
      </w:tr>
    </w:tbl>
    <w:p>
      <w:pPr>
        <w:widowControl/>
        <w:spacing w:line="360" w:lineRule="auto"/>
        <w:jc w:val="left"/>
        <w:rPr>
          <w:rFonts w:eastAsia="黑体"/>
          <w:sz w:val="30"/>
        </w:rPr>
        <w:sectPr>
          <w:footerReference r:id="rId4" w:type="default"/>
          <w:pgSz w:w="11906" w:h="16838"/>
          <w:pgMar w:top="1701" w:right="1531" w:bottom="1701" w:left="1531" w:header="851" w:footer="1077" w:gutter="0"/>
          <w:pgNumType w:fmt="numberInDash" w:start="1"/>
          <w:cols w:space="720" w:num="1"/>
        </w:sectPr>
      </w:pP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3"/>
        <w:gridCol w:w="12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3" w:type="dxa"/>
          </w:tcPr>
          <w:p>
            <w:pPr>
              <w:widowControl/>
              <w:spacing w:line="360" w:lineRule="auto"/>
              <w:jc w:val="left"/>
              <w:rPr>
                <w:rFonts w:eastAsia="黑体"/>
                <w:sz w:val="30"/>
              </w:rPr>
            </w:pPr>
          </w:p>
        </w:tc>
        <w:tc>
          <w:tcPr>
            <w:tcW w:w="12042" w:type="dxa"/>
          </w:tcPr>
          <w:p>
            <w:pPr>
              <w:autoSpaceDE w:val="0"/>
              <w:autoSpaceDN w:val="0"/>
              <w:adjustRightInd w:val="0"/>
              <w:snapToGrid w:val="0"/>
              <w:spacing w:line="410" w:lineRule="exact"/>
              <w:ind w:firstLine="422" w:firstLineChars="200"/>
              <w:jc w:val="center"/>
              <w:rPr>
                <w:rFonts w:eastAsia="黑体"/>
                <w:sz w:val="30"/>
              </w:rPr>
            </w:pPr>
            <w:r>
              <w:rPr>
                <w:rFonts w:hint="eastAsia" w:ascii="宋体" w:hAnsi="宋体" w:cs="宋体"/>
                <w:b/>
                <w:kern w:val="0"/>
                <w:szCs w:val="21"/>
              </w:rPr>
              <w:t>表1-4   项目与生态环境准入清单的符合性分析表</w:t>
            </w:r>
          </w:p>
          <w:tbl>
            <w:tblPr>
              <w:tblStyle w:val="21"/>
              <w:tblW w:w="114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17"/>
              <w:gridCol w:w="709"/>
              <w:gridCol w:w="611"/>
              <w:gridCol w:w="7185"/>
              <w:gridCol w:w="1701"/>
              <w:gridCol w:w="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 w:hRule="atLeast"/>
                <w:jc w:val="center"/>
              </w:trPr>
              <w:tc>
                <w:tcPr>
                  <w:tcW w:w="9122" w:type="dxa"/>
                  <w:gridSpan w:val="4"/>
                  <w:tcBorders>
                    <w:top w:val="single" w:color="auto" w:sz="4" w:space="0"/>
                    <w:left w:val="single" w:color="auto" w:sz="4" w:space="0"/>
                    <w:bottom w:val="single" w:color="auto" w:sz="4" w:space="0"/>
                    <w:right w:val="single" w:color="auto" w:sz="4" w:space="0"/>
                  </w:tcBorders>
                  <w:vAlign w:val="center"/>
                </w:tcPr>
                <w:p>
                  <w:pPr>
                    <w:spacing w:line="240" w:lineRule="exact"/>
                    <w:jc w:val="center"/>
                    <w:rPr>
                      <w:sz w:val="15"/>
                      <w:szCs w:val="15"/>
                    </w:rPr>
                  </w:pPr>
                  <w:r>
                    <w:rPr>
                      <w:rFonts w:hint="eastAsia"/>
                      <w:bCs/>
                      <w:sz w:val="15"/>
                      <w:szCs w:val="15"/>
                    </w:rPr>
                    <w:t>“三线一单”的具体要求</w:t>
                  </w:r>
                </w:p>
              </w:tc>
              <w:tc>
                <w:tcPr>
                  <w:tcW w:w="1701"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bCs/>
                      <w:sz w:val="15"/>
                      <w:szCs w:val="15"/>
                    </w:rPr>
                    <w:t>本项目情况</w:t>
                  </w:r>
                </w:p>
              </w:tc>
              <w:tc>
                <w:tcPr>
                  <w:tcW w:w="662"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bCs/>
                      <w:sz w:val="15"/>
                      <w:szCs w:val="15"/>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 w:hRule="atLeast"/>
                <w:jc w:val="center"/>
              </w:trPr>
              <w:tc>
                <w:tcPr>
                  <w:tcW w:w="1937" w:type="dxa"/>
                  <w:gridSpan w:val="3"/>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类别</w:t>
                  </w:r>
                </w:p>
              </w:tc>
              <w:tc>
                <w:tcPr>
                  <w:tcW w:w="718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对应</w:t>
                  </w:r>
                  <w:r>
                    <w:rPr>
                      <w:bCs/>
                      <w:sz w:val="15"/>
                      <w:szCs w:val="15"/>
                    </w:rPr>
                    <w:t>管控要求</w:t>
                  </w: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bCs/>
                      <w:sz w:val="15"/>
                      <w:szCs w:val="15"/>
                    </w:rPr>
                  </w:pPr>
                </w:p>
              </w:tc>
              <w:tc>
                <w:tcPr>
                  <w:tcW w:w="66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3" w:hRule="atLeast"/>
                <w:jc w:val="center"/>
              </w:trPr>
              <w:tc>
                <w:tcPr>
                  <w:tcW w:w="617" w:type="dxa"/>
                  <w:vMerge w:val="restart"/>
                  <w:tcBorders>
                    <w:top w:val="nil"/>
                    <w:left w:val="single" w:color="auto" w:sz="4" w:space="0"/>
                    <w:bottom w:val="single" w:color="auto" w:sz="4" w:space="0"/>
                    <w:right w:val="single" w:color="auto" w:sz="4" w:space="0"/>
                  </w:tcBorders>
                  <w:vAlign w:val="center"/>
                </w:tcPr>
                <w:p>
                  <w:pPr>
                    <w:spacing w:line="240" w:lineRule="exact"/>
                    <w:rPr>
                      <w:bCs/>
                      <w:sz w:val="15"/>
                      <w:szCs w:val="15"/>
                    </w:rPr>
                  </w:pPr>
                  <w:r>
                    <w:rPr>
                      <w:rStyle w:val="61"/>
                      <w:rFonts w:hint="eastAsia" w:ascii="Times New Roman"/>
                      <w:sz w:val="15"/>
                      <w:szCs w:val="15"/>
                    </w:rPr>
                    <w:t>环境综合管控单元工业重点管控单元</w:t>
                  </w:r>
                  <w:r>
                    <w:rPr>
                      <w:bCs/>
                      <w:sz w:val="15"/>
                      <w:szCs w:val="15"/>
                    </w:rPr>
                    <w:t>、</w:t>
                  </w:r>
                  <w:r>
                    <w:rPr>
                      <w:rStyle w:val="61"/>
                      <w:rFonts w:hint="eastAsia" w:ascii="Times New Roman"/>
                      <w:sz w:val="15"/>
                      <w:szCs w:val="15"/>
                    </w:rPr>
                    <w:t>ZH51170220003</w:t>
                  </w:r>
                  <w:r>
                    <w:rPr>
                      <w:bCs/>
                      <w:sz w:val="15"/>
                      <w:szCs w:val="15"/>
                    </w:rPr>
                    <w:t>、</w:t>
                  </w:r>
                  <w:r>
                    <w:rPr>
                      <w:rStyle w:val="61"/>
                      <w:rFonts w:hint="eastAsia" w:ascii="Times New Roman"/>
                      <w:sz w:val="15"/>
                      <w:szCs w:val="15"/>
                    </w:rPr>
                    <w:t>东岳新型工业集聚区</w:t>
                  </w:r>
                </w:p>
              </w:tc>
              <w:tc>
                <w:tcPr>
                  <w:tcW w:w="709" w:type="dxa"/>
                  <w:vMerge w:val="restart"/>
                  <w:tcBorders>
                    <w:top w:val="nil"/>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达州市普适性清单管控要求</w:t>
                  </w:r>
                </w:p>
              </w:tc>
              <w:tc>
                <w:tcPr>
                  <w:tcW w:w="6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空间布局约束</w:t>
                  </w:r>
                </w:p>
              </w:tc>
              <w:tc>
                <w:tcPr>
                  <w:tcW w:w="7185" w:type="dxa"/>
                  <w:tcBorders>
                    <w:top w:val="single" w:color="auto" w:sz="4" w:space="0"/>
                    <w:left w:val="single" w:color="auto" w:sz="4" w:space="0"/>
                    <w:bottom w:val="single" w:color="auto" w:sz="4" w:space="0"/>
                    <w:right w:val="single" w:color="auto" w:sz="4" w:space="0"/>
                  </w:tcBorders>
                  <w:vAlign w:val="center"/>
                </w:tcPr>
                <w:p>
                  <w:pPr>
                    <w:pStyle w:val="62"/>
                    <w:spacing w:line="240" w:lineRule="exact"/>
                    <w:ind w:firstLine="0" w:firstLineChars="0"/>
                    <w:rPr>
                      <w:rStyle w:val="61"/>
                      <w:rFonts w:ascii="Times New Roman" w:eastAsia="宋体"/>
                      <w:b/>
                      <w:kern w:val="0"/>
                      <w:sz w:val="15"/>
                      <w:szCs w:val="15"/>
                    </w:rPr>
                  </w:pPr>
                  <w:r>
                    <w:rPr>
                      <w:rStyle w:val="61"/>
                      <w:rFonts w:hint="eastAsia" w:ascii="Times New Roman" w:eastAsia="宋体"/>
                      <w:b/>
                      <w:kern w:val="0"/>
                      <w:sz w:val="15"/>
                      <w:szCs w:val="15"/>
                    </w:rPr>
                    <w:t>禁止开发建设活动的要求</w:t>
                  </w:r>
                </w:p>
                <w:p>
                  <w:pPr>
                    <w:pStyle w:val="62"/>
                    <w:spacing w:line="240" w:lineRule="exact"/>
                    <w:ind w:firstLine="300"/>
                    <w:rPr>
                      <w:rStyle w:val="61"/>
                      <w:rFonts w:ascii="Times New Roman" w:eastAsia="宋体"/>
                      <w:kern w:val="0"/>
                      <w:sz w:val="15"/>
                      <w:szCs w:val="15"/>
                    </w:rPr>
                  </w:pPr>
                  <w:r>
                    <w:rPr>
                      <w:rStyle w:val="61"/>
                      <w:rFonts w:hint="eastAsia" w:ascii="Times New Roman" w:eastAsia="宋体"/>
                      <w:kern w:val="0"/>
                      <w:sz w:val="15"/>
                      <w:szCs w:val="15"/>
                    </w:rPr>
                    <w:t>-禁止在长江干支流1公里范围内新建、扩建化工园区和化工项目，严控新建石油化工、煤化工、涉磷、造纸、印染、制革等项目。-禁止从事《长江经济带发展负面清单指南（试行）》禁止准入类事项。-引进项目应符合园区规划环评和区域产业准入及负面清单要求。</w:t>
                  </w:r>
                </w:p>
                <w:p>
                  <w:pPr>
                    <w:pStyle w:val="62"/>
                    <w:spacing w:line="240" w:lineRule="exact"/>
                    <w:ind w:firstLine="0" w:firstLineChars="0"/>
                    <w:rPr>
                      <w:rFonts w:eastAsia="宋体"/>
                      <w:sz w:val="15"/>
                      <w:szCs w:val="15"/>
                    </w:rPr>
                  </w:pPr>
                  <w:r>
                    <w:rPr>
                      <w:rStyle w:val="61"/>
                      <w:rFonts w:hint="eastAsia" w:ascii="Times New Roman" w:eastAsia="宋体"/>
                      <w:kern w:val="0"/>
                      <w:sz w:val="15"/>
                      <w:szCs w:val="15"/>
                    </w:rPr>
                    <w:t>-禁止新建不符合国家产业政策和行业准入条件的高污染项目。-工业园区禁止新建高污染燃料锅炉。-禁止在长江流域河湖管理范围内倾倒、填埋、堆放、弃置、处理固体废物。</w:t>
                  </w:r>
                </w:p>
                <w:p>
                  <w:pPr>
                    <w:pStyle w:val="62"/>
                    <w:spacing w:line="240" w:lineRule="exact"/>
                    <w:ind w:firstLine="0" w:firstLineChars="0"/>
                    <w:rPr>
                      <w:rStyle w:val="61"/>
                      <w:rFonts w:ascii="Times New Roman" w:eastAsia="宋体"/>
                      <w:b/>
                      <w:kern w:val="0"/>
                      <w:sz w:val="15"/>
                      <w:szCs w:val="15"/>
                    </w:rPr>
                  </w:pPr>
                  <w:r>
                    <w:rPr>
                      <w:rStyle w:val="61"/>
                      <w:rFonts w:hint="eastAsia" w:ascii="Times New Roman" w:eastAsia="宋体"/>
                      <w:b/>
                      <w:kern w:val="0"/>
                      <w:sz w:val="15"/>
                      <w:szCs w:val="15"/>
                    </w:rPr>
                    <w:t>限制开发建设活动的要求</w:t>
                  </w:r>
                </w:p>
                <w:p>
                  <w:pPr>
                    <w:pStyle w:val="62"/>
                    <w:spacing w:line="240" w:lineRule="exact"/>
                    <w:ind w:firstLine="300"/>
                    <w:rPr>
                      <w:rFonts w:eastAsia="宋体"/>
                      <w:sz w:val="15"/>
                      <w:szCs w:val="15"/>
                    </w:rPr>
                  </w:pPr>
                  <w:r>
                    <w:rPr>
                      <w:rStyle w:val="61"/>
                      <w:rFonts w:hint="eastAsia" w:ascii="Times New Roman" w:eastAsia="宋体"/>
                      <w:kern w:val="0"/>
                      <w:sz w:val="15"/>
                      <w:szCs w:val="15"/>
                    </w:rPr>
                    <w:t>-严格控制污染物新增排放量，对新建排放二氧化硫、氮氧化物、工业烟粉尘和VOC</w:t>
                  </w:r>
                  <w:r>
                    <w:rPr>
                      <w:rStyle w:val="61"/>
                      <w:rFonts w:hint="eastAsia" w:ascii="Times New Roman" w:eastAsia="宋体"/>
                      <w:kern w:val="0"/>
                      <w:sz w:val="15"/>
                      <w:szCs w:val="15"/>
                      <w:vertAlign w:val="subscript"/>
                    </w:rPr>
                    <w:t>S</w:t>
                  </w:r>
                  <w:r>
                    <w:rPr>
                      <w:rStyle w:val="61"/>
                      <w:rFonts w:hint="eastAsia" w:ascii="Times New Roman" w:eastAsia="宋体"/>
                      <w:kern w:val="0"/>
                      <w:sz w:val="15"/>
                      <w:szCs w:val="15"/>
                    </w:rPr>
                    <w:t>的项目实施现役源2倍削减量替代。-严格实施环评制度，将细颗粒物达标情况纳入规划环评和相关项目环评内容，加快制定颗粒物、VOC</w:t>
                  </w:r>
                  <w:r>
                    <w:rPr>
                      <w:rStyle w:val="61"/>
                      <w:rFonts w:hint="eastAsia" w:ascii="Times New Roman" w:eastAsia="宋体"/>
                      <w:kern w:val="0"/>
                      <w:sz w:val="15"/>
                      <w:szCs w:val="15"/>
                      <w:vertAlign w:val="subscript"/>
                    </w:rPr>
                    <w:t>S</w:t>
                  </w:r>
                  <w:r>
                    <w:rPr>
                      <w:rStyle w:val="61"/>
                      <w:rFonts w:hint="eastAsia" w:ascii="Times New Roman" w:eastAsia="宋体"/>
                      <w:kern w:val="0"/>
                      <w:sz w:val="15"/>
                      <w:szCs w:val="15"/>
                    </w:rPr>
                    <w:t>排放总量管理配套政策。-严格控制新建、扩建燃煤发电项目。-严控达州市主城区上游沿岸地区新建石油化工、煤化工、涉磷、造纸、印染、制革等项目。</w:t>
                  </w:r>
                </w:p>
                <w:p>
                  <w:pPr>
                    <w:pStyle w:val="62"/>
                    <w:spacing w:line="240" w:lineRule="exact"/>
                    <w:ind w:firstLine="0" w:firstLineChars="0"/>
                    <w:rPr>
                      <w:rStyle w:val="61"/>
                      <w:rFonts w:ascii="Times New Roman" w:eastAsia="宋体"/>
                      <w:b/>
                      <w:kern w:val="0"/>
                      <w:sz w:val="15"/>
                      <w:szCs w:val="15"/>
                    </w:rPr>
                  </w:pPr>
                  <w:r>
                    <w:rPr>
                      <w:rStyle w:val="61"/>
                      <w:rFonts w:hint="eastAsia" w:ascii="Times New Roman" w:eastAsia="宋体"/>
                      <w:b/>
                      <w:kern w:val="0"/>
                      <w:sz w:val="15"/>
                      <w:szCs w:val="15"/>
                    </w:rPr>
                    <w:t>不符合空间布局要求活动的退出要求</w:t>
                  </w:r>
                </w:p>
                <w:p>
                  <w:pPr>
                    <w:pStyle w:val="62"/>
                    <w:spacing w:line="240" w:lineRule="exact"/>
                    <w:ind w:firstLine="300"/>
                    <w:rPr>
                      <w:rFonts w:eastAsia="宋体"/>
                      <w:sz w:val="15"/>
                      <w:szCs w:val="15"/>
                    </w:rPr>
                  </w:pPr>
                  <w:r>
                    <w:rPr>
                      <w:rStyle w:val="61"/>
                      <w:rFonts w:hint="eastAsia" w:ascii="Times New Roman" w:eastAsia="宋体"/>
                      <w:kern w:val="0"/>
                      <w:sz w:val="15"/>
                      <w:szCs w:val="15"/>
                    </w:rPr>
                    <w:t>-现有属于禁止引入产业门类的企业，应按相关规定限期整治或退出。-重点区域城市钢铁企业要切实采取彻底关停、转型发展、就地改造、域外搬迁等方式。四川省达州钢铁集团有限责任公司处于四川省大气污染防治重点区域，属于“彻底关停、转型发展、就地改造、域外搬迁”企业； -引导重污染产业退出或搬迁、企业分类退城入园，逐步打破近水靠城的历史工业布局。加大城市区域现有装备水平低、环保设施差的微小企业“关、停、并、转”实施力度，清理建成区上风向重点涉气项目。-石化、现代煤化工项目应纳入国家产业规划。新建、扩建石化、化工、焦化、有色金属冶炼、平板玻璃项目应布设在依法合规设立并经规划环评的产业园区。</w:t>
                  </w:r>
                </w:p>
                <w:p>
                  <w:pPr>
                    <w:pStyle w:val="62"/>
                    <w:spacing w:line="240" w:lineRule="exact"/>
                    <w:ind w:firstLine="0" w:firstLineChars="0"/>
                    <w:rPr>
                      <w:rFonts w:eastAsia="宋体"/>
                      <w:sz w:val="15"/>
                      <w:szCs w:val="15"/>
                    </w:rPr>
                  </w:pPr>
                  <w:r>
                    <w:rPr>
                      <w:rStyle w:val="61"/>
                      <w:rFonts w:hint="eastAsia" w:ascii="Times New Roman" w:eastAsia="宋体"/>
                      <w:kern w:val="0"/>
                      <w:sz w:val="15"/>
                      <w:szCs w:val="15"/>
                    </w:rPr>
                    <w:t>其他空间布局约束要求,暂无。</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rPr>
                      <w:bCs/>
                      <w:sz w:val="15"/>
                      <w:szCs w:val="15"/>
                    </w:rPr>
                  </w:pPr>
                  <w:r>
                    <w:rPr>
                      <w:bCs/>
                      <w:sz w:val="15"/>
                      <w:szCs w:val="15"/>
                    </w:rPr>
                    <w:t>本项目为煤炭堆棚建设项目，不属于化工、涉磷、造纸等项目，不属于</w:t>
                  </w:r>
                  <w:r>
                    <w:rPr>
                      <w:rFonts w:hint="eastAsia"/>
                      <w:bCs/>
                      <w:sz w:val="15"/>
                      <w:szCs w:val="15"/>
                    </w:rPr>
                    <w:t>《长江经济带发展负面清单指南（试行）》禁止准入类事项。项目符合东岳新型工业集聚区的准入要求，不属于高污染项目，也不使用高污染燃料锅炉。项目排放的废气污染物包括工业粉尘，不涉及大气总量控制指标。</w:t>
                  </w:r>
                </w:p>
              </w:tc>
              <w:tc>
                <w:tcPr>
                  <w:tcW w:w="66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4" w:hRule="atLeast"/>
                <w:jc w:val="center"/>
              </w:trPr>
              <w:tc>
                <w:tcPr>
                  <w:tcW w:w="61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bCs/>
                      <w:sz w:val="15"/>
                      <w:szCs w:val="15"/>
                    </w:rPr>
                  </w:pP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bCs/>
                      <w:sz w:val="15"/>
                      <w:szCs w:val="15"/>
                    </w:rPr>
                  </w:pPr>
                </w:p>
              </w:tc>
              <w:tc>
                <w:tcPr>
                  <w:tcW w:w="6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 w:val="15"/>
                      <w:szCs w:val="15"/>
                    </w:rPr>
                  </w:pPr>
                  <w:r>
                    <w:rPr>
                      <w:rFonts w:hint="eastAsia"/>
                      <w:bCs/>
                      <w:sz w:val="15"/>
                      <w:szCs w:val="15"/>
                    </w:rPr>
                    <w:t>污染物排放管控</w:t>
                  </w:r>
                </w:p>
              </w:tc>
              <w:tc>
                <w:tcPr>
                  <w:tcW w:w="7185" w:type="dxa"/>
                  <w:tcBorders>
                    <w:top w:val="single" w:color="auto" w:sz="4" w:space="0"/>
                    <w:left w:val="single" w:color="auto" w:sz="4" w:space="0"/>
                    <w:bottom w:val="single" w:color="auto" w:sz="4" w:space="0"/>
                    <w:right w:val="single" w:color="auto" w:sz="4" w:space="0"/>
                  </w:tcBorders>
                  <w:vAlign w:val="center"/>
                </w:tcPr>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允许排放量要求</w:t>
                  </w:r>
                </w:p>
                <w:p>
                  <w:pPr>
                    <w:pStyle w:val="62"/>
                    <w:spacing w:line="240" w:lineRule="exact"/>
                    <w:ind w:firstLine="300"/>
                    <w:rPr>
                      <w:rStyle w:val="61"/>
                      <w:rFonts w:ascii="Times New Roman" w:eastAsia="宋体"/>
                      <w:kern w:val="0"/>
                      <w:sz w:val="15"/>
                      <w:szCs w:val="15"/>
                    </w:rPr>
                  </w:pPr>
                  <w:r>
                    <w:rPr>
                      <w:rStyle w:val="61"/>
                      <w:rFonts w:hint="eastAsia" w:ascii="Times New Roman" w:eastAsia="宋体"/>
                      <w:kern w:val="0"/>
                      <w:sz w:val="15"/>
                      <w:szCs w:val="15"/>
                    </w:rPr>
                    <w:t>达州市2025年水污染物允许排放量COD4396.41t，氨氮418.7t，TP45.36t；达州市2025年大气污染物一次PM</w:t>
                  </w:r>
                  <w:r>
                    <w:rPr>
                      <w:rStyle w:val="61"/>
                      <w:rFonts w:hint="eastAsia" w:ascii="Times New Roman" w:eastAsia="宋体"/>
                      <w:kern w:val="0"/>
                      <w:sz w:val="15"/>
                      <w:szCs w:val="15"/>
                      <w:vertAlign w:val="subscript"/>
                    </w:rPr>
                    <w:t>2.5</w:t>
                  </w:r>
                  <w:r>
                    <w:rPr>
                      <w:rStyle w:val="61"/>
                      <w:rFonts w:hint="eastAsia" w:ascii="Times New Roman" w:eastAsia="宋体"/>
                      <w:kern w:val="0"/>
                      <w:sz w:val="15"/>
                      <w:szCs w:val="15"/>
                    </w:rPr>
                    <w:t xml:space="preserve"> 5805t、SO</w:t>
                  </w:r>
                  <w:r>
                    <w:rPr>
                      <w:rStyle w:val="61"/>
                      <w:rFonts w:hint="eastAsia" w:ascii="Times New Roman" w:eastAsia="宋体"/>
                      <w:kern w:val="0"/>
                      <w:sz w:val="15"/>
                      <w:szCs w:val="15"/>
                      <w:vertAlign w:val="subscript"/>
                    </w:rPr>
                    <w:t>2</w:t>
                  </w:r>
                  <w:r>
                    <w:rPr>
                      <w:rStyle w:val="61"/>
                      <w:rFonts w:hint="eastAsia" w:ascii="Times New Roman" w:eastAsia="宋体"/>
                      <w:kern w:val="0"/>
                      <w:sz w:val="15"/>
                      <w:szCs w:val="15"/>
                    </w:rPr>
                    <w:t xml:space="preserve"> 12773t、NO</w:t>
                  </w:r>
                  <w:r>
                    <w:rPr>
                      <w:rStyle w:val="61"/>
                      <w:rFonts w:hint="eastAsia" w:ascii="Times New Roman" w:eastAsia="宋体"/>
                      <w:kern w:val="0"/>
                      <w:sz w:val="15"/>
                      <w:szCs w:val="15"/>
                      <w:vertAlign w:val="subscript"/>
                    </w:rPr>
                    <w:t>x</w:t>
                  </w:r>
                  <w:r>
                    <w:rPr>
                      <w:rStyle w:val="61"/>
                      <w:rFonts w:hint="eastAsia" w:ascii="Times New Roman" w:eastAsia="宋体"/>
                      <w:kern w:val="0"/>
                      <w:sz w:val="15"/>
                      <w:szCs w:val="15"/>
                    </w:rPr>
                    <w:t>11892t、VOC</w:t>
                  </w:r>
                  <w:r>
                    <w:rPr>
                      <w:rStyle w:val="61"/>
                      <w:rFonts w:hint="eastAsia" w:ascii="Times New Roman" w:eastAsia="宋体"/>
                      <w:kern w:val="0"/>
                      <w:sz w:val="15"/>
                      <w:szCs w:val="15"/>
                      <w:vertAlign w:val="subscript"/>
                    </w:rPr>
                    <w:t>s</w:t>
                  </w:r>
                  <w:r>
                    <w:rPr>
                      <w:rStyle w:val="61"/>
                      <w:rFonts w:hint="eastAsia" w:ascii="Times New Roman" w:eastAsia="宋体"/>
                      <w:kern w:val="0"/>
                      <w:sz w:val="15"/>
                      <w:szCs w:val="15"/>
                    </w:rPr>
                    <w:t xml:space="preserve"> 13969t。</w:t>
                  </w:r>
                </w:p>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现有源提标升级改造。</w:t>
                  </w:r>
                </w:p>
                <w:p>
                  <w:pPr>
                    <w:pStyle w:val="62"/>
                    <w:spacing w:line="240" w:lineRule="exact"/>
                    <w:ind w:firstLine="300"/>
                    <w:rPr>
                      <w:rFonts w:eastAsia="宋体"/>
                      <w:sz w:val="15"/>
                      <w:szCs w:val="15"/>
                    </w:rPr>
                  </w:pPr>
                  <w:r>
                    <w:rPr>
                      <w:rStyle w:val="61"/>
                      <w:rFonts w:hint="eastAsia" w:ascii="Times New Roman" w:eastAsia="宋体"/>
                      <w:kern w:val="0"/>
                      <w:sz w:val="15"/>
                      <w:szCs w:val="15"/>
                    </w:rPr>
                    <w:t>-污水收集处理率达100%；-到2025年底前，现有钢铁行业80%以上产能完成超低排放改造，烧结机机头、球团焙烧烟气颗粒物、二氧化硫、氮氧化物排放浓度小时均值分别不高于10、35、50毫克立方米；其他主要污染源颗粒物、二氧化硫、氮氧化物排放浓度小时均值原则上分别不高于10、50、200毫克立方米。-有行业标准的工业炉窑，要求严格执行已有的行业排放标准，配套建设高效除尘脱硫脱硝设施，确保稳定达标排放。有排污许可证的，应严格执行许可要求。暂没有行业标准的，要求参照有关行业标准执行，其中，铸造行业烧结、高炉工序污染排放控制按照钢铁行业相关标准要求执行；颗粒物、二氧化硫、氮氧化物排放限值分别不高于30、200、300毫克立方米实施改造，其中，日用玻璃、玻璃棉氮氧化物排放限值不高于400毫克立方米。</w:t>
                  </w:r>
                </w:p>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其他污染物排放管控要求</w:t>
                  </w:r>
                </w:p>
                <w:p>
                  <w:pPr>
                    <w:pStyle w:val="62"/>
                    <w:spacing w:line="240" w:lineRule="exact"/>
                    <w:ind w:firstLine="300"/>
                    <w:rPr>
                      <w:rFonts w:eastAsia="宋体"/>
                      <w:sz w:val="15"/>
                      <w:szCs w:val="15"/>
                    </w:rPr>
                  </w:pPr>
                  <w:r>
                    <w:rPr>
                      <w:rStyle w:val="61"/>
                      <w:rFonts w:hint="eastAsia" w:ascii="Times New Roman" w:eastAsia="宋体"/>
                      <w:kern w:val="0"/>
                      <w:sz w:val="15"/>
                      <w:szCs w:val="15"/>
                    </w:rPr>
                    <w:t xml:space="preserve">新增源等量或倍量替代:上一年度水环境质量未完成目标的，新建排放水污染的建设项目按照总量管控要求进行倍量削减替代。上一年度空气质量年平均浓度不达标的城市，建设项目新增相关污染物按照总量管控要求进行倍量削减替代。对新建排放二氧化硫、氮氧化物、工业烟粉尘和VOCs的项目实施现役源倍量削减量替代。严禁钢铁、水泥、电解铝、平板玻璃等行业新增产能，对确有必要新建的必须实施等量或减量置换，防范过生和落后产能跨地区转移.污染物排放绩效水平准入要求:新、改扩建项目污染排放指标满足《四川省省级生态工业园区指标》综合类生态工业园区要求。工业固体废弃物利用处置率达100%，危险废物处置率达100%。国家大气污染防治重点区域(以下称重点区域)内新建耗煤项目还应严格按规定采取煤炭消费减量替代措施，不得使用高污染燃料作为煤炭减量替代措施;重点区域执行大气污染物特别排放限值，严禁新增钢铁、电力、水泥、玻璃、砖瓦、陶瓷、焦化、电解铝、有色等重点行业大气污染物排放。 </w:t>
                  </w:r>
                </w:p>
                <w:p>
                  <w:pPr>
                    <w:pStyle w:val="62"/>
                    <w:spacing w:line="240" w:lineRule="exact"/>
                    <w:ind w:firstLine="300"/>
                    <w:rPr>
                      <w:rFonts w:eastAsia="宋体"/>
                      <w:sz w:val="15"/>
                      <w:szCs w:val="15"/>
                    </w:rPr>
                  </w:pPr>
                  <w:r>
                    <w:rPr>
                      <w:rStyle w:val="61"/>
                      <w:rFonts w:hint="eastAsia" w:ascii="Times New Roman" w:eastAsia="宋体"/>
                      <w:kern w:val="0"/>
                      <w:sz w:val="15"/>
                      <w:szCs w:val="15"/>
                    </w:rPr>
                    <w:t>钢铁行业新建应参考达州市“三线一单”生态环境分区管控中钢铁行业资源环境绩效准入门槛。 2030年，渠江流域用水总量控制在31.61亿立方米以内，渠江干流COD排放总量限制在4.89万ta内、氨氮排放总量限制在0.54万ta内。全面推进节水型社会建设，加强河湖（库）水域岸线保护及管理，加强入河排污口规范化建设，加强工业污染、农业农村污染、船舶港口污染防治。对流域内饮用水源地进行有效保护及规范化建设。</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sz w:val="15"/>
                      <w:szCs w:val="15"/>
                    </w:rPr>
                  </w:pPr>
                  <w:r>
                    <w:rPr>
                      <w:sz w:val="15"/>
                      <w:szCs w:val="15"/>
                    </w:rPr>
                    <w:t>本项目</w:t>
                  </w:r>
                  <w:r>
                    <w:rPr>
                      <w:rFonts w:hint="eastAsia"/>
                      <w:sz w:val="15"/>
                      <w:szCs w:val="15"/>
                      <w:lang w:eastAsia="zh-CN"/>
                    </w:rPr>
                    <w:t>大气污染物</w:t>
                  </w:r>
                  <w:r>
                    <w:rPr>
                      <w:sz w:val="15"/>
                      <w:szCs w:val="15"/>
                    </w:rPr>
                    <w:t>为工业粉尘</w:t>
                  </w:r>
                  <w:r>
                    <w:rPr>
                      <w:rFonts w:hint="eastAsia"/>
                      <w:sz w:val="15"/>
                      <w:szCs w:val="15"/>
                    </w:rPr>
                    <w:t>，不涉及总量控制指标。</w:t>
                  </w:r>
                </w:p>
              </w:tc>
              <w:tc>
                <w:tcPr>
                  <w:tcW w:w="66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bCs/>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6" w:hRule="atLeast"/>
                <w:jc w:val="center"/>
              </w:trPr>
              <w:tc>
                <w:tcPr>
                  <w:tcW w:w="61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bCs/>
                      <w:sz w:val="15"/>
                      <w:szCs w:val="15"/>
                    </w:rPr>
                  </w:pP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bCs/>
                      <w:sz w:val="15"/>
                      <w:szCs w:val="15"/>
                    </w:rPr>
                  </w:pPr>
                </w:p>
              </w:tc>
              <w:tc>
                <w:tcPr>
                  <w:tcW w:w="6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 w:val="15"/>
                      <w:szCs w:val="15"/>
                    </w:rPr>
                  </w:pPr>
                  <w:r>
                    <w:rPr>
                      <w:rFonts w:hint="eastAsia"/>
                      <w:bCs/>
                      <w:sz w:val="15"/>
                      <w:szCs w:val="15"/>
                    </w:rPr>
                    <w:t>环境风险防控</w:t>
                  </w:r>
                </w:p>
              </w:tc>
              <w:tc>
                <w:tcPr>
                  <w:tcW w:w="7185" w:type="dxa"/>
                  <w:tcBorders>
                    <w:top w:val="single" w:color="auto" w:sz="4" w:space="0"/>
                    <w:left w:val="single" w:color="auto" w:sz="4" w:space="0"/>
                    <w:bottom w:val="single" w:color="auto" w:sz="4" w:space="0"/>
                    <w:right w:val="single" w:color="auto" w:sz="4" w:space="0"/>
                  </w:tcBorders>
                  <w:vAlign w:val="center"/>
                </w:tcPr>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联防联控要求</w:t>
                  </w:r>
                </w:p>
                <w:p>
                  <w:pPr>
                    <w:pStyle w:val="62"/>
                    <w:spacing w:line="240" w:lineRule="exact"/>
                    <w:ind w:firstLine="300"/>
                    <w:rPr>
                      <w:rStyle w:val="61"/>
                      <w:rFonts w:ascii="Times New Roman" w:eastAsia="宋体"/>
                      <w:kern w:val="0"/>
                      <w:sz w:val="15"/>
                      <w:szCs w:val="15"/>
                    </w:rPr>
                  </w:pPr>
                  <w:r>
                    <w:rPr>
                      <w:rStyle w:val="61"/>
                      <w:rFonts w:hint="eastAsia" w:ascii="Times New Roman" w:eastAsia="宋体"/>
                      <w:kern w:val="0"/>
                      <w:sz w:val="15"/>
                      <w:szCs w:val="15"/>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w:t>
                  </w:r>
                  <w:r>
                    <w:rPr>
                      <w:rStyle w:val="61"/>
                      <w:rFonts w:hint="eastAsia" w:eastAsia="宋体"/>
                      <w:kern w:val="0"/>
                      <w:sz w:val="15"/>
                      <w:szCs w:val="15"/>
                      <w:lang w:eastAsia="zh-CN"/>
                    </w:rPr>
                    <w:t>大气污染防治</w:t>
                  </w:r>
                  <w:r>
                    <w:rPr>
                      <w:rStyle w:val="61"/>
                      <w:rFonts w:hint="eastAsia" w:ascii="Times New Roman" w:eastAsia="宋体"/>
                      <w:kern w:val="0"/>
                      <w:sz w:val="15"/>
                      <w:szCs w:val="15"/>
                    </w:rPr>
                    <w:t>合作</w:t>
                  </w:r>
                </w:p>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其他环境风险防控要求</w:t>
                  </w:r>
                </w:p>
                <w:p>
                  <w:pPr>
                    <w:spacing w:line="240" w:lineRule="exact"/>
                    <w:ind w:firstLine="420"/>
                    <w:rPr>
                      <w:sz w:val="15"/>
                      <w:szCs w:val="15"/>
                    </w:rPr>
                  </w:pPr>
                  <w:r>
                    <w:rPr>
                      <w:rStyle w:val="61"/>
                      <w:rFonts w:hint="eastAsia" w:ascii="Times New Roman"/>
                      <w:kern w:val="0"/>
                      <w:sz w:val="15"/>
                      <w:szCs w:val="15"/>
                    </w:rPr>
                    <w:t>企业环境风险防控要求:涉及有毒有害、易燃易爆物质新建、改扩建项目，严控准入要求。（根据《GB 8978-2002》中第一类污染物以及《优先控制化学品名录</w:t>
                  </w:r>
                  <w:r>
                    <w:rPr>
                      <w:rStyle w:val="61"/>
                      <w:rFonts w:hint="eastAsia"/>
                      <w:kern w:val="0"/>
                      <w:sz w:val="15"/>
                      <w:szCs w:val="15"/>
                      <w:lang w:eastAsia="zh-CN"/>
                    </w:rPr>
                    <w:t>》《</w:t>
                  </w:r>
                  <w:r>
                    <w:rPr>
                      <w:rStyle w:val="61"/>
                      <w:rFonts w:hint="eastAsia" w:ascii="Times New Roman"/>
                      <w:kern w:val="0"/>
                      <w:sz w:val="15"/>
                      <w:szCs w:val="15"/>
                    </w:rPr>
                    <w:t>有毒有害大气污染物名录</w:t>
                  </w:r>
                  <w:r>
                    <w:rPr>
                      <w:rStyle w:val="61"/>
                      <w:rFonts w:hint="eastAsia"/>
                      <w:kern w:val="0"/>
                      <w:sz w:val="15"/>
                      <w:szCs w:val="15"/>
                      <w:lang w:eastAsia="zh-CN"/>
                    </w:rPr>
                    <w:t>》《</w:t>
                  </w:r>
                  <w:r>
                    <w:rPr>
                      <w:rStyle w:val="61"/>
                      <w:rFonts w:hint="eastAsia" w:ascii="Times New Roman"/>
                      <w:kern w:val="0"/>
                      <w:sz w:val="15"/>
                      <w:szCs w:val="15"/>
                    </w:rPr>
                    <w:t>有毒有害水污染物名录》确定）。对钢铁、焦化平板玻璃、铜铅锌硅冶炼等环境影响大或环境风险高的项目类别，不得以改革试点名义随意下放环评审批权限或降低审批要求。园区环境风险防控要求:园区风险防控体系要求：构建三级环境风险防控体系，强化危化品泄漏应急处置措施，确保风险可控。针对化工园区进一步强化风险防控。杜绝危化品泄漏、事故排放等，确保环境安全。用地环境风险防控要求:化工、电镀等行业企业拆除生产设施设备、构筑物和污染治理设施，要事先制定残留污染物清理和安全处置方案，要严格按照有关规定实施安全处理处置，防范拆除活动污染土壤。有色金属矿采选、有色金属冶炼、石油加工、化工、焦化、电镀、制革、天然（页岩）气开采、铅蓄电池、汽车制造、农药、危废处置、电子拆解等行业企业及其他可能影响土壤环境质量的生产设施设备、构筑物和污染治理设施的拆除，按照有关规定制定残留污染物清理和安全处置方案，要严格按照有关规定实施安全处理处置，防范拆除活动污染土壤。</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sz w:val="15"/>
                      <w:szCs w:val="15"/>
                    </w:rPr>
                  </w:pPr>
                  <w:r>
                    <w:rPr>
                      <w:sz w:val="15"/>
                      <w:szCs w:val="15"/>
                    </w:rPr>
                    <w:t>本项目建成后将按要求编制《突发环境风险应急预案》。</w:t>
                  </w:r>
                </w:p>
              </w:tc>
              <w:tc>
                <w:tcPr>
                  <w:tcW w:w="66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7" w:hRule="atLeast"/>
                <w:jc w:val="center"/>
              </w:trPr>
              <w:tc>
                <w:tcPr>
                  <w:tcW w:w="61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bCs/>
                      <w:sz w:val="15"/>
                      <w:szCs w:val="15"/>
                    </w:rPr>
                  </w:pP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bCs/>
                      <w:sz w:val="15"/>
                      <w:szCs w:val="15"/>
                    </w:rPr>
                  </w:pPr>
                </w:p>
              </w:tc>
              <w:tc>
                <w:tcPr>
                  <w:tcW w:w="6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 w:val="15"/>
                      <w:szCs w:val="15"/>
                    </w:rPr>
                  </w:pPr>
                  <w:r>
                    <w:rPr>
                      <w:rFonts w:hint="eastAsia"/>
                      <w:bCs/>
                      <w:sz w:val="15"/>
                      <w:szCs w:val="15"/>
                    </w:rPr>
                    <w:t>资源开发利用效率要求</w:t>
                  </w:r>
                </w:p>
              </w:tc>
              <w:tc>
                <w:tcPr>
                  <w:tcW w:w="7185" w:type="dxa"/>
                  <w:tcBorders>
                    <w:top w:val="single" w:color="auto" w:sz="4" w:space="0"/>
                    <w:left w:val="single" w:color="auto" w:sz="4" w:space="0"/>
                    <w:bottom w:val="single" w:color="auto" w:sz="4" w:space="0"/>
                    <w:right w:val="single" w:color="auto" w:sz="4" w:space="0"/>
                  </w:tcBorders>
                  <w:vAlign w:val="center"/>
                </w:tcPr>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水资源利用总量要求</w:t>
                  </w:r>
                </w:p>
                <w:p>
                  <w:pPr>
                    <w:pStyle w:val="62"/>
                    <w:spacing w:line="240" w:lineRule="exact"/>
                    <w:ind w:firstLine="300"/>
                    <w:rPr>
                      <w:rStyle w:val="61"/>
                      <w:rFonts w:ascii="Times New Roman" w:eastAsia="宋体"/>
                      <w:kern w:val="0"/>
                      <w:sz w:val="15"/>
                      <w:szCs w:val="15"/>
                    </w:rPr>
                  </w:pPr>
                  <w:r>
                    <w:rPr>
                      <w:rStyle w:val="61"/>
                      <w:rFonts w:hint="eastAsia" w:ascii="Times New Roman" w:eastAsia="宋体"/>
                      <w:kern w:val="0"/>
                      <w:sz w:val="15"/>
                      <w:szCs w:val="15"/>
                    </w:rPr>
                    <w:t>新、改扩建项目污染水耗指标满足《四川省省级生态工业园区指标》综合类生态工业园区要求；到2022年，万元国内生产总值用水量、万元工业增加值用水量较2015年分别下降30%和28%。</w:t>
                  </w:r>
                </w:p>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地下水开采要求</w:t>
                  </w:r>
                </w:p>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以省市下发指标为准</w:t>
                  </w:r>
                </w:p>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能源利用总量及效率要求</w:t>
                  </w:r>
                </w:p>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川东北区域实施新建项目与煤炭消费总量控制挂钩机制，耗煤建设项目实行煤炭消耗等量减量替代。提高煤炭利用效率和天然气利用占比，工业领域有序推进“煤改电”和有序推进“煤改气”。-大力实施和推广以电代煤、以电代油工程，重点在城市交通、工商业等领域实施以电代油、以电代煤。-增加天然气对煤炭和石油的替代，提高天然气民用、交通、发电、工业领域天然气消费比重。-实施煤炭消费总量控制：严格控制煤炭消费总量；严格控制新建、改建、扩建耗煤项目，新增耗煤项目实行煤炭消耗减量倍量替代。-鼓励使用清洁燃料，重点区域建设项目原则上不新建燃煤自备锅炉。鼓励重点区域高炉-转炉长流程钢铁企业转型为电炉短流程企业。大宗物料优先采用铁路、管道或水路运输，短途接驳优先使用新能源车辆运输。-推进清洁能源的推广使用，全面推进散煤清洁化整治；禁止新建每小时10蒸吨以下的燃煤锅炉及其他燃煤设施.-地级以上城市建成区禁止新建每小时20蒸吨以下燃煤锅炉；对20蒸吨及以上燃煤锅炉实施脱硫改造，建设高效脱硫设施；对循环流化床锅炉以外的燃煤发电机组一律安装脱硫设施，对燃煤锅炉和工业锅炉现有除尘设施实施升级改造，确保达到新的排放标准和特别排放限值。</w:t>
                  </w:r>
                </w:p>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禁燃区要求</w:t>
                  </w:r>
                </w:p>
                <w:p>
                  <w:pPr>
                    <w:pStyle w:val="62"/>
                    <w:spacing w:line="240" w:lineRule="exact"/>
                    <w:ind w:firstLine="300"/>
                    <w:rPr>
                      <w:rStyle w:val="61"/>
                      <w:rFonts w:ascii="Times New Roman" w:eastAsia="宋体"/>
                      <w:kern w:val="0"/>
                      <w:sz w:val="15"/>
                      <w:szCs w:val="15"/>
                    </w:rPr>
                  </w:pPr>
                  <w:r>
                    <w:rPr>
                      <w:rStyle w:val="61"/>
                      <w:rFonts w:hint="eastAsia" w:ascii="Times New Roman" w:eastAsia="宋体"/>
                      <w:kern w:val="0"/>
                      <w:sz w:val="15"/>
                      <w:szCs w:val="15"/>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禁燃区内禁止销售、燃用高污染燃料；禁止新建、改建、扩建燃用高污染燃料的设施和设备。-禁燃区内已建成的高污染燃料燃用设施由辖区人民政府制定限期改造计划，改用天然气、页岩气、液化石油气、电或其他清洁能源。</w:t>
                  </w:r>
                </w:p>
                <w:p>
                  <w:pPr>
                    <w:pStyle w:val="62"/>
                    <w:spacing w:line="240" w:lineRule="exact"/>
                    <w:ind w:firstLine="0" w:firstLineChars="0"/>
                    <w:rPr>
                      <w:rFonts w:eastAsia="宋体"/>
                      <w:sz w:val="15"/>
                      <w:szCs w:val="15"/>
                    </w:rPr>
                  </w:pPr>
                  <w:r>
                    <w:rPr>
                      <w:rStyle w:val="61"/>
                      <w:rFonts w:hint="eastAsia" w:ascii="Times New Roman" w:eastAsia="宋体"/>
                      <w:kern w:val="0"/>
                      <w:sz w:val="15"/>
                      <w:szCs w:val="15"/>
                    </w:rPr>
                    <w:t xml:space="preserve"> 其他资源利用效率要求，暂无。</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 w:val="15"/>
                      <w:szCs w:val="15"/>
                    </w:rPr>
                  </w:pPr>
                  <w:r>
                    <w:rPr>
                      <w:rFonts w:hint="eastAsia"/>
                      <w:sz w:val="15"/>
                      <w:szCs w:val="15"/>
                    </w:rPr>
                    <w:t>本项目不涉及使用燃煤等高污染物燃料。</w:t>
                  </w:r>
                </w:p>
              </w:tc>
              <w:tc>
                <w:tcPr>
                  <w:tcW w:w="66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bCs/>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9" w:hRule="atLeast"/>
                <w:jc w:val="center"/>
              </w:trPr>
              <w:tc>
                <w:tcPr>
                  <w:tcW w:w="61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bCs/>
                      <w:sz w:val="15"/>
                      <w:szCs w:val="15"/>
                    </w:rPr>
                  </w:pPr>
                </w:p>
              </w:tc>
              <w:tc>
                <w:tcPr>
                  <w:tcW w:w="709" w:type="dxa"/>
                  <w:vMerge w:val="restart"/>
                  <w:tcBorders>
                    <w:top w:val="nil"/>
                    <w:left w:val="single" w:color="auto" w:sz="4" w:space="0"/>
                    <w:bottom w:val="single" w:color="auto" w:sz="4" w:space="0"/>
                    <w:right w:val="single" w:color="auto" w:sz="4" w:space="0"/>
                  </w:tcBorders>
                  <w:vAlign w:val="center"/>
                </w:tcPr>
                <w:p>
                  <w:pPr>
                    <w:spacing w:line="240" w:lineRule="exact"/>
                    <w:jc w:val="center"/>
                    <w:rPr>
                      <w:sz w:val="15"/>
                      <w:szCs w:val="15"/>
                    </w:rPr>
                  </w:pPr>
                  <w:r>
                    <w:rPr>
                      <w:rFonts w:hint="eastAsia"/>
                      <w:bCs/>
                      <w:sz w:val="15"/>
                      <w:szCs w:val="15"/>
                    </w:rPr>
                    <w:t>单元级清单管控要求</w:t>
                  </w:r>
                </w:p>
              </w:tc>
              <w:tc>
                <w:tcPr>
                  <w:tcW w:w="6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空间布局约束</w:t>
                  </w:r>
                </w:p>
              </w:tc>
              <w:tc>
                <w:tcPr>
                  <w:tcW w:w="7185"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禁止开发建设活动的要求</w:t>
                  </w:r>
                </w:p>
                <w:p>
                  <w:pPr>
                    <w:pStyle w:val="62"/>
                    <w:widowControl/>
                    <w:shd w:val="clear" w:color="auto" w:fill="FFFFFF"/>
                    <w:spacing w:line="240" w:lineRule="exact"/>
                    <w:ind w:firstLine="300"/>
                    <w:jc w:val="left"/>
                    <w:rPr>
                      <w:rStyle w:val="61"/>
                      <w:rFonts w:ascii="Times New Roman" w:eastAsia="宋体"/>
                      <w:sz w:val="15"/>
                      <w:szCs w:val="15"/>
                    </w:rPr>
                  </w:pPr>
                  <w:r>
                    <w:rPr>
                      <w:rStyle w:val="61"/>
                      <w:rFonts w:hint="eastAsia" w:ascii="Times New Roman" w:eastAsia="宋体"/>
                      <w:sz w:val="15"/>
                      <w:szCs w:val="15"/>
                    </w:rPr>
                    <w:t>-禁止引入如屠宰、电镀、制革、洗选、印染、含发酵工艺的生物制药等对水环境污染中的企业，电石、焦化、煤化工、黄磷等对大气环境污染重的企业，以及其他重污染的工业企业其它同达州市工业重点管控单元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限制开发建设活动的要求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执行达州市工业重点管控单元总体要求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允许开发建设活动的要求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不符合空间布局要求活动的退出要求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执行达州市工业重点管控单元总体要求</w:t>
                  </w:r>
                </w:p>
                <w:p>
                  <w:pPr>
                    <w:spacing w:line="240" w:lineRule="exact"/>
                    <w:rPr>
                      <w:sz w:val="15"/>
                      <w:szCs w:val="15"/>
                    </w:rPr>
                  </w:pPr>
                  <w:r>
                    <w:rPr>
                      <w:rStyle w:val="61"/>
                      <w:rFonts w:hint="eastAsia" w:ascii="Times New Roman"/>
                      <w:sz w:val="15"/>
                      <w:szCs w:val="15"/>
                    </w:rPr>
                    <w:t>其他空间布局约束要求</w:t>
                  </w:r>
                </w:p>
              </w:tc>
              <w:tc>
                <w:tcPr>
                  <w:tcW w:w="1701" w:type="dxa"/>
                  <w:tcBorders>
                    <w:top w:val="single" w:color="auto" w:sz="4" w:space="0"/>
                    <w:left w:val="single" w:color="auto" w:sz="4" w:space="0"/>
                    <w:bottom w:val="single" w:color="auto" w:sz="4" w:space="0"/>
                    <w:right w:val="single" w:color="auto" w:sz="4" w:space="0"/>
                  </w:tcBorders>
                  <w:vAlign w:val="center"/>
                </w:tcPr>
                <w:p>
                  <w:pPr>
                    <w:pStyle w:val="62"/>
                    <w:widowControl/>
                    <w:spacing w:line="240" w:lineRule="exact"/>
                    <w:ind w:firstLine="0" w:firstLineChars="0"/>
                    <w:rPr>
                      <w:rFonts w:eastAsia="宋体"/>
                      <w:sz w:val="15"/>
                      <w:szCs w:val="15"/>
                    </w:rPr>
                  </w:pPr>
                  <w:r>
                    <w:rPr>
                      <w:rFonts w:eastAsia="宋体"/>
                      <w:sz w:val="15"/>
                      <w:szCs w:val="15"/>
                    </w:rPr>
                    <w:t>本项目不属于屠宰、</w:t>
                  </w:r>
                  <w:r>
                    <w:rPr>
                      <w:rFonts w:hint="eastAsia" w:eastAsia="宋体"/>
                      <w:sz w:val="15"/>
                      <w:szCs w:val="15"/>
                    </w:rPr>
                    <w:t>电镀、制革、洗选等禁止引入类项目</w:t>
                  </w:r>
                  <w:r>
                    <w:rPr>
                      <w:rFonts w:eastAsia="宋体"/>
                      <w:sz w:val="15"/>
                      <w:szCs w:val="15"/>
                    </w:rPr>
                    <w:t xml:space="preserve">，属于园区允许准入类项目。 </w:t>
                  </w:r>
                </w:p>
              </w:tc>
              <w:tc>
                <w:tcPr>
                  <w:tcW w:w="66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9" w:hRule="atLeast"/>
                <w:jc w:val="center"/>
              </w:trPr>
              <w:tc>
                <w:tcPr>
                  <w:tcW w:w="61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bCs/>
                      <w:sz w:val="15"/>
                      <w:szCs w:val="15"/>
                    </w:rPr>
                  </w:pP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sz w:val="15"/>
                      <w:szCs w:val="15"/>
                    </w:rPr>
                  </w:pPr>
                </w:p>
              </w:tc>
              <w:tc>
                <w:tcPr>
                  <w:tcW w:w="6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污染物排放管控</w:t>
                  </w:r>
                </w:p>
              </w:tc>
              <w:tc>
                <w:tcPr>
                  <w:tcW w:w="7185"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现有源提标升级改造</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项目产生的生产废水由企业自行处理达到《污水排放综合标准》三级或相应的行业排放标准后排入园区污水处理厂处理达《城镇污水处理厂污染物排放标准》一级A标或更严格标准后排放；其他同达州市工业重点总体准入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新增源等量或倍量替代</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执行达州市工业重点管控单元总体要求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新增源排放标准限值</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同达州市工业重点总体准入要求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污染物排放绩效水平准入要求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执行达州市工业重点管控单元总体要求</w:t>
                  </w:r>
                </w:p>
                <w:p>
                  <w:pPr>
                    <w:spacing w:line="240" w:lineRule="exact"/>
                    <w:rPr>
                      <w:sz w:val="15"/>
                      <w:szCs w:val="15"/>
                    </w:rPr>
                  </w:pPr>
                  <w:r>
                    <w:rPr>
                      <w:rStyle w:val="61"/>
                      <w:rFonts w:hint="eastAsia" w:ascii="Times New Roman"/>
                      <w:sz w:val="15"/>
                      <w:szCs w:val="15"/>
                    </w:rPr>
                    <w:t>其他污染物排放管控要求</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 w:val="15"/>
                      <w:szCs w:val="15"/>
                    </w:rPr>
                  </w:pPr>
                  <w:r>
                    <w:rPr>
                      <w:sz w:val="15"/>
                      <w:szCs w:val="15"/>
                    </w:rPr>
                    <w:t>同“</w:t>
                  </w:r>
                  <w:r>
                    <w:rPr>
                      <w:rFonts w:hint="eastAsia"/>
                      <w:sz w:val="15"/>
                      <w:szCs w:val="15"/>
                    </w:rPr>
                    <w:t>达州市工业重点管控单元总体要求</w:t>
                  </w:r>
                  <w:r>
                    <w:rPr>
                      <w:sz w:val="15"/>
                      <w:szCs w:val="15"/>
                    </w:rPr>
                    <w:t>”分析</w:t>
                  </w:r>
                </w:p>
              </w:tc>
              <w:tc>
                <w:tcPr>
                  <w:tcW w:w="66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61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bCs/>
                      <w:sz w:val="15"/>
                      <w:szCs w:val="15"/>
                    </w:rPr>
                  </w:pP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sz w:val="15"/>
                      <w:szCs w:val="15"/>
                    </w:rPr>
                  </w:pPr>
                </w:p>
              </w:tc>
              <w:tc>
                <w:tcPr>
                  <w:tcW w:w="6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环境风险防控</w:t>
                  </w:r>
                </w:p>
              </w:tc>
              <w:tc>
                <w:tcPr>
                  <w:tcW w:w="7185"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严格管控类农用地管控要求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执行达州市工业重点管控单元总体要求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安全利用类农用地管控要求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执行达州市工业重点管控单元总体要求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污染地块管控要求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执行达州市工业重点管控单元总体要求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园区环境风险防控要求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执行达州市工业重点管控单元总体要求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企业环境风险防控要求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执行达州市工业重点管控单元总体要求</w:t>
                  </w:r>
                </w:p>
                <w:p>
                  <w:pPr>
                    <w:spacing w:line="240" w:lineRule="exact"/>
                    <w:rPr>
                      <w:sz w:val="15"/>
                      <w:szCs w:val="15"/>
                    </w:rPr>
                  </w:pPr>
                  <w:r>
                    <w:rPr>
                      <w:rStyle w:val="61"/>
                      <w:rFonts w:hint="eastAsia" w:ascii="Times New Roman"/>
                      <w:sz w:val="15"/>
                      <w:szCs w:val="15"/>
                    </w:rPr>
                    <w:t>其他环境风险防控要求</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 w:val="15"/>
                      <w:szCs w:val="15"/>
                    </w:rPr>
                  </w:pPr>
                  <w:r>
                    <w:rPr>
                      <w:rFonts w:hint="eastAsia"/>
                      <w:sz w:val="15"/>
                      <w:szCs w:val="15"/>
                    </w:rPr>
                    <w:t>同“达州市工业重点管控单元总体要求”分析</w:t>
                  </w:r>
                </w:p>
              </w:tc>
              <w:tc>
                <w:tcPr>
                  <w:tcW w:w="66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6" w:hRule="atLeast"/>
                <w:jc w:val="center"/>
              </w:trPr>
              <w:tc>
                <w:tcPr>
                  <w:tcW w:w="61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bCs/>
                      <w:sz w:val="15"/>
                      <w:szCs w:val="15"/>
                    </w:rPr>
                  </w:pP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sz w:val="15"/>
                      <w:szCs w:val="15"/>
                    </w:rPr>
                  </w:pPr>
                </w:p>
              </w:tc>
              <w:tc>
                <w:tcPr>
                  <w:tcW w:w="6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资源开发效率要求</w:t>
                  </w:r>
                </w:p>
              </w:tc>
              <w:tc>
                <w:tcPr>
                  <w:tcW w:w="7185"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水资源利用效率要求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执行达州市工业重点管控单元总体要求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地下水开采要求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执行达州市工业重点管控单元总体要求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能源利用效率要求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执行达州市工业重点管控单元总体要求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其他资源利用效率要求</w:t>
                  </w:r>
                </w:p>
                <w:p>
                  <w:pPr>
                    <w:spacing w:line="240" w:lineRule="exact"/>
                    <w:rPr>
                      <w:sz w:val="15"/>
                      <w:szCs w:val="15"/>
                    </w:rPr>
                  </w:pPr>
                  <w:r>
                    <w:rPr>
                      <w:rStyle w:val="61"/>
                      <w:rFonts w:hint="eastAsia" w:ascii="Times New Roman"/>
                      <w:sz w:val="15"/>
                      <w:szCs w:val="15"/>
                    </w:rPr>
                    <w:t>禁燃区要求：同达州市工业重点总体准入要求</w:t>
                  </w:r>
                </w:p>
              </w:tc>
              <w:tc>
                <w:tcPr>
                  <w:tcW w:w="1701"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eastAsia="宋体"/>
                      <w:sz w:val="15"/>
                      <w:szCs w:val="15"/>
                    </w:rPr>
                  </w:pPr>
                  <w:r>
                    <w:rPr>
                      <w:rFonts w:hint="eastAsia" w:eastAsia="宋体"/>
                      <w:sz w:val="15"/>
                      <w:szCs w:val="15"/>
                    </w:rPr>
                    <w:t>同“达州市工业重点管控单元总体要求”分析</w:t>
                  </w:r>
                </w:p>
              </w:tc>
              <w:tc>
                <w:tcPr>
                  <w:tcW w:w="66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4" w:hRule="atLeast"/>
                <w:jc w:val="center"/>
              </w:trPr>
              <w:tc>
                <w:tcPr>
                  <w:tcW w:w="617" w:type="dxa"/>
                  <w:vMerge w:val="restart"/>
                  <w:tcBorders>
                    <w:top w:val="nil"/>
                    <w:left w:val="single" w:color="auto" w:sz="4" w:space="0"/>
                    <w:right w:val="single" w:color="auto" w:sz="4" w:space="0"/>
                  </w:tcBorders>
                  <w:vAlign w:val="center"/>
                </w:tcPr>
                <w:p>
                  <w:pPr>
                    <w:spacing w:line="240" w:lineRule="exact"/>
                    <w:rPr>
                      <w:sz w:val="15"/>
                      <w:szCs w:val="15"/>
                    </w:rPr>
                  </w:pPr>
                  <w:r>
                    <w:rPr>
                      <w:rStyle w:val="61"/>
                      <w:rFonts w:hint="eastAsia" w:ascii="Times New Roman"/>
                      <w:sz w:val="15"/>
                      <w:szCs w:val="15"/>
                    </w:rPr>
                    <w:t>水环境工业污染重点管控区</w:t>
                  </w:r>
                  <w:r>
                    <w:rPr>
                      <w:rFonts w:hint="eastAsia"/>
                      <w:sz w:val="15"/>
                      <w:szCs w:val="15"/>
                    </w:rPr>
                    <w:t>、</w:t>
                  </w:r>
                  <w:r>
                    <w:rPr>
                      <w:rStyle w:val="61"/>
                      <w:rFonts w:hint="eastAsia" w:ascii="Times New Roman"/>
                      <w:sz w:val="15"/>
                      <w:szCs w:val="15"/>
                    </w:rPr>
                    <w:t>YS5117022210002</w:t>
                  </w:r>
                  <w:r>
                    <w:rPr>
                      <w:rFonts w:hint="eastAsia"/>
                      <w:sz w:val="15"/>
                      <w:szCs w:val="15"/>
                    </w:rPr>
                    <w:t>、</w:t>
                  </w:r>
                  <w:r>
                    <w:rPr>
                      <w:rStyle w:val="61"/>
                      <w:rFonts w:hint="eastAsia" w:ascii="Times New Roman"/>
                      <w:sz w:val="15"/>
                      <w:szCs w:val="15"/>
                    </w:rPr>
                    <w:t>州河通川区车家河控制单元</w:t>
                  </w:r>
                </w:p>
              </w:tc>
              <w:tc>
                <w:tcPr>
                  <w:tcW w:w="709" w:type="dxa"/>
                  <w:vMerge w:val="restart"/>
                  <w:tcBorders>
                    <w:top w:val="nil"/>
                    <w:left w:val="single" w:color="auto" w:sz="4" w:space="0"/>
                    <w:right w:val="single" w:color="auto" w:sz="4" w:space="0"/>
                  </w:tcBorders>
                  <w:vAlign w:val="center"/>
                </w:tcPr>
                <w:p>
                  <w:pPr>
                    <w:widowControl/>
                    <w:spacing w:line="240" w:lineRule="exact"/>
                    <w:jc w:val="left"/>
                    <w:rPr>
                      <w:sz w:val="15"/>
                      <w:szCs w:val="15"/>
                    </w:rPr>
                  </w:pPr>
                  <w:r>
                    <w:rPr>
                      <w:rFonts w:hint="eastAsia" w:cs="宋体"/>
                      <w:bCs/>
                      <w:kern w:val="0"/>
                      <w:sz w:val="15"/>
                      <w:szCs w:val="15"/>
                    </w:rPr>
                    <w:t>达州市普适性清单管控要求</w:t>
                  </w:r>
                </w:p>
              </w:tc>
              <w:tc>
                <w:tcPr>
                  <w:tcW w:w="6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空间布局约束</w:t>
                  </w:r>
                </w:p>
              </w:tc>
              <w:tc>
                <w:tcPr>
                  <w:tcW w:w="7185" w:type="dxa"/>
                  <w:tcBorders>
                    <w:top w:val="single" w:color="auto" w:sz="4" w:space="0"/>
                    <w:left w:val="single" w:color="auto" w:sz="4" w:space="0"/>
                    <w:bottom w:val="single" w:color="auto" w:sz="4" w:space="0"/>
                    <w:right w:val="single" w:color="auto" w:sz="4" w:space="0"/>
                  </w:tcBorders>
                  <w:vAlign w:val="center"/>
                </w:tcPr>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禁止开发建设活动的要求  暂无</w:t>
                  </w:r>
                </w:p>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限制开发建设活动的要求   暂无</w:t>
                  </w:r>
                </w:p>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不符合空间布局要求活动的退出要求  暂无</w:t>
                  </w:r>
                </w:p>
                <w:p>
                  <w:pPr>
                    <w:pStyle w:val="62"/>
                    <w:spacing w:line="240" w:lineRule="exact"/>
                    <w:ind w:firstLine="0" w:firstLineChars="0"/>
                    <w:rPr>
                      <w:sz w:val="15"/>
                      <w:szCs w:val="15"/>
                    </w:rPr>
                  </w:pPr>
                  <w:r>
                    <w:rPr>
                      <w:rStyle w:val="61"/>
                      <w:rFonts w:hint="eastAsia" w:ascii="Times New Roman" w:eastAsia="宋体"/>
                      <w:kern w:val="0"/>
                      <w:sz w:val="15"/>
                      <w:szCs w:val="15"/>
                    </w:rPr>
                    <w:t xml:space="preserve">其他空间布局约束要求  </w:t>
                  </w:r>
                  <w:r>
                    <w:rPr>
                      <w:rStyle w:val="61"/>
                      <w:rFonts w:hint="eastAsia" w:ascii="Times New Roman"/>
                      <w:kern w:val="0"/>
                      <w:sz w:val="15"/>
                      <w:szCs w:val="15"/>
                    </w:rPr>
                    <w:t>暂无</w:t>
                  </w:r>
                </w:p>
              </w:tc>
              <w:tc>
                <w:tcPr>
                  <w:tcW w:w="1701"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eastAsia="宋体"/>
                      <w:sz w:val="15"/>
                      <w:szCs w:val="15"/>
                    </w:rPr>
                  </w:pPr>
                  <w:r>
                    <w:rPr>
                      <w:rFonts w:hint="eastAsia" w:eastAsia="宋体"/>
                      <w:sz w:val="15"/>
                      <w:szCs w:val="15"/>
                    </w:rPr>
                    <w:t>/</w:t>
                  </w:r>
                </w:p>
              </w:tc>
              <w:tc>
                <w:tcPr>
                  <w:tcW w:w="662"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eastAsia="宋体"/>
                      <w:sz w:val="15"/>
                      <w:szCs w:val="15"/>
                    </w:rPr>
                  </w:pPr>
                  <w:r>
                    <w:rPr>
                      <w:rFonts w:hint="eastAsia" w:eastAsia="宋体"/>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 w:hRule="atLeast"/>
                <w:jc w:val="center"/>
              </w:trPr>
              <w:tc>
                <w:tcPr>
                  <w:tcW w:w="617" w:type="dxa"/>
                  <w:vMerge w:val="continue"/>
                  <w:tcBorders>
                    <w:top w:val="nil"/>
                    <w:left w:val="single" w:color="auto" w:sz="4" w:space="0"/>
                    <w:right w:val="single" w:color="auto" w:sz="4" w:space="0"/>
                  </w:tcBorders>
                  <w:vAlign w:val="center"/>
                </w:tcPr>
                <w:p>
                  <w:pPr>
                    <w:spacing w:line="240" w:lineRule="exact"/>
                    <w:jc w:val="center"/>
                    <w:rPr>
                      <w:sz w:val="15"/>
                      <w:szCs w:val="15"/>
                    </w:rPr>
                  </w:pPr>
                </w:p>
              </w:tc>
              <w:tc>
                <w:tcPr>
                  <w:tcW w:w="709" w:type="dxa"/>
                  <w:vMerge w:val="continue"/>
                  <w:tcBorders>
                    <w:left w:val="single" w:color="auto" w:sz="4" w:space="0"/>
                    <w:right w:val="single" w:color="auto" w:sz="4" w:space="0"/>
                  </w:tcBorders>
                  <w:vAlign w:val="center"/>
                </w:tcPr>
                <w:p>
                  <w:pPr>
                    <w:widowControl/>
                    <w:spacing w:line="240" w:lineRule="exact"/>
                    <w:jc w:val="left"/>
                    <w:rPr>
                      <w:sz w:val="15"/>
                      <w:szCs w:val="15"/>
                    </w:rPr>
                  </w:pPr>
                </w:p>
              </w:tc>
              <w:tc>
                <w:tcPr>
                  <w:tcW w:w="6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污染物排放管控</w:t>
                  </w:r>
                </w:p>
              </w:tc>
              <w:tc>
                <w:tcPr>
                  <w:tcW w:w="7185" w:type="dxa"/>
                  <w:tcBorders>
                    <w:top w:val="single" w:color="auto" w:sz="4" w:space="0"/>
                    <w:left w:val="single" w:color="auto" w:sz="4" w:space="0"/>
                    <w:bottom w:val="single" w:color="auto" w:sz="4" w:space="0"/>
                    <w:right w:val="single" w:color="auto" w:sz="4" w:space="0"/>
                  </w:tcBorders>
                  <w:vAlign w:val="center"/>
                </w:tcPr>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允许排放量要求  暂无</w:t>
                  </w:r>
                </w:p>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现有源提标升级改造  暂无</w:t>
                  </w:r>
                </w:p>
                <w:p>
                  <w:pPr>
                    <w:pStyle w:val="62"/>
                    <w:spacing w:line="240" w:lineRule="exact"/>
                    <w:ind w:firstLine="0" w:firstLineChars="0"/>
                    <w:rPr>
                      <w:sz w:val="15"/>
                      <w:szCs w:val="15"/>
                    </w:rPr>
                  </w:pPr>
                  <w:r>
                    <w:rPr>
                      <w:rStyle w:val="61"/>
                      <w:rFonts w:hint="eastAsia" w:ascii="Times New Roman" w:eastAsia="宋体"/>
                      <w:kern w:val="0"/>
                      <w:sz w:val="15"/>
                      <w:szCs w:val="15"/>
                    </w:rPr>
                    <w:t xml:space="preserve">其他污染物排放管控要求  </w:t>
                  </w:r>
                  <w:r>
                    <w:rPr>
                      <w:rStyle w:val="61"/>
                      <w:rFonts w:hint="eastAsia" w:ascii="Times New Roman"/>
                      <w:kern w:val="0"/>
                      <w:sz w:val="15"/>
                      <w:szCs w:val="15"/>
                    </w:rPr>
                    <w:t>暂无</w:t>
                  </w:r>
                </w:p>
              </w:tc>
              <w:tc>
                <w:tcPr>
                  <w:tcW w:w="1701"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eastAsia="宋体"/>
                      <w:sz w:val="15"/>
                      <w:szCs w:val="15"/>
                    </w:rPr>
                  </w:pPr>
                  <w:r>
                    <w:rPr>
                      <w:rFonts w:hint="eastAsia" w:eastAsia="宋体"/>
                      <w:sz w:val="15"/>
                      <w:szCs w:val="15"/>
                    </w:rPr>
                    <w:t>/</w:t>
                  </w:r>
                </w:p>
              </w:tc>
              <w:tc>
                <w:tcPr>
                  <w:tcW w:w="662"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eastAsia="宋体"/>
                      <w:sz w:val="15"/>
                      <w:szCs w:val="15"/>
                    </w:rPr>
                  </w:pPr>
                  <w:r>
                    <w:rPr>
                      <w:rFonts w:hint="eastAsia" w:eastAsia="宋体"/>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 w:hRule="atLeast"/>
                <w:jc w:val="center"/>
              </w:trPr>
              <w:tc>
                <w:tcPr>
                  <w:tcW w:w="617" w:type="dxa"/>
                  <w:vMerge w:val="continue"/>
                  <w:tcBorders>
                    <w:top w:val="nil"/>
                    <w:left w:val="single" w:color="auto" w:sz="4" w:space="0"/>
                    <w:right w:val="single" w:color="auto" w:sz="4" w:space="0"/>
                  </w:tcBorders>
                  <w:vAlign w:val="center"/>
                </w:tcPr>
                <w:p>
                  <w:pPr>
                    <w:spacing w:line="240" w:lineRule="exact"/>
                    <w:jc w:val="center"/>
                    <w:rPr>
                      <w:sz w:val="15"/>
                      <w:szCs w:val="15"/>
                    </w:rPr>
                  </w:pPr>
                </w:p>
              </w:tc>
              <w:tc>
                <w:tcPr>
                  <w:tcW w:w="709" w:type="dxa"/>
                  <w:vMerge w:val="continue"/>
                  <w:tcBorders>
                    <w:left w:val="single" w:color="auto" w:sz="4" w:space="0"/>
                    <w:right w:val="single" w:color="auto" w:sz="4" w:space="0"/>
                  </w:tcBorders>
                  <w:vAlign w:val="center"/>
                </w:tcPr>
                <w:p>
                  <w:pPr>
                    <w:widowControl/>
                    <w:spacing w:line="240" w:lineRule="exact"/>
                    <w:jc w:val="left"/>
                    <w:rPr>
                      <w:sz w:val="15"/>
                      <w:szCs w:val="15"/>
                    </w:rPr>
                  </w:pPr>
                </w:p>
              </w:tc>
              <w:tc>
                <w:tcPr>
                  <w:tcW w:w="6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环境风险防控</w:t>
                  </w:r>
                </w:p>
              </w:tc>
              <w:tc>
                <w:tcPr>
                  <w:tcW w:w="7185" w:type="dxa"/>
                  <w:tcBorders>
                    <w:top w:val="single" w:color="auto" w:sz="4" w:space="0"/>
                    <w:left w:val="single" w:color="auto" w:sz="4" w:space="0"/>
                    <w:bottom w:val="single" w:color="auto" w:sz="4" w:space="0"/>
                    <w:right w:val="single" w:color="auto" w:sz="4" w:space="0"/>
                  </w:tcBorders>
                  <w:vAlign w:val="center"/>
                </w:tcPr>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联防联控要求  暂无</w:t>
                  </w:r>
                </w:p>
                <w:p>
                  <w:pPr>
                    <w:pStyle w:val="62"/>
                    <w:spacing w:line="240" w:lineRule="exact"/>
                    <w:ind w:firstLine="0" w:firstLineChars="0"/>
                    <w:rPr>
                      <w:sz w:val="15"/>
                      <w:szCs w:val="15"/>
                    </w:rPr>
                  </w:pPr>
                  <w:r>
                    <w:rPr>
                      <w:rStyle w:val="61"/>
                      <w:rFonts w:hint="eastAsia" w:ascii="Times New Roman" w:eastAsia="宋体"/>
                      <w:kern w:val="0"/>
                      <w:sz w:val="15"/>
                      <w:szCs w:val="15"/>
                    </w:rPr>
                    <w:t xml:space="preserve">其他环境风险防控要求   </w:t>
                  </w:r>
                  <w:r>
                    <w:rPr>
                      <w:rStyle w:val="61"/>
                      <w:rFonts w:hint="eastAsia" w:ascii="Times New Roman"/>
                      <w:kern w:val="0"/>
                      <w:sz w:val="15"/>
                      <w:szCs w:val="15"/>
                    </w:rPr>
                    <w:t>暂无</w:t>
                  </w:r>
                </w:p>
              </w:tc>
              <w:tc>
                <w:tcPr>
                  <w:tcW w:w="1701"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eastAsia="宋体"/>
                      <w:sz w:val="15"/>
                      <w:szCs w:val="15"/>
                    </w:rPr>
                  </w:pPr>
                  <w:r>
                    <w:rPr>
                      <w:rFonts w:hint="eastAsia" w:eastAsia="宋体"/>
                      <w:sz w:val="15"/>
                      <w:szCs w:val="15"/>
                    </w:rPr>
                    <w:t>/</w:t>
                  </w:r>
                </w:p>
              </w:tc>
              <w:tc>
                <w:tcPr>
                  <w:tcW w:w="662"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eastAsia="宋体"/>
                      <w:sz w:val="15"/>
                      <w:szCs w:val="15"/>
                    </w:rPr>
                  </w:pPr>
                  <w:r>
                    <w:rPr>
                      <w:rFonts w:hint="eastAsia" w:eastAsia="宋体"/>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6" w:hRule="atLeast"/>
                <w:jc w:val="center"/>
              </w:trPr>
              <w:tc>
                <w:tcPr>
                  <w:tcW w:w="617" w:type="dxa"/>
                  <w:vMerge w:val="continue"/>
                  <w:tcBorders>
                    <w:top w:val="nil"/>
                    <w:left w:val="single" w:color="auto" w:sz="4" w:space="0"/>
                    <w:right w:val="single" w:color="auto" w:sz="4" w:space="0"/>
                  </w:tcBorders>
                  <w:vAlign w:val="center"/>
                </w:tcPr>
                <w:p>
                  <w:pPr>
                    <w:spacing w:line="240" w:lineRule="exact"/>
                    <w:jc w:val="center"/>
                    <w:rPr>
                      <w:sz w:val="15"/>
                      <w:szCs w:val="15"/>
                    </w:rPr>
                  </w:pPr>
                </w:p>
              </w:tc>
              <w:tc>
                <w:tcPr>
                  <w:tcW w:w="709" w:type="dxa"/>
                  <w:vMerge w:val="continue"/>
                  <w:tcBorders>
                    <w:left w:val="single" w:color="auto" w:sz="4" w:space="0"/>
                    <w:bottom w:val="single" w:color="auto" w:sz="4" w:space="0"/>
                    <w:right w:val="single" w:color="auto" w:sz="4" w:space="0"/>
                  </w:tcBorders>
                  <w:vAlign w:val="center"/>
                </w:tcPr>
                <w:p>
                  <w:pPr>
                    <w:widowControl/>
                    <w:spacing w:line="240" w:lineRule="exact"/>
                    <w:jc w:val="left"/>
                    <w:rPr>
                      <w:sz w:val="15"/>
                      <w:szCs w:val="15"/>
                    </w:rPr>
                  </w:pPr>
                </w:p>
              </w:tc>
              <w:tc>
                <w:tcPr>
                  <w:tcW w:w="6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资源开发效率要求</w:t>
                  </w:r>
                </w:p>
              </w:tc>
              <w:tc>
                <w:tcPr>
                  <w:tcW w:w="7185" w:type="dxa"/>
                  <w:tcBorders>
                    <w:top w:val="single" w:color="auto" w:sz="4" w:space="0"/>
                    <w:left w:val="single" w:color="auto" w:sz="4" w:space="0"/>
                    <w:bottom w:val="single" w:color="auto" w:sz="4" w:space="0"/>
                    <w:right w:val="single" w:color="auto" w:sz="4" w:space="0"/>
                  </w:tcBorders>
                  <w:vAlign w:val="center"/>
                </w:tcPr>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水资源利用总量要求  暂无</w:t>
                  </w:r>
                </w:p>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地下水开采要求   暂无</w:t>
                  </w:r>
                </w:p>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能源利用总量及效率要求   暂无</w:t>
                  </w:r>
                </w:p>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禁燃区要求    暂无</w:t>
                  </w:r>
                </w:p>
                <w:p>
                  <w:pPr>
                    <w:pStyle w:val="62"/>
                    <w:spacing w:line="240" w:lineRule="exact"/>
                    <w:ind w:firstLine="0" w:firstLineChars="0"/>
                    <w:rPr>
                      <w:sz w:val="15"/>
                      <w:szCs w:val="15"/>
                    </w:rPr>
                  </w:pPr>
                  <w:r>
                    <w:rPr>
                      <w:rStyle w:val="61"/>
                      <w:rFonts w:hint="eastAsia" w:ascii="Times New Roman" w:eastAsia="宋体"/>
                      <w:kern w:val="0"/>
                      <w:sz w:val="15"/>
                      <w:szCs w:val="15"/>
                    </w:rPr>
                    <w:t xml:space="preserve">其他资源利用效率要求   </w:t>
                  </w:r>
                  <w:r>
                    <w:rPr>
                      <w:rStyle w:val="61"/>
                      <w:rFonts w:hint="eastAsia" w:ascii="Times New Roman"/>
                      <w:kern w:val="0"/>
                      <w:sz w:val="15"/>
                      <w:szCs w:val="15"/>
                    </w:rPr>
                    <w:t>暂无</w:t>
                  </w:r>
                </w:p>
              </w:tc>
              <w:tc>
                <w:tcPr>
                  <w:tcW w:w="1701"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eastAsia="宋体"/>
                      <w:sz w:val="15"/>
                      <w:szCs w:val="15"/>
                    </w:rPr>
                  </w:pPr>
                  <w:r>
                    <w:rPr>
                      <w:rFonts w:hint="eastAsia" w:eastAsia="宋体"/>
                      <w:sz w:val="15"/>
                      <w:szCs w:val="15"/>
                    </w:rPr>
                    <w:t>/</w:t>
                  </w:r>
                </w:p>
              </w:tc>
              <w:tc>
                <w:tcPr>
                  <w:tcW w:w="662"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eastAsia="宋体"/>
                      <w:sz w:val="15"/>
                      <w:szCs w:val="15"/>
                    </w:rPr>
                  </w:pPr>
                  <w:r>
                    <w:rPr>
                      <w:rFonts w:hint="eastAsia" w:eastAsia="宋体"/>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1" w:hRule="atLeast"/>
                <w:jc w:val="center"/>
              </w:trPr>
              <w:tc>
                <w:tcPr>
                  <w:tcW w:w="617" w:type="dxa"/>
                  <w:vMerge w:val="continue"/>
                  <w:tcBorders>
                    <w:left w:val="single" w:color="auto" w:sz="4" w:space="0"/>
                    <w:right w:val="single" w:color="auto" w:sz="4" w:space="0"/>
                  </w:tcBorders>
                  <w:vAlign w:val="center"/>
                </w:tcPr>
                <w:p>
                  <w:pPr>
                    <w:spacing w:line="240" w:lineRule="exact"/>
                    <w:jc w:val="center"/>
                    <w:rPr>
                      <w:bCs/>
                      <w:sz w:val="15"/>
                      <w:szCs w:val="15"/>
                    </w:rPr>
                  </w:pPr>
                </w:p>
              </w:tc>
              <w:tc>
                <w:tcPr>
                  <w:tcW w:w="709" w:type="dxa"/>
                  <w:vMerge w:val="restart"/>
                  <w:tcBorders>
                    <w:top w:val="nil"/>
                    <w:left w:val="single" w:color="auto" w:sz="4" w:space="0"/>
                    <w:bottom w:val="single" w:color="auto" w:sz="4" w:space="0"/>
                    <w:right w:val="single" w:color="auto" w:sz="4" w:space="0"/>
                  </w:tcBorders>
                  <w:vAlign w:val="center"/>
                </w:tcPr>
                <w:p>
                  <w:pPr>
                    <w:spacing w:line="240" w:lineRule="exact"/>
                    <w:jc w:val="center"/>
                    <w:rPr>
                      <w:sz w:val="15"/>
                      <w:szCs w:val="15"/>
                    </w:rPr>
                  </w:pPr>
                  <w:r>
                    <w:rPr>
                      <w:rFonts w:hint="eastAsia"/>
                      <w:bCs/>
                      <w:sz w:val="15"/>
                      <w:szCs w:val="15"/>
                    </w:rPr>
                    <w:t>单元级清单管控要求</w:t>
                  </w:r>
                </w:p>
              </w:tc>
              <w:tc>
                <w:tcPr>
                  <w:tcW w:w="6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空间布局约束</w:t>
                  </w:r>
                </w:p>
              </w:tc>
              <w:tc>
                <w:tcPr>
                  <w:tcW w:w="7185"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禁止开发建设活动的要求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限制开发建设活动的要求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允许开发建设活动的要求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不符合空间布局要求活动的退出要求</w:t>
                  </w:r>
                </w:p>
                <w:p>
                  <w:pPr>
                    <w:spacing w:line="240" w:lineRule="exact"/>
                    <w:rPr>
                      <w:sz w:val="15"/>
                      <w:szCs w:val="15"/>
                    </w:rPr>
                  </w:pPr>
                  <w:r>
                    <w:rPr>
                      <w:rStyle w:val="61"/>
                      <w:rFonts w:hint="eastAsia" w:ascii="Times New Roman"/>
                      <w:sz w:val="15"/>
                      <w:szCs w:val="15"/>
                    </w:rPr>
                    <w:t>其他空间布局约束要求</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 w:val="15"/>
                      <w:szCs w:val="15"/>
                    </w:rPr>
                  </w:pPr>
                  <w:r>
                    <w:rPr>
                      <w:rFonts w:hint="eastAsia"/>
                      <w:sz w:val="15"/>
                      <w:szCs w:val="15"/>
                    </w:rPr>
                    <w:t>/</w:t>
                  </w:r>
                </w:p>
              </w:tc>
              <w:tc>
                <w:tcPr>
                  <w:tcW w:w="66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617" w:type="dxa"/>
                  <w:vMerge w:val="continue"/>
                  <w:tcBorders>
                    <w:left w:val="single" w:color="auto" w:sz="4" w:space="0"/>
                    <w:right w:val="single" w:color="auto" w:sz="4" w:space="0"/>
                  </w:tcBorders>
                  <w:vAlign w:val="center"/>
                </w:tcPr>
                <w:p>
                  <w:pPr>
                    <w:widowControl/>
                    <w:spacing w:line="240" w:lineRule="exact"/>
                    <w:jc w:val="left"/>
                    <w:rPr>
                      <w:bCs/>
                      <w:sz w:val="15"/>
                      <w:szCs w:val="15"/>
                    </w:rPr>
                  </w:pP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sz w:val="15"/>
                      <w:szCs w:val="15"/>
                    </w:rPr>
                  </w:pPr>
                </w:p>
              </w:tc>
              <w:tc>
                <w:tcPr>
                  <w:tcW w:w="6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污染物排放管控</w:t>
                  </w:r>
                </w:p>
              </w:tc>
              <w:tc>
                <w:tcPr>
                  <w:tcW w:w="7185" w:type="dxa"/>
                  <w:tcBorders>
                    <w:top w:val="single" w:color="auto" w:sz="4" w:space="0"/>
                    <w:left w:val="single" w:color="auto" w:sz="4" w:space="0"/>
                    <w:right w:val="single" w:color="auto" w:sz="4" w:space="0"/>
                  </w:tcBorders>
                  <w:vAlign w:val="center"/>
                </w:tcPr>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城镇污水污染控制措施要求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工业废水污染控制措施要求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严格落实排污许可制度，持证排污，达标排放；强化工业企业储存危险化学品监管，完善储存防护设施；加快布局分散的企业向园区集中；推进工业园区“零直排区”建设，加强企业废水预处理和排水管理，严格执行污水处理厂接管标准。新建有色金属矿产采选禁止工矿废水排放；现有企业强化尾矿库、污水处理设施监管。</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农业面源水污染控制措施要求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船舶港口水污染控制措施要求</w:t>
                  </w:r>
                </w:p>
                <w:p>
                  <w:pPr>
                    <w:spacing w:line="240" w:lineRule="exact"/>
                    <w:rPr>
                      <w:sz w:val="15"/>
                      <w:szCs w:val="15"/>
                    </w:rPr>
                  </w:pPr>
                  <w:r>
                    <w:rPr>
                      <w:rStyle w:val="61"/>
                      <w:rFonts w:hint="eastAsia" w:ascii="Times New Roman"/>
                      <w:sz w:val="15"/>
                      <w:szCs w:val="15"/>
                    </w:rPr>
                    <w:t>饮用水水源和其它特殊水体保护要求</w:t>
                  </w:r>
                </w:p>
              </w:tc>
              <w:tc>
                <w:tcPr>
                  <w:tcW w:w="1701"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eastAsia="宋体"/>
                      <w:sz w:val="15"/>
                      <w:szCs w:val="15"/>
                    </w:rPr>
                  </w:pPr>
                  <w:r>
                    <w:rPr>
                      <w:rFonts w:eastAsia="宋体"/>
                      <w:sz w:val="15"/>
                      <w:szCs w:val="15"/>
                    </w:rPr>
                    <w:t>本项目建成后将按要求办理排污许可证，持证排污，工业废水处理后循环回用不外排。</w:t>
                  </w:r>
                </w:p>
              </w:tc>
              <w:tc>
                <w:tcPr>
                  <w:tcW w:w="66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4" w:hRule="atLeast"/>
                <w:jc w:val="center"/>
              </w:trPr>
              <w:tc>
                <w:tcPr>
                  <w:tcW w:w="617" w:type="dxa"/>
                  <w:vMerge w:val="continue"/>
                  <w:tcBorders>
                    <w:left w:val="single" w:color="auto" w:sz="4" w:space="0"/>
                    <w:right w:val="single" w:color="auto" w:sz="4" w:space="0"/>
                  </w:tcBorders>
                  <w:vAlign w:val="center"/>
                </w:tcPr>
                <w:p>
                  <w:pPr>
                    <w:widowControl/>
                    <w:spacing w:line="240" w:lineRule="exact"/>
                    <w:jc w:val="left"/>
                    <w:rPr>
                      <w:bCs/>
                      <w:sz w:val="15"/>
                      <w:szCs w:val="15"/>
                    </w:rPr>
                  </w:pP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sz w:val="15"/>
                      <w:szCs w:val="15"/>
                    </w:rPr>
                  </w:pPr>
                </w:p>
              </w:tc>
              <w:tc>
                <w:tcPr>
                  <w:tcW w:w="6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环境风险防控</w:t>
                  </w:r>
                </w:p>
              </w:tc>
              <w:tc>
                <w:tcPr>
                  <w:tcW w:w="7185" w:type="dxa"/>
                  <w:tcBorders>
                    <w:left w:val="single" w:color="auto" w:sz="4" w:space="0"/>
                    <w:right w:val="single" w:color="auto" w:sz="4" w:space="0"/>
                  </w:tcBorders>
                  <w:vAlign w:val="center"/>
                </w:tcPr>
                <w:p>
                  <w:pPr>
                    <w:spacing w:line="240" w:lineRule="exact"/>
                    <w:rPr>
                      <w:sz w:val="15"/>
                      <w:szCs w:val="15"/>
                    </w:rPr>
                  </w:pPr>
                  <w:r>
                    <w:rPr>
                      <w:rStyle w:val="61"/>
                      <w:rFonts w:hint="eastAsia" w:ascii="Times New Roman"/>
                      <w:sz w:val="15"/>
                      <w:szCs w:val="15"/>
                    </w:rPr>
                    <w:t>加强环境风险防范，坚持预防为主，构建以企业为主体的环境风险防控体系，优化产业布局，加强协调联动，提升应急救援能力；严格环境风险源头防控，加强涉重金属、危险废物、危化品等重点企业环境风险评估；强化工业、企业集中分布区环境风险管控，建设相应的防护工程</w:t>
                  </w:r>
                </w:p>
              </w:tc>
              <w:tc>
                <w:tcPr>
                  <w:tcW w:w="1701"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left"/>
                    <w:rPr>
                      <w:rFonts w:eastAsia="宋体"/>
                      <w:sz w:val="15"/>
                      <w:szCs w:val="15"/>
                    </w:rPr>
                  </w:pPr>
                  <w:r>
                    <w:rPr>
                      <w:rFonts w:hint="eastAsia" w:eastAsia="宋体"/>
                      <w:sz w:val="15"/>
                      <w:szCs w:val="15"/>
                    </w:rPr>
                    <w:t>本项目为储煤棚建设项目，建成后将按要求编制《突发环境风险应急预案》。</w:t>
                  </w:r>
                </w:p>
              </w:tc>
              <w:tc>
                <w:tcPr>
                  <w:tcW w:w="66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617" w:type="dxa"/>
                  <w:vMerge w:val="continue"/>
                  <w:tcBorders>
                    <w:left w:val="single" w:color="auto" w:sz="4" w:space="0"/>
                    <w:bottom w:val="single" w:color="auto" w:sz="4" w:space="0"/>
                    <w:right w:val="single" w:color="auto" w:sz="4" w:space="0"/>
                  </w:tcBorders>
                  <w:vAlign w:val="center"/>
                </w:tcPr>
                <w:p>
                  <w:pPr>
                    <w:widowControl/>
                    <w:spacing w:line="240" w:lineRule="exact"/>
                    <w:jc w:val="left"/>
                    <w:rPr>
                      <w:bCs/>
                      <w:sz w:val="15"/>
                      <w:szCs w:val="15"/>
                    </w:rPr>
                  </w:pP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sz w:val="15"/>
                      <w:szCs w:val="15"/>
                    </w:rPr>
                  </w:pPr>
                </w:p>
              </w:tc>
              <w:tc>
                <w:tcPr>
                  <w:tcW w:w="6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资源开发效率要求</w:t>
                  </w:r>
                </w:p>
              </w:tc>
              <w:tc>
                <w:tcPr>
                  <w:tcW w:w="7185" w:type="dxa"/>
                  <w:tcBorders>
                    <w:left w:val="single" w:color="auto" w:sz="4" w:space="0"/>
                    <w:bottom w:val="single" w:color="auto" w:sz="4" w:space="0"/>
                    <w:right w:val="single" w:color="auto" w:sz="4" w:space="0"/>
                  </w:tcBorders>
                  <w:vAlign w:val="center"/>
                </w:tcPr>
                <w:p>
                  <w:pPr>
                    <w:spacing w:line="240" w:lineRule="exact"/>
                    <w:jc w:val="left"/>
                    <w:rPr>
                      <w:sz w:val="15"/>
                      <w:szCs w:val="15"/>
                    </w:rPr>
                  </w:pPr>
                  <w:r>
                    <w:rPr>
                      <w:rFonts w:hint="eastAsia"/>
                      <w:sz w:val="15"/>
                      <w:szCs w:val="15"/>
                    </w:rPr>
                    <w:t>/</w:t>
                  </w:r>
                </w:p>
              </w:tc>
              <w:tc>
                <w:tcPr>
                  <w:tcW w:w="1701"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eastAsia="宋体"/>
                      <w:sz w:val="15"/>
                      <w:szCs w:val="15"/>
                    </w:rPr>
                  </w:pPr>
                  <w:r>
                    <w:rPr>
                      <w:rFonts w:hint="eastAsia" w:eastAsia="宋体"/>
                      <w:sz w:val="15"/>
                      <w:szCs w:val="15"/>
                    </w:rPr>
                    <w:t>/</w:t>
                  </w:r>
                </w:p>
              </w:tc>
              <w:tc>
                <w:tcPr>
                  <w:tcW w:w="662"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eastAsia="宋体"/>
                      <w:sz w:val="15"/>
                      <w:szCs w:val="15"/>
                    </w:rPr>
                  </w:pPr>
                  <w:r>
                    <w:rPr>
                      <w:rFonts w:hint="eastAsia" w:eastAsia="宋体"/>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617" w:type="dxa"/>
                  <w:vMerge w:val="restart"/>
                  <w:tcBorders>
                    <w:left w:val="single" w:color="auto" w:sz="4" w:space="0"/>
                    <w:right w:val="single" w:color="auto" w:sz="4" w:space="0"/>
                  </w:tcBorders>
                  <w:vAlign w:val="center"/>
                </w:tcPr>
                <w:p>
                  <w:pPr>
                    <w:spacing w:line="240" w:lineRule="exact"/>
                    <w:rPr>
                      <w:bCs/>
                      <w:sz w:val="15"/>
                      <w:szCs w:val="15"/>
                    </w:rPr>
                  </w:pPr>
                  <w:r>
                    <w:rPr>
                      <w:rStyle w:val="61"/>
                      <w:rFonts w:hint="eastAsia" w:ascii="Times New Roman"/>
                      <w:sz w:val="15"/>
                      <w:szCs w:val="15"/>
                    </w:rPr>
                    <w:t>大气环境高排放重点管控区</w:t>
                  </w:r>
                  <w:r>
                    <w:rPr>
                      <w:rFonts w:hint="eastAsia"/>
                      <w:sz w:val="15"/>
                      <w:szCs w:val="15"/>
                    </w:rPr>
                    <w:t>、</w:t>
                  </w:r>
                  <w:r>
                    <w:rPr>
                      <w:rStyle w:val="61"/>
                      <w:rFonts w:hint="eastAsia" w:ascii="Times New Roman"/>
                      <w:sz w:val="15"/>
                      <w:szCs w:val="15"/>
                    </w:rPr>
                    <w:t>YS5117022310002</w:t>
                  </w:r>
                  <w:r>
                    <w:rPr>
                      <w:rFonts w:hint="eastAsia"/>
                      <w:sz w:val="15"/>
                      <w:szCs w:val="15"/>
                    </w:rPr>
                    <w:t>、</w:t>
                  </w:r>
                  <w:r>
                    <w:rPr>
                      <w:rStyle w:val="61"/>
                      <w:rFonts w:hint="eastAsia" w:ascii="Times New Roman"/>
                      <w:sz w:val="15"/>
                      <w:szCs w:val="15"/>
                    </w:rPr>
                    <w:t>东岳新型工业集聚区</w:t>
                  </w:r>
                </w:p>
              </w:tc>
              <w:tc>
                <w:tcPr>
                  <w:tcW w:w="709" w:type="dxa"/>
                  <w:vMerge w:val="restart"/>
                  <w:tcBorders>
                    <w:top w:val="nil"/>
                    <w:left w:val="single" w:color="auto" w:sz="4" w:space="0"/>
                    <w:right w:val="single" w:color="auto" w:sz="4" w:space="0"/>
                  </w:tcBorders>
                  <w:vAlign w:val="center"/>
                </w:tcPr>
                <w:p>
                  <w:pPr>
                    <w:widowControl/>
                    <w:spacing w:line="240" w:lineRule="exact"/>
                    <w:jc w:val="left"/>
                    <w:rPr>
                      <w:sz w:val="15"/>
                      <w:szCs w:val="15"/>
                    </w:rPr>
                  </w:pPr>
                  <w:r>
                    <w:rPr>
                      <w:rFonts w:hint="eastAsia"/>
                      <w:sz w:val="15"/>
                      <w:szCs w:val="15"/>
                    </w:rPr>
                    <w:t>达州市普适性清单管控要求</w:t>
                  </w:r>
                </w:p>
              </w:tc>
              <w:tc>
                <w:tcPr>
                  <w:tcW w:w="6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空间布局约束</w:t>
                  </w:r>
                </w:p>
              </w:tc>
              <w:tc>
                <w:tcPr>
                  <w:tcW w:w="7185" w:type="dxa"/>
                  <w:tcBorders>
                    <w:top w:val="single" w:color="auto" w:sz="4" w:space="0"/>
                    <w:left w:val="single" w:color="auto" w:sz="4" w:space="0"/>
                    <w:bottom w:val="single" w:color="auto" w:sz="4" w:space="0"/>
                    <w:right w:val="single" w:color="auto" w:sz="4" w:space="0"/>
                  </w:tcBorders>
                  <w:vAlign w:val="center"/>
                </w:tcPr>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禁止开发建设活动的要求   暂无</w:t>
                  </w:r>
                </w:p>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限制开发建设活动的要求   暂无</w:t>
                  </w:r>
                </w:p>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不符合空间布局要求活动的退出要求   暂无</w:t>
                  </w:r>
                </w:p>
                <w:p>
                  <w:pPr>
                    <w:pStyle w:val="62"/>
                    <w:spacing w:line="240" w:lineRule="exact"/>
                    <w:ind w:firstLine="0" w:firstLineChars="0"/>
                    <w:rPr>
                      <w:sz w:val="15"/>
                      <w:szCs w:val="15"/>
                    </w:rPr>
                  </w:pPr>
                  <w:r>
                    <w:rPr>
                      <w:rStyle w:val="61"/>
                      <w:rFonts w:hint="eastAsia" w:ascii="Times New Roman" w:eastAsia="宋体"/>
                      <w:kern w:val="0"/>
                      <w:sz w:val="15"/>
                      <w:szCs w:val="15"/>
                    </w:rPr>
                    <w:t xml:space="preserve">其他空间布局约束要求    </w:t>
                  </w:r>
                  <w:r>
                    <w:rPr>
                      <w:rStyle w:val="61"/>
                      <w:rFonts w:hint="eastAsia" w:ascii="Times New Roman"/>
                      <w:kern w:val="0"/>
                      <w:sz w:val="15"/>
                      <w:szCs w:val="15"/>
                    </w:rPr>
                    <w:t>暂无</w:t>
                  </w:r>
                </w:p>
              </w:tc>
              <w:tc>
                <w:tcPr>
                  <w:tcW w:w="1701"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eastAsia="宋体"/>
                      <w:sz w:val="15"/>
                      <w:szCs w:val="15"/>
                    </w:rPr>
                  </w:pPr>
                  <w:r>
                    <w:rPr>
                      <w:rFonts w:hint="eastAsia" w:eastAsia="宋体"/>
                      <w:sz w:val="15"/>
                      <w:szCs w:val="15"/>
                    </w:rPr>
                    <w:t>/</w:t>
                  </w:r>
                </w:p>
              </w:tc>
              <w:tc>
                <w:tcPr>
                  <w:tcW w:w="662"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eastAsia="宋体"/>
                      <w:sz w:val="15"/>
                      <w:szCs w:val="15"/>
                    </w:rPr>
                  </w:pPr>
                  <w:r>
                    <w:rPr>
                      <w:rFonts w:hint="eastAsia" w:eastAsia="宋体"/>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617" w:type="dxa"/>
                  <w:vMerge w:val="continue"/>
                  <w:tcBorders>
                    <w:left w:val="single" w:color="auto" w:sz="4" w:space="0"/>
                    <w:right w:val="single" w:color="auto" w:sz="4" w:space="0"/>
                  </w:tcBorders>
                  <w:vAlign w:val="center"/>
                </w:tcPr>
                <w:p>
                  <w:pPr>
                    <w:spacing w:line="240" w:lineRule="exact"/>
                    <w:jc w:val="center"/>
                    <w:rPr>
                      <w:sz w:val="15"/>
                      <w:szCs w:val="15"/>
                    </w:rPr>
                  </w:pPr>
                </w:p>
              </w:tc>
              <w:tc>
                <w:tcPr>
                  <w:tcW w:w="709" w:type="dxa"/>
                  <w:vMerge w:val="continue"/>
                  <w:tcBorders>
                    <w:left w:val="single" w:color="auto" w:sz="4" w:space="0"/>
                    <w:right w:val="single" w:color="auto" w:sz="4" w:space="0"/>
                  </w:tcBorders>
                  <w:vAlign w:val="center"/>
                </w:tcPr>
                <w:p>
                  <w:pPr>
                    <w:widowControl/>
                    <w:spacing w:line="240" w:lineRule="exact"/>
                    <w:jc w:val="left"/>
                    <w:rPr>
                      <w:sz w:val="15"/>
                      <w:szCs w:val="15"/>
                    </w:rPr>
                  </w:pPr>
                </w:p>
              </w:tc>
              <w:tc>
                <w:tcPr>
                  <w:tcW w:w="6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污染物排放管控</w:t>
                  </w:r>
                </w:p>
              </w:tc>
              <w:tc>
                <w:tcPr>
                  <w:tcW w:w="7185" w:type="dxa"/>
                  <w:tcBorders>
                    <w:top w:val="single" w:color="auto" w:sz="4" w:space="0"/>
                    <w:left w:val="single" w:color="auto" w:sz="4" w:space="0"/>
                    <w:bottom w:val="single" w:color="auto" w:sz="4" w:space="0"/>
                    <w:right w:val="single" w:color="auto" w:sz="4" w:space="0"/>
                  </w:tcBorders>
                  <w:vAlign w:val="center"/>
                </w:tcPr>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允许排放量要求   暂无</w:t>
                  </w:r>
                </w:p>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现有源提标升级改造   暂无</w:t>
                  </w:r>
                </w:p>
                <w:p>
                  <w:pPr>
                    <w:pStyle w:val="62"/>
                    <w:spacing w:line="240" w:lineRule="exact"/>
                    <w:ind w:firstLine="0" w:firstLineChars="0"/>
                    <w:rPr>
                      <w:sz w:val="15"/>
                      <w:szCs w:val="15"/>
                    </w:rPr>
                  </w:pPr>
                  <w:r>
                    <w:rPr>
                      <w:rStyle w:val="61"/>
                      <w:rFonts w:hint="eastAsia" w:ascii="Times New Roman" w:eastAsia="宋体"/>
                      <w:kern w:val="0"/>
                      <w:sz w:val="15"/>
                      <w:szCs w:val="15"/>
                    </w:rPr>
                    <w:t xml:space="preserve">其他污染物排放管控要求   </w:t>
                  </w:r>
                  <w:r>
                    <w:rPr>
                      <w:rStyle w:val="61"/>
                      <w:rFonts w:hint="eastAsia" w:ascii="Times New Roman"/>
                      <w:kern w:val="0"/>
                      <w:sz w:val="15"/>
                      <w:szCs w:val="15"/>
                    </w:rPr>
                    <w:t>暂无</w:t>
                  </w:r>
                </w:p>
              </w:tc>
              <w:tc>
                <w:tcPr>
                  <w:tcW w:w="1701"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eastAsia="宋体"/>
                      <w:sz w:val="15"/>
                      <w:szCs w:val="15"/>
                    </w:rPr>
                  </w:pPr>
                  <w:r>
                    <w:rPr>
                      <w:rFonts w:hint="eastAsia" w:eastAsia="宋体"/>
                      <w:sz w:val="15"/>
                      <w:szCs w:val="15"/>
                    </w:rPr>
                    <w:t>/</w:t>
                  </w:r>
                </w:p>
              </w:tc>
              <w:tc>
                <w:tcPr>
                  <w:tcW w:w="662"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eastAsia="宋体"/>
                      <w:sz w:val="15"/>
                      <w:szCs w:val="15"/>
                    </w:rPr>
                  </w:pPr>
                  <w:r>
                    <w:rPr>
                      <w:rFonts w:hint="eastAsia" w:eastAsia="宋体"/>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617" w:type="dxa"/>
                  <w:vMerge w:val="continue"/>
                  <w:tcBorders>
                    <w:left w:val="single" w:color="auto" w:sz="4" w:space="0"/>
                    <w:right w:val="single" w:color="auto" w:sz="4" w:space="0"/>
                  </w:tcBorders>
                  <w:vAlign w:val="center"/>
                </w:tcPr>
                <w:p>
                  <w:pPr>
                    <w:spacing w:line="240" w:lineRule="exact"/>
                    <w:jc w:val="center"/>
                    <w:rPr>
                      <w:sz w:val="15"/>
                      <w:szCs w:val="15"/>
                    </w:rPr>
                  </w:pPr>
                </w:p>
              </w:tc>
              <w:tc>
                <w:tcPr>
                  <w:tcW w:w="709" w:type="dxa"/>
                  <w:vMerge w:val="continue"/>
                  <w:tcBorders>
                    <w:left w:val="single" w:color="auto" w:sz="4" w:space="0"/>
                    <w:right w:val="single" w:color="auto" w:sz="4" w:space="0"/>
                  </w:tcBorders>
                  <w:vAlign w:val="center"/>
                </w:tcPr>
                <w:p>
                  <w:pPr>
                    <w:widowControl/>
                    <w:spacing w:line="240" w:lineRule="exact"/>
                    <w:jc w:val="left"/>
                    <w:rPr>
                      <w:sz w:val="15"/>
                      <w:szCs w:val="15"/>
                    </w:rPr>
                  </w:pPr>
                </w:p>
              </w:tc>
              <w:tc>
                <w:tcPr>
                  <w:tcW w:w="6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环境风险防控</w:t>
                  </w:r>
                </w:p>
              </w:tc>
              <w:tc>
                <w:tcPr>
                  <w:tcW w:w="7185" w:type="dxa"/>
                  <w:tcBorders>
                    <w:top w:val="single" w:color="auto" w:sz="4" w:space="0"/>
                    <w:left w:val="single" w:color="auto" w:sz="4" w:space="0"/>
                    <w:bottom w:val="single" w:color="auto" w:sz="4" w:space="0"/>
                    <w:right w:val="single" w:color="auto" w:sz="4" w:space="0"/>
                  </w:tcBorders>
                  <w:vAlign w:val="center"/>
                </w:tcPr>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联防联控要求   暂无</w:t>
                  </w:r>
                </w:p>
                <w:p>
                  <w:pPr>
                    <w:pStyle w:val="62"/>
                    <w:spacing w:line="240" w:lineRule="exact"/>
                    <w:ind w:firstLine="0" w:firstLineChars="0"/>
                    <w:rPr>
                      <w:sz w:val="15"/>
                      <w:szCs w:val="15"/>
                    </w:rPr>
                  </w:pPr>
                  <w:r>
                    <w:rPr>
                      <w:rStyle w:val="61"/>
                      <w:rFonts w:hint="eastAsia" w:ascii="Times New Roman" w:eastAsia="宋体"/>
                      <w:kern w:val="0"/>
                      <w:sz w:val="15"/>
                      <w:szCs w:val="15"/>
                    </w:rPr>
                    <w:t xml:space="preserve">其他环境风险防控要求   </w:t>
                  </w:r>
                  <w:r>
                    <w:rPr>
                      <w:rStyle w:val="61"/>
                      <w:rFonts w:hint="eastAsia" w:ascii="Times New Roman"/>
                      <w:kern w:val="0"/>
                      <w:sz w:val="15"/>
                      <w:szCs w:val="15"/>
                    </w:rPr>
                    <w:t>暂无</w:t>
                  </w:r>
                </w:p>
              </w:tc>
              <w:tc>
                <w:tcPr>
                  <w:tcW w:w="1701"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eastAsia="宋体"/>
                      <w:sz w:val="15"/>
                      <w:szCs w:val="15"/>
                    </w:rPr>
                  </w:pPr>
                  <w:r>
                    <w:rPr>
                      <w:rFonts w:hint="eastAsia" w:eastAsia="宋体"/>
                      <w:sz w:val="15"/>
                      <w:szCs w:val="15"/>
                    </w:rPr>
                    <w:t>/</w:t>
                  </w:r>
                </w:p>
              </w:tc>
              <w:tc>
                <w:tcPr>
                  <w:tcW w:w="662"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eastAsia="宋体"/>
                      <w:sz w:val="15"/>
                      <w:szCs w:val="15"/>
                    </w:rPr>
                  </w:pPr>
                  <w:r>
                    <w:rPr>
                      <w:rFonts w:hint="eastAsia" w:eastAsia="宋体"/>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617" w:type="dxa"/>
                  <w:vMerge w:val="continue"/>
                  <w:tcBorders>
                    <w:left w:val="single" w:color="auto" w:sz="4" w:space="0"/>
                    <w:right w:val="single" w:color="auto" w:sz="4" w:space="0"/>
                  </w:tcBorders>
                  <w:vAlign w:val="center"/>
                </w:tcPr>
                <w:p>
                  <w:pPr>
                    <w:spacing w:line="240" w:lineRule="exact"/>
                    <w:jc w:val="center"/>
                    <w:rPr>
                      <w:sz w:val="15"/>
                      <w:szCs w:val="15"/>
                    </w:rPr>
                  </w:pPr>
                </w:p>
              </w:tc>
              <w:tc>
                <w:tcPr>
                  <w:tcW w:w="709" w:type="dxa"/>
                  <w:vMerge w:val="continue"/>
                  <w:tcBorders>
                    <w:left w:val="single" w:color="auto" w:sz="4" w:space="0"/>
                    <w:bottom w:val="single" w:color="auto" w:sz="4" w:space="0"/>
                    <w:right w:val="single" w:color="auto" w:sz="4" w:space="0"/>
                  </w:tcBorders>
                  <w:vAlign w:val="center"/>
                </w:tcPr>
                <w:p>
                  <w:pPr>
                    <w:widowControl/>
                    <w:spacing w:line="240" w:lineRule="exact"/>
                    <w:jc w:val="left"/>
                    <w:rPr>
                      <w:sz w:val="15"/>
                      <w:szCs w:val="15"/>
                    </w:rPr>
                  </w:pPr>
                </w:p>
              </w:tc>
              <w:tc>
                <w:tcPr>
                  <w:tcW w:w="6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资源开发效率要求</w:t>
                  </w:r>
                </w:p>
              </w:tc>
              <w:tc>
                <w:tcPr>
                  <w:tcW w:w="7185" w:type="dxa"/>
                  <w:tcBorders>
                    <w:top w:val="single" w:color="auto" w:sz="4" w:space="0"/>
                    <w:left w:val="single" w:color="auto" w:sz="4" w:space="0"/>
                    <w:bottom w:val="single" w:color="auto" w:sz="4" w:space="0"/>
                    <w:right w:val="single" w:color="auto" w:sz="4" w:space="0"/>
                  </w:tcBorders>
                  <w:vAlign w:val="center"/>
                </w:tcPr>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水资源利用总量要求   暂无</w:t>
                  </w:r>
                </w:p>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地下水开采要求       暂无</w:t>
                  </w:r>
                </w:p>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能源利用总量及效率要求 暂无</w:t>
                  </w:r>
                </w:p>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禁燃区要求   暂无</w:t>
                  </w:r>
                </w:p>
                <w:p>
                  <w:pPr>
                    <w:pStyle w:val="62"/>
                    <w:spacing w:line="240" w:lineRule="exact"/>
                    <w:ind w:firstLine="0" w:firstLineChars="0"/>
                    <w:rPr>
                      <w:sz w:val="15"/>
                      <w:szCs w:val="15"/>
                    </w:rPr>
                  </w:pPr>
                  <w:r>
                    <w:rPr>
                      <w:rStyle w:val="61"/>
                      <w:rFonts w:hint="eastAsia" w:ascii="Times New Roman" w:eastAsia="宋体"/>
                      <w:kern w:val="0"/>
                      <w:sz w:val="15"/>
                      <w:szCs w:val="15"/>
                    </w:rPr>
                    <w:t>其他资源利用效率要求   暂无</w:t>
                  </w:r>
                </w:p>
              </w:tc>
              <w:tc>
                <w:tcPr>
                  <w:tcW w:w="1701"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eastAsia="宋体"/>
                      <w:sz w:val="15"/>
                      <w:szCs w:val="15"/>
                    </w:rPr>
                  </w:pPr>
                  <w:r>
                    <w:rPr>
                      <w:rFonts w:hint="eastAsia" w:eastAsia="宋体"/>
                      <w:sz w:val="15"/>
                      <w:szCs w:val="15"/>
                    </w:rPr>
                    <w:t>/</w:t>
                  </w:r>
                </w:p>
              </w:tc>
              <w:tc>
                <w:tcPr>
                  <w:tcW w:w="662"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eastAsia="宋体"/>
                      <w:sz w:val="15"/>
                      <w:szCs w:val="15"/>
                    </w:rPr>
                  </w:pPr>
                  <w:r>
                    <w:rPr>
                      <w:rFonts w:hint="eastAsia" w:eastAsia="宋体"/>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7" w:hRule="atLeast"/>
                <w:jc w:val="center"/>
              </w:trPr>
              <w:tc>
                <w:tcPr>
                  <w:tcW w:w="617" w:type="dxa"/>
                  <w:vMerge w:val="continue"/>
                  <w:tcBorders>
                    <w:left w:val="single" w:color="auto" w:sz="4" w:space="0"/>
                    <w:right w:val="single" w:color="auto" w:sz="4" w:space="0"/>
                  </w:tcBorders>
                  <w:vAlign w:val="center"/>
                </w:tcPr>
                <w:p>
                  <w:pPr>
                    <w:spacing w:line="240" w:lineRule="exact"/>
                    <w:jc w:val="center"/>
                    <w:rPr>
                      <w:bCs/>
                      <w:sz w:val="15"/>
                      <w:szCs w:val="15"/>
                    </w:rPr>
                  </w:pPr>
                </w:p>
              </w:tc>
              <w:tc>
                <w:tcPr>
                  <w:tcW w:w="709" w:type="dxa"/>
                  <w:vMerge w:val="restart"/>
                  <w:tcBorders>
                    <w:top w:val="nil"/>
                    <w:left w:val="single" w:color="auto" w:sz="4" w:space="0"/>
                    <w:bottom w:val="single" w:color="auto" w:sz="4" w:space="0"/>
                    <w:right w:val="single" w:color="auto" w:sz="4" w:space="0"/>
                  </w:tcBorders>
                  <w:vAlign w:val="center"/>
                </w:tcPr>
                <w:p>
                  <w:pPr>
                    <w:spacing w:line="240" w:lineRule="exact"/>
                    <w:jc w:val="center"/>
                    <w:rPr>
                      <w:sz w:val="15"/>
                      <w:szCs w:val="15"/>
                    </w:rPr>
                  </w:pPr>
                  <w:r>
                    <w:rPr>
                      <w:rFonts w:hint="eastAsia"/>
                      <w:bCs/>
                      <w:sz w:val="15"/>
                      <w:szCs w:val="15"/>
                    </w:rPr>
                    <w:t>单元级清单管控要求</w:t>
                  </w:r>
                </w:p>
              </w:tc>
              <w:tc>
                <w:tcPr>
                  <w:tcW w:w="6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空间布局约束</w:t>
                  </w:r>
                </w:p>
              </w:tc>
              <w:tc>
                <w:tcPr>
                  <w:tcW w:w="7185"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禁止开发建设活动的要求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限制开发建设活动的要求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允许开发建设活动的要求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不符合空间布局要求活动的退出要求</w:t>
                  </w:r>
                </w:p>
                <w:p>
                  <w:pPr>
                    <w:spacing w:line="240" w:lineRule="exact"/>
                    <w:rPr>
                      <w:sz w:val="15"/>
                      <w:szCs w:val="15"/>
                    </w:rPr>
                  </w:pPr>
                  <w:r>
                    <w:rPr>
                      <w:rStyle w:val="61"/>
                      <w:rFonts w:hint="eastAsia" w:ascii="Times New Roman"/>
                      <w:sz w:val="15"/>
                      <w:szCs w:val="15"/>
                    </w:rPr>
                    <w:t>其他空间布局约束要求</w:t>
                  </w:r>
                </w:p>
              </w:tc>
              <w:tc>
                <w:tcPr>
                  <w:tcW w:w="1701"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eastAsia="宋体"/>
                      <w:sz w:val="15"/>
                      <w:szCs w:val="15"/>
                    </w:rPr>
                  </w:pPr>
                  <w:r>
                    <w:rPr>
                      <w:rFonts w:hint="eastAsia" w:eastAsia="宋体"/>
                      <w:sz w:val="15"/>
                      <w:szCs w:val="15"/>
                    </w:rPr>
                    <w:t>/</w:t>
                  </w:r>
                </w:p>
              </w:tc>
              <w:tc>
                <w:tcPr>
                  <w:tcW w:w="662"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eastAsia="宋体"/>
                      <w:sz w:val="15"/>
                      <w:szCs w:val="15"/>
                    </w:rPr>
                  </w:pPr>
                  <w:r>
                    <w:rPr>
                      <w:rFonts w:hint="eastAsia" w:eastAsia="宋体"/>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3" w:hRule="atLeast"/>
                <w:jc w:val="center"/>
              </w:trPr>
              <w:tc>
                <w:tcPr>
                  <w:tcW w:w="617" w:type="dxa"/>
                  <w:vMerge w:val="continue"/>
                  <w:tcBorders>
                    <w:left w:val="single" w:color="auto" w:sz="4" w:space="0"/>
                    <w:right w:val="single" w:color="auto" w:sz="4" w:space="0"/>
                  </w:tcBorders>
                  <w:vAlign w:val="center"/>
                </w:tcPr>
                <w:p>
                  <w:pPr>
                    <w:widowControl/>
                    <w:spacing w:line="240" w:lineRule="exact"/>
                    <w:jc w:val="left"/>
                    <w:rPr>
                      <w:bCs/>
                      <w:sz w:val="15"/>
                      <w:szCs w:val="15"/>
                    </w:rPr>
                  </w:pP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sz w:val="15"/>
                      <w:szCs w:val="15"/>
                    </w:rPr>
                  </w:pPr>
                </w:p>
              </w:tc>
              <w:tc>
                <w:tcPr>
                  <w:tcW w:w="6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污染物排放管控</w:t>
                  </w:r>
                </w:p>
              </w:tc>
              <w:tc>
                <w:tcPr>
                  <w:tcW w:w="7185"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大气环境质量执行标准</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《环境空气质量标准》（GB3095-2012）：二级</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区域大气污染物削减/替代要求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新增大气污染物排放的建设项目实施总量削减替代。</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燃煤和其他能源大气污染控制要求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工业废气污染控制要求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机动车船大气污染控制要求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扬尘污染控制要求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农业生产经营活动大气污染控制要求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重点行业企业专项治理要求</w:t>
                  </w:r>
                </w:p>
                <w:p>
                  <w:pPr>
                    <w:spacing w:line="240" w:lineRule="exact"/>
                    <w:rPr>
                      <w:sz w:val="15"/>
                      <w:szCs w:val="15"/>
                    </w:rPr>
                  </w:pPr>
                  <w:r>
                    <w:rPr>
                      <w:rStyle w:val="61"/>
                      <w:rFonts w:hint="eastAsia" w:ascii="Times New Roman"/>
                      <w:sz w:val="15"/>
                      <w:szCs w:val="15"/>
                    </w:rPr>
                    <w:t>其他大气污染物排放管控要求</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sz w:val="15"/>
                      <w:szCs w:val="15"/>
                    </w:rPr>
                  </w:pPr>
                  <w:r>
                    <w:rPr>
                      <w:sz w:val="15"/>
                      <w:szCs w:val="15"/>
                    </w:rPr>
                    <w:t>本项目废气污染物能够实现达标排放，不涉及总量控制指标。</w:t>
                  </w:r>
                </w:p>
              </w:tc>
              <w:tc>
                <w:tcPr>
                  <w:tcW w:w="66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 w:val="15"/>
                      <w:szCs w:val="15"/>
                    </w:rPr>
                  </w:pPr>
                  <w:r>
                    <w:rPr>
                      <w:rFonts w:hint="eastAsia"/>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7" w:hRule="atLeast"/>
                <w:jc w:val="center"/>
              </w:trPr>
              <w:tc>
                <w:tcPr>
                  <w:tcW w:w="617" w:type="dxa"/>
                  <w:vMerge w:val="continue"/>
                  <w:tcBorders>
                    <w:left w:val="single" w:color="auto" w:sz="4" w:space="0"/>
                    <w:right w:val="single" w:color="auto" w:sz="4" w:space="0"/>
                  </w:tcBorders>
                  <w:vAlign w:val="center"/>
                </w:tcPr>
                <w:p>
                  <w:pPr>
                    <w:widowControl/>
                    <w:spacing w:line="240" w:lineRule="exact"/>
                    <w:jc w:val="left"/>
                    <w:rPr>
                      <w:bCs/>
                      <w:sz w:val="15"/>
                      <w:szCs w:val="15"/>
                    </w:rPr>
                  </w:pP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sz w:val="15"/>
                      <w:szCs w:val="15"/>
                    </w:rPr>
                  </w:pPr>
                </w:p>
              </w:tc>
              <w:tc>
                <w:tcPr>
                  <w:tcW w:w="6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环境风险防控</w:t>
                  </w:r>
                </w:p>
              </w:tc>
              <w:tc>
                <w:tcPr>
                  <w:tcW w:w="7185" w:type="dxa"/>
                  <w:vMerge w:val="restart"/>
                  <w:tcBorders>
                    <w:top w:val="single" w:color="auto" w:sz="4" w:space="0"/>
                    <w:left w:val="single" w:color="auto" w:sz="4" w:space="0"/>
                    <w:right w:val="single" w:color="auto" w:sz="4" w:space="0"/>
                  </w:tcBorders>
                  <w:vAlign w:val="center"/>
                </w:tcPr>
                <w:p>
                  <w:pPr>
                    <w:spacing w:line="240" w:lineRule="exact"/>
                    <w:jc w:val="center"/>
                    <w:rPr>
                      <w:sz w:val="15"/>
                      <w:szCs w:val="15"/>
                    </w:rPr>
                  </w:pPr>
                  <w:r>
                    <w:rPr>
                      <w:rFonts w:hint="eastAsia"/>
                      <w:sz w:val="15"/>
                      <w:szCs w:val="15"/>
                    </w:rPr>
                    <w:t>/</w:t>
                  </w:r>
                </w:p>
              </w:tc>
              <w:tc>
                <w:tcPr>
                  <w:tcW w:w="1701" w:type="dxa"/>
                  <w:vMerge w:val="restart"/>
                  <w:tcBorders>
                    <w:top w:val="single" w:color="auto" w:sz="4" w:space="0"/>
                    <w:left w:val="single" w:color="auto" w:sz="4" w:space="0"/>
                    <w:right w:val="single" w:color="auto" w:sz="4" w:space="0"/>
                  </w:tcBorders>
                  <w:vAlign w:val="center"/>
                </w:tcPr>
                <w:p>
                  <w:pPr>
                    <w:spacing w:line="240" w:lineRule="exact"/>
                    <w:jc w:val="center"/>
                    <w:rPr>
                      <w:sz w:val="15"/>
                      <w:szCs w:val="15"/>
                    </w:rPr>
                  </w:pPr>
                  <w:r>
                    <w:rPr>
                      <w:rFonts w:hint="eastAsia"/>
                      <w:sz w:val="15"/>
                      <w:szCs w:val="15"/>
                    </w:rPr>
                    <w:t>/</w:t>
                  </w:r>
                </w:p>
              </w:tc>
              <w:tc>
                <w:tcPr>
                  <w:tcW w:w="662" w:type="dxa"/>
                  <w:vMerge w:val="restart"/>
                  <w:tcBorders>
                    <w:top w:val="single" w:color="auto" w:sz="4" w:space="0"/>
                    <w:left w:val="single" w:color="auto" w:sz="4" w:space="0"/>
                    <w:right w:val="single" w:color="auto" w:sz="4" w:space="0"/>
                  </w:tcBorders>
                  <w:vAlign w:val="center"/>
                </w:tcPr>
                <w:p>
                  <w:pPr>
                    <w:spacing w:line="240" w:lineRule="exact"/>
                    <w:jc w:val="center"/>
                    <w:rPr>
                      <w:sz w:val="15"/>
                      <w:szCs w:val="15"/>
                    </w:rPr>
                  </w:pPr>
                  <w:r>
                    <w:rPr>
                      <w:rFonts w:hint="eastAsia"/>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 w:hRule="atLeast"/>
                <w:jc w:val="center"/>
              </w:trPr>
              <w:tc>
                <w:tcPr>
                  <w:tcW w:w="617" w:type="dxa"/>
                  <w:vMerge w:val="continue"/>
                  <w:tcBorders>
                    <w:left w:val="single" w:color="auto" w:sz="4" w:space="0"/>
                    <w:bottom w:val="single" w:color="auto" w:sz="4" w:space="0"/>
                    <w:right w:val="single" w:color="auto" w:sz="4" w:space="0"/>
                  </w:tcBorders>
                  <w:vAlign w:val="center"/>
                </w:tcPr>
                <w:p>
                  <w:pPr>
                    <w:widowControl/>
                    <w:spacing w:line="240" w:lineRule="exact"/>
                    <w:jc w:val="left"/>
                    <w:rPr>
                      <w:bCs/>
                      <w:sz w:val="15"/>
                      <w:szCs w:val="15"/>
                    </w:rPr>
                  </w:pP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sz w:val="15"/>
                      <w:szCs w:val="15"/>
                    </w:rPr>
                  </w:pPr>
                </w:p>
              </w:tc>
              <w:tc>
                <w:tcPr>
                  <w:tcW w:w="6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资源开发效率要求</w:t>
                  </w:r>
                </w:p>
              </w:tc>
              <w:tc>
                <w:tcPr>
                  <w:tcW w:w="7185" w:type="dxa"/>
                  <w:vMerge w:val="continue"/>
                  <w:tcBorders>
                    <w:left w:val="single" w:color="auto" w:sz="4" w:space="0"/>
                    <w:bottom w:val="single" w:color="auto" w:sz="4" w:space="0"/>
                    <w:right w:val="single" w:color="auto" w:sz="4" w:space="0"/>
                  </w:tcBorders>
                  <w:vAlign w:val="center"/>
                </w:tcPr>
                <w:p>
                  <w:pPr>
                    <w:spacing w:line="240" w:lineRule="exact"/>
                    <w:jc w:val="center"/>
                    <w:rPr>
                      <w:sz w:val="15"/>
                      <w:szCs w:val="15"/>
                    </w:rPr>
                  </w:pPr>
                </w:p>
              </w:tc>
              <w:tc>
                <w:tcPr>
                  <w:tcW w:w="1701" w:type="dxa"/>
                  <w:vMerge w:val="continue"/>
                  <w:tcBorders>
                    <w:left w:val="single" w:color="auto" w:sz="4" w:space="0"/>
                    <w:bottom w:val="single" w:color="auto" w:sz="4" w:space="0"/>
                    <w:right w:val="single" w:color="auto" w:sz="4" w:space="0"/>
                  </w:tcBorders>
                  <w:vAlign w:val="center"/>
                </w:tcPr>
                <w:p>
                  <w:pPr>
                    <w:spacing w:line="240" w:lineRule="exact"/>
                    <w:jc w:val="center"/>
                    <w:rPr>
                      <w:sz w:val="15"/>
                      <w:szCs w:val="15"/>
                    </w:rPr>
                  </w:pPr>
                </w:p>
              </w:tc>
              <w:tc>
                <w:tcPr>
                  <w:tcW w:w="662" w:type="dxa"/>
                  <w:vMerge w:val="continue"/>
                  <w:tcBorders>
                    <w:left w:val="single" w:color="auto" w:sz="4" w:space="0"/>
                    <w:bottom w:val="single" w:color="auto" w:sz="4" w:space="0"/>
                    <w:right w:val="single" w:color="auto" w:sz="4" w:space="0"/>
                  </w:tcBorders>
                  <w:vAlign w:val="center"/>
                </w:tcPr>
                <w:p>
                  <w:pPr>
                    <w:spacing w:line="240" w:lineRule="exact"/>
                    <w:jc w:val="center"/>
                    <w:rPr>
                      <w:sz w:val="15"/>
                      <w:szCs w:val="15"/>
                    </w:rPr>
                  </w:pPr>
                </w:p>
              </w:tc>
            </w:tr>
          </w:tbl>
          <w:p>
            <w:pPr>
              <w:widowControl/>
              <w:spacing w:line="400" w:lineRule="exact"/>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本项目建设符合“三线一单”管控机制要求，项目建设可行。</w:t>
            </w:r>
          </w:p>
          <w:p>
            <w:pPr>
              <w:pStyle w:val="15"/>
            </w:pPr>
          </w:p>
          <w:p>
            <w:pPr>
              <w:pStyle w:val="15"/>
            </w:pPr>
          </w:p>
          <w:p>
            <w:pPr>
              <w:pStyle w:val="15"/>
            </w:pPr>
          </w:p>
          <w:p>
            <w:pPr>
              <w:pStyle w:val="15"/>
            </w:pPr>
          </w:p>
          <w:p>
            <w:pPr>
              <w:pStyle w:val="15"/>
            </w:pPr>
          </w:p>
          <w:p>
            <w:pPr>
              <w:pStyle w:val="15"/>
            </w:pPr>
          </w:p>
          <w:p>
            <w:pPr>
              <w:pStyle w:val="15"/>
            </w:pPr>
          </w:p>
        </w:tc>
      </w:tr>
    </w:tbl>
    <w:p>
      <w:pPr>
        <w:widowControl/>
        <w:spacing w:line="360" w:lineRule="auto"/>
        <w:jc w:val="left"/>
        <w:rPr>
          <w:rFonts w:eastAsia="黑体"/>
          <w:sz w:val="30"/>
        </w:rPr>
        <w:sectPr>
          <w:pgSz w:w="16838" w:h="11906" w:orient="landscape"/>
          <w:pgMar w:top="1531" w:right="1701" w:bottom="1531" w:left="1701" w:header="851" w:footer="1077" w:gutter="0"/>
          <w:pgNumType w:fmt="numberInDash"/>
          <w:cols w:space="720" w:num="1"/>
          <w:docGrid w:linePitch="286" w:charSpace="0"/>
        </w:sectPr>
      </w:pP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6"/>
        <w:gridCol w:w="6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6" w:type="dxa"/>
          </w:tcPr>
          <w:p>
            <w:pPr>
              <w:widowControl/>
              <w:spacing w:line="360" w:lineRule="auto"/>
              <w:jc w:val="left"/>
              <w:rPr>
                <w:rFonts w:eastAsia="黑体"/>
                <w:sz w:val="30"/>
              </w:rPr>
            </w:pPr>
          </w:p>
        </w:tc>
        <w:tc>
          <w:tcPr>
            <w:tcW w:w="6901" w:type="dxa"/>
          </w:tcPr>
          <w:p>
            <w:pPr>
              <w:widowControl/>
              <w:spacing w:line="400" w:lineRule="exact"/>
              <w:jc w:val="left"/>
              <w:rPr>
                <w:rFonts w:eastAsia="黑体"/>
                <w:kern w:val="0"/>
              </w:rPr>
            </w:pPr>
            <w:r>
              <w:rPr>
                <w:rFonts w:hint="eastAsia" w:eastAsia="黑体"/>
                <w:szCs w:val="21"/>
              </w:rPr>
              <w:t>4、</w:t>
            </w:r>
            <w:r>
              <w:rPr>
                <w:rFonts w:hint="eastAsia" w:eastAsia="黑体"/>
                <w:kern w:val="0"/>
              </w:rPr>
              <w:t>大气污染防治相关法律法规符合性分析</w:t>
            </w:r>
          </w:p>
          <w:p>
            <w:pPr>
              <w:numPr>
                <w:ilvl w:val="0"/>
                <w:numId w:val="2"/>
              </w:numPr>
              <w:autoSpaceDE w:val="0"/>
              <w:autoSpaceDN w:val="0"/>
              <w:adjustRightInd w:val="0"/>
              <w:snapToGrid w:val="0"/>
              <w:spacing w:line="400" w:lineRule="exact"/>
              <w:ind w:left="53" w:leftChars="25" w:right="53" w:rightChars="25" w:firstLine="422" w:firstLineChars="200"/>
              <w:jc w:val="left"/>
              <w:rPr>
                <w:b/>
                <w:bCs/>
                <w:kern w:val="0"/>
              </w:rPr>
            </w:pPr>
            <w:r>
              <w:rPr>
                <w:rFonts w:ascii="宋体" w:hAnsi="宋体"/>
                <w:b/>
                <w:bCs/>
                <w:kern w:val="0"/>
              </w:rPr>
              <w:t>与</w:t>
            </w:r>
            <w:r>
              <w:rPr>
                <w:rFonts w:hint="eastAsia" w:ascii="宋体" w:hAnsi="宋体"/>
                <w:b/>
                <w:bCs/>
                <w:kern w:val="0"/>
              </w:rPr>
              <w:t>《中华人民共和国大气污染防治法》</w:t>
            </w:r>
            <w:r>
              <w:rPr>
                <w:rFonts w:ascii="宋体" w:hAnsi="宋体"/>
                <w:b/>
                <w:bCs/>
                <w:kern w:val="0"/>
              </w:rPr>
              <w:t>的符合性</w:t>
            </w:r>
          </w:p>
          <w:p>
            <w:pPr>
              <w:autoSpaceDE w:val="0"/>
              <w:autoSpaceDN w:val="0"/>
              <w:adjustRightInd w:val="0"/>
              <w:snapToGrid w:val="0"/>
              <w:spacing w:line="360" w:lineRule="exact"/>
              <w:jc w:val="center"/>
              <w:rPr>
                <w:rFonts w:eastAsia="黑体"/>
                <w:kern w:val="0"/>
                <w:sz w:val="18"/>
                <w:szCs w:val="20"/>
              </w:rPr>
            </w:pPr>
            <w:r>
              <w:rPr>
                <w:rFonts w:hint="eastAsia" w:ascii="黑体" w:hAnsi="黑体" w:eastAsia="黑体"/>
                <w:kern w:val="0"/>
                <w:sz w:val="18"/>
                <w:szCs w:val="20"/>
              </w:rPr>
              <w:t xml:space="preserve">表1-5   </w:t>
            </w:r>
            <w:r>
              <w:rPr>
                <w:rFonts w:ascii="黑体" w:hAnsi="黑体" w:eastAsia="黑体"/>
                <w:kern w:val="0"/>
                <w:sz w:val="18"/>
                <w:szCs w:val="20"/>
              </w:rPr>
              <w:t>项目与</w:t>
            </w:r>
            <w:r>
              <w:rPr>
                <w:rFonts w:eastAsia="黑体"/>
                <w:kern w:val="0"/>
                <w:sz w:val="18"/>
                <w:szCs w:val="20"/>
              </w:rPr>
              <w:t>“</w:t>
            </w:r>
            <w:r>
              <w:rPr>
                <w:rFonts w:ascii="黑体" w:hAnsi="黑体" w:eastAsia="黑体"/>
                <w:kern w:val="0"/>
                <w:sz w:val="18"/>
                <w:szCs w:val="20"/>
              </w:rPr>
              <w:t>大气污染防治法</w:t>
            </w:r>
            <w:r>
              <w:rPr>
                <w:rFonts w:eastAsia="黑体"/>
                <w:kern w:val="0"/>
                <w:sz w:val="18"/>
                <w:szCs w:val="20"/>
              </w:rPr>
              <w:t>”</w:t>
            </w:r>
            <w:r>
              <w:rPr>
                <w:rFonts w:ascii="黑体" w:hAnsi="黑体" w:eastAsia="黑体"/>
                <w:kern w:val="0"/>
                <w:sz w:val="18"/>
                <w:szCs w:val="20"/>
              </w:rPr>
              <w:t>的符合性分析</w:t>
            </w:r>
          </w:p>
          <w:tbl>
            <w:tblPr>
              <w:tblStyle w:val="21"/>
              <w:tblW w:w="67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
            <w:tblGrid>
              <w:gridCol w:w="447"/>
              <w:gridCol w:w="4074"/>
              <w:gridCol w:w="1687"/>
              <w:gridCol w:w="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3" w:hRule="atLeast"/>
                <w:jc w:val="center"/>
              </w:trPr>
              <w:tc>
                <w:tcPr>
                  <w:tcW w:w="447" w:type="dxa"/>
                  <w:tcBorders>
                    <w:top w:val="single" w:color="auto" w:sz="4" w:space="0"/>
                    <w:left w:val="single" w:color="auto" w:sz="4" w:space="0"/>
                    <w:bottom w:val="single" w:color="000000" w:sz="4" w:space="0"/>
                    <w:right w:val="single" w:color="auto" w:sz="4" w:space="0"/>
                  </w:tcBorders>
                  <w:vAlign w:val="center"/>
                </w:tcPr>
                <w:p>
                  <w:pPr>
                    <w:autoSpaceDE w:val="0"/>
                    <w:adjustRightInd w:val="0"/>
                    <w:snapToGrid w:val="0"/>
                    <w:spacing w:line="280" w:lineRule="exact"/>
                    <w:jc w:val="center"/>
                    <w:rPr>
                      <w:b/>
                      <w:bCs/>
                      <w:sz w:val="16"/>
                      <w:szCs w:val="18"/>
                    </w:rPr>
                  </w:pPr>
                  <w:r>
                    <w:rPr>
                      <w:rFonts w:ascii="宋体" w:hAnsi="宋体"/>
                      <w:b/>
                      <w:bCs/>
                      <w:sz w:val="16"/>
                      <w:szCs w:val="18"/>
                    </w:rPr>
                    <w:t>序号</w:t>
                  </w:r>
                </w:p>
              </w:tc>
              <w:tc>
                <w:tcPr>
                  <w:tcW w:w="4074" w:type="dxa"/>
                  <w:tcBorders>
                    <w:top w:val="single" w:color="auto" w:sz="4" w:space="0"/>
                    <w:left w:val="single" w:color="auto" w:sz="4" w:space="0"/>
                    <w:bottom w:val="single" w:color="000000" w:sz="4" w:space="0"/>
                    <w:right w:val="single" w:color="auto" w:sz="4" w:space="0"/>
                  </w:tcBorders>
                  <w:vAlign w:val="center"/>
                </w:tcPr>
                <w:p>
                  <w:pPr>
                    <w:autoSpaceDE w:val="0"/>
                    <w:adjustRightInd w:val="0"/>
                    <w:snapToGrid w:val="0"/>
                    <w:spacing w:line="280" w:lineRule="exact"/>
                    <w:jc w:val="center"/>
                    <w:rPr>
                      <w:b/>
                      <w:bCs/>
                      <w:sz w:val="16"/>
                      <w:szCs w:val="18"/>
                    </w:rPr>
                  </w:pPr>
                  <w:r>
                    <w:rPr>
                      <w:rFonts w:ascii="宋体" w:hAnsi="宋体"/>
                      <w:b/>
                      <w:bCs/>
                      <w:sz w:val="16"/>
                      <w:szCs w:val="18"/>
                    </w:rPr>
                    <w:t>原文内容</w:t>
                  </w:r>
                </w:p>
              </w:tc>
              <w:tc>
                <w:tcPr>
                  <w:tcW w:w="1687" w:type="dxa"/>
                  <w:tcBorders>
                    <w:top w:val="single" w:color="auto" w:sz="4" w:space="0"/>
                    <w:left w:val="single" w:color="auto" w:sz="4" w:space="0"/>
                    <w:bottom w:val="single" w:color="000000" w:sz="4" w:space="0"/>
                    <w:right w:val="single" w:color="auto" w:sz="4" w:space="0"/>
                  </w:tcBorders>
                  <w:vAlign w:val="center"/>
                </w:tcPr>
                <w:p>
                  <w:pPr>
                    <w:autoSpaceDE w:val="0"/>
                    <w:adjustRightInd w:val="0"/>
                    <w:snapToGrid w:val="0"/>
                    <w:spacing w:line="280" w:lineRule="exact"/>
                    <w:jc w:val="center"/>
                    <w:rPr>
                      <w:b/>
                      <w:bCs/>
                      <w:sz w:val="16"/>
                      <w:szCs w:val="18"/>
                    </w:rPr>
                  </w:pPr>
                  <w:r>
                    <w:rPr>
                      <w:rFonts w:ascii="宋体" w:hAnsi="宋体"/>
                      <w:b/>
                      <w:bCs/>
                      <w:sz w:val="16"/>
                      <w:szCs w:val="18"/>
                    </w:rPr>
                    <w:t>本项目情况</w:t>
                  </w:r>
                </w:p>
              </w:tc>
              <w:tc>
                <w:tcPr>
                  <w:tcW w:w="556" w:type="dxa"/>
                  <w:tcBorders>
                    <w:top w:val="single" w:color="auto" w:sz="4" w:space="0"/>
                    <w:left w:val="single" w:color="auto" w:sz="4" w:space="0"/>
                    <w:bottom w:val="single" w:color="000000" w:sz="4" w:space="0"/>
                    <w:right w:val="single" w:color="auto" w:sz="4" w:space="0"/>
                  </w:tcBorders>
                  <w:vAlign w:val="center"/>
                </w:tcPr>
                <w:p>
                  <w:pPr>
                    <w:autoSpaceDE w:val="0"/>
                    <w:adjustRightInd w:val="0"/>
                    <w:snapToGrid w:val="0"/>
                    <w:spacing w:line="280" w:lineRule="exact"/>
                    <w:jc w:val="center"/>
                    <w:rPr>
                      <w:b/>
                      <w:bCs/>
                      <w:sz w:val="16"/>
                      <w:szCs w:val="18"/>
                    </w:rPr>
                  </w:pPr>
                  <w:r>
                    <w:rPr>
                      <w:rFonts w:ascii="宋体" w:hAnsi="宋体"/>
                      <w:b/>
                      <w:bCs/>
                      <w:sz w:val="16"/>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657" w:hRule="atLeast"/>
                <w:jc w:val="center"/>
              </w:trPr>
              <w:tc>
                <w:tcPr>
                  <w:tcW w:w="447" w:type="dxa"/>
                  <w:tcBorders>
                    <w:top w:val="single" w:color="000000" w:sz="4" w:space="0"/>
                    <w:left w:val="single" w:color="auto" w:sz="4" w:space="0"/>
                    <w:bottom w:val="single" w:color="000000" w:sz="4" w:space="0"/>
                    <w:right w:val="single" w:color="auto" w:sz="4" w:space="0"/>
                  </w:tcBorders>
                  <w:vAlign w:val="center"/>
                </w:tcPr>
                <w:p>
                  <w:pPr>
                    <w:numPr>
                      <w:ilvl w:val="0"/>
                      <w:numId w:val="3"/>
                    </w:numPr>
                    <w:autoSpaceDE w:val="0"/>
                    <w:adjustRightInd w:val="0"/>
                    <w:snapToGrid w:val="0"/>
                    <w:spacing w:line="280" w:lineRule="exact"/>
                    <w:ind w:left="0" w:firstLine="0"/>
                    <w:jc w:val="center"/>
                    <w:rPr>
                      <w:sz w:val="16"/>
                      <w:szCs w:val="18"/>
                    </w:rPr>
                  </w:pPr>
                </w:p>
              </w:tc>
              <w:tc>
                <w:tcPr>
                  <w:tcW w:w="4074" w:type="dxa"/>
                  <w:tcBorders>
                    <w:top w:val="single" w:color="000000" w:sz="4" w:space="0"/>
                    <w:left w:val="single" w:color="auto" w:sz="4" w:space="0"/>
                    <w:bottom w:val="single" w:color="000000" w:sz="4" w:space="0"/>
                    <w:right w:val="single" w:color="auto" w:sz="4" w:space="0"/>
                  </w:tcBorders>
                  <w:vAlign w:val="center"/>
                </w:tcPr>
                <w:p>
                  <w:pPr>
                    <w:autoSpaceDE w:val="0"/>
                    <w:adjustRightInd w:val="0"/>
                    <w:snapToGrid w:val="0"/>
                    <w:spacing w:line="280" w:lineRule="exact"/>
                    <w:jc w:val="left"/>
                    <w:rPr>
                      <w:bCs/>
                      <w:sz w:val="16"/>
                      <w:szCs w:val="18"/>
                    </w:rPr>
                  </w:pPr>
                  <w:r>
                    <w:rPr>
                      <w:rFonts w:ascii="宋体" w:hAnsi="宋体"/>
                      <w:bCs/>
                      <w:sz w:val="16"/>
                      <w:szCs w:val="18"/>
                    </w:rPr>
                    <w:t>第十八条　企业事业单位和其他生产经营者建设对大气环境有影响的项目，应当依法进行环境影响评价、公开环境影响评价文件；向大气排放污染物的，应当符合大气污染物排放标准，遵守重点大气污染物排放总量控制要求。</w:t>
                  </w:r>
                </w:p>
              </w:tc>
              <w:tc>
                <w:tcPr>
                  <w:tcW w:w="1687" w:type="dxa"/>
                  <w:tcBorders>
                    <w:top w:val="single" w:color="000000" w:sz="4" w:space="0"/>
                    <w:left w:val="single" w:color="auto" w:sz="4" w:space="0"/>
                    <w:bottom w:val="single" w:color="000000" w:sz="4" w:space="0"/>
                    <w:right w:val="single" w:color="auto" w:sz="4" w:space="0"/>
                  </w:tcBorders>
                  <w:vAlign w:val="center"/>
                </w:tcPr>
                <w:p>
                  <w:pPr>
                    <w:autoSpaceDE w:val="0"/>
                    <w:adjustRightInd w:val="0"/>
                    <w:snapToGrid w:val="0"/>
                    <w:spacing w:line="280" w:lineRule="exact"/>
                    <w:jc w:val="left"/>
                    <w:rPr>
                      <w:bCs/>
                      <w:sz w:val="16"/>
                      <w:szCs w:val="18"/>
                    </w:rPr>
                  </w:pPr>
                  <w:r>
                    <w:rPr>
                      <w:rFonts w:ascii="宋体" w:hAnsi="宋体"/>
                      <w:bCs/>
                      <w:sz w:val="16"/>
                      <w:szCs w:val="18"/>
                    </w:rPr>
                    <w:t>项目按要求开展环境影响评价；严格执行大气污染物排放标准，遵守重点大气污染物排放总量控制要求。</w:t>
                  </w:r>
                </w:p>
              </w:tc>
              <w:tc>
                <w:tcPr>
                  <w:tcW w:w="556" w:type="dxa"/>
                  <w:tcBorders>
                    <w:top w:val="single" w:color="000000" w:sz="4" w:space="0"/>
                    <w:left w:val="single" w:color="auto" w:sz="4" w:space="0"/>
                    <w:bottom w:val="single" w:color="000000" w:sz="4" w:space="0"/>
                    <w:right w:val="single" w:color="auto" w:sz="4" w:space="0"/>
                  </w:tcBorders>
                  <w:vAlign w:val="center"/>
                </w:tcPr>
                <w:p>
                  <w:pPr>
                    <w:autoSpaceDE w:val="0"/>
                    <w:adjustRightInd w:val="0"/>
                    <w:snapToGrid w:val="0"/>
                    <w:spacing w:line="280" w:lineRule="exact"/>
                    <w:jc w:val="center"/>
                    <w:rPr>
                      <w:bCs/>
                      <w:sz w:val="16"/>
                      <w:szCs w:val="18"/>
                    </w:rPr>
                  </w:pPr>
                  <w:r>
                    <w:rPr>
                      <w:rFonts w:ascii="宋体" w:hAnsi="宋体"/>
                      <w:bCs/>
                      <w:sz w:val="16"/>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3" w:hRule="atLeast"/>
                <w:jc w:val="center"/>
              </w:trPr>
              <w:tc>
                <w:tcPr>
                  <w:tcW w:w="447" w:type="dxa"/>
                  <w:tcBorders>
                    <w:top w:val="single" w:color="000000" w:sz="4" w:space="0"/>
                    <w:left w:val="single" w:color="auto" w:sz="4" w:space="0"/>
                    <w:bottom w:val="single" w:color="000000" w:sz="4" w:space="0"/>
                    <w:right w:val="single" w:color="auto" w:sz="4" w:space="0"/>
                  </w:tcBorders>
                  <w:vAlign w:val="center"/>
                </w:tcPr>
                <w:p>
                  <w:pPr>
                    <w:numPr>
                      <w:ilvl w:val="0"/>
                      <w:numId w:val="3"/>
                    </w:numPr>
                    <w:autoSpaceDE w:val="0"/>
                    <w:adjustRightInd w:val="0"/>
                    <w:snapToGrid w:val="0"/>
                    <w:spacing w:line="280" w:lineRule="exact"/>
                    <w:ind w:left="0" w:firstLine="0"/>
                    <w:jc w:val="center"/>
                    <w:rPr>
                      <w:sz w:val="16"/>
                      <w:szCs w:val="18"/>
                    </w:rPr>
                  </w:pPr>
                </w:p>
              </w:tc>
              <w:tc>
                <w:tcPr>
                  <w:tcW w:w="4074" w:type="dxa"/>
                  <w:tcBorders>
                    <w:top w:val="single" w:color="000000" w:sz="4" w:space="0"/>
                    <w:left w:val="single" w:color="auto" w:sz="4" w:space="0"/>
                    <w:bottom w:val="single" w:color="000000" w:sz="4" w:space="0"/>
                    <w:right w:val="single" w:color="auto" w:sz="4" w:space="0"/>
                  </w:tcBorders>
                  <w:vAlign w:val="center"/>
                </w:tcPr>
                <w:p>
                  <w:pPr>
                    <w:autoSpaceDE w:val="0"/>
                    <w:adjustRightInd w:val="0"/>
                    <w:snapToGrid w:val="0"/>
                    <w:spacing w:line="280" w:lineRule="exact"/>
                    <w:jc w:val="left"/>
                    <w:rPr>
                      <w:bCs/>
                      <w:sz w:val="16"/>
                      <w:szCs w:val="18"/>
                    </w:rPr>
                  </w:pPr>
                  <w:r>
                    <w:rPr>
                      <w:rFonts w:ascii="宋体" w:hAnsi="宋体"/>
                      <w:bCs/>
                      <w:sz w:val="16"/>
                      <w:szCs w:val="18"/>
                    </w:rPr>
                    <w:t>第四十三条　钢铁、建材、有色金属、石油、化工等企业生产过程中排放粉尘、硫化物和氮氧化物的，应当采用清洁生产工艺，配套建设除尘、脱硫、脱硝等装置，或者采取技术改造等其他控制大气污染物排放的措施。</w:t>
                  </w:r>
                </w:p>
              </w:tc>
              <w:tc>
                <w:tcPr>
                  <w:tcW w:w="1687" w:type="dxa"/>
                  <w:tcBorders>
                    <w:top w:val="single" w:color="000000" w:sz="4" w:space="0"/>
                    <w:left w:val="single" w:color="auto" w:sz="4" w:space="0"/>
                    <w:bottom w:val="single" w:color="000000" w:sz="4" w:space="0"/>
                    <w:right w:val="single" w:color="auto" w:sz="4" w:space="0"/>
                  </w:tcBorders>
                  <w:vAlign w:val="center"/>
                </w:tcPr>
                <w:p>
                  <w:pPr>
                    <w:autoSpaceDE w:val="0"/>
                    <w:adjustRightInd w:val="0"/>
                    <w:snapToGrid w:val="0"/>
                    <w:spacing w:line="280" w:lineRule="exact"/>
                    <w:jc w:val="left"/>
                    <w:rPr>
                      <w:bCs/>
                      <w:sz w:val="16"/>
                      <w:szCs w:val="18"/>
                    </w:rPr>
                  </w:pPr>
                  <w:r>
                    <w:rPr>
                      <w:rFonts w:ascii="宋体" w:hAnsi="宋体"/>
                      <w:bCs/>
                      <w:sz w:val="16"/>
                      <w:szCs w:val="18"/>
                    </w:rPr>
                    <w:t>项目拟对储煤棚整改，修建封闭式储煤棚，生产过程采取喷雾降尘、密闭生产等防尘措施</w:t>
                  </w:r>
                </w:p>
              </w:tc>
              <w:tc>
                <w:tcPr>
                  <w:tcW w:w="556" w:type="dxa"/>
                  <w:tcBorders>
                    <w:top w:val="single" w:color="000000" w:sz="4" w:space="0"/>
                    <w:left w:val="single" w:color="auto" w:sz="4" w:space="0"/>
                    <w:bottom w:val="single" w:color="000000" w:sz="4" w:space="0"/>
                    <w:right w:val="single" w:color="auto" w:sz="4" w:space="0"/>
                  </w:tcBorders>
                  <w:vAlign w:val="center"/>
                </w:tcPr>
                <w:p>
                  <w:pPr>
                    <w:autoSpaceDE w:val="0"/>
                    <w:adjustRightInd w:val="0"/>
                    <w:snapToGrid w:val="0"/>
                    <w:spacing w:line="280" w:lineRule="exact"/>
                    <w:jc w:val="center"/>
                    <w:rPr>
                      <w:bCs/>
                      <w:sz w:val="16"/>
                      <w:szCs w:val="18"/>
                    </w:rPr>
                  </w:pPr>
                  <w:r>
                    <w:rPr>
                      <w:rFonts w:ascii="宋体" w:hAnsi="宋体"/>
                      <w:bCs/>
                      <w:sz w:val="16"/>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3" w:hRule="atLeast"/>
                <w:jc w:val="center"/>
              </w:trPr>
              <w:tc>
                <w:tcPr>
                  <w:tcW w:w="447" w:type="dxa"/>
                  <w:tcBorders>
                    <w:top w:val="single" w:color="000000" w:sz="4" w:space="0"/>
                    <w:left w:val="single" w:color="auto" w:sz="4" w:space="0"/>
                    <w:bottom w:val="single" w:color="000000" w:sz="4" w:space="0"/>
                    <w:right w:val="single" w:color="auto" w:sz="4" w:space="0"/>
                  </w:tcBorders>
                  <w:vAlign w:val="center"/>
                </w:tcPr>
                <w:p>
                  <w:pPr>
                    <w:numPr>
                      <w:ilvl w:val="0"/>
                      <w:numId w:val="3"/>
                    </w:numPr>
                    <w:autoSpaceDE w:val="0"/>
                    <w:adjustRightInd w:val="0"/>
                    <w:snapToGrid w:val="0"/>
                    <w:spacing w:line="280" w:lineRule="exact"/>
                    <w:ind w:left="0" w:firstLine="0"/>
                    <w:jc w:val="center"/>
                    <w:rPr>
                      <w:sz w:val="16"/>
                      <w:szCs w:val="18"/>
                    </w:rPr>
                  </w:pPr>
                </w:p>
              </w:tc>
              <w:tc>
                <w:tcPr>
                  <w:tcW w:w="4074" w:type="dxa"/>
                  <w:tcBorders>
                    <w:top w:val="single" w:color="000000" w:sz="4" w:space="0"/>
                    <w:left w:val="single" w:color="auto" w:sz="4" w:space="0"/>
                    <w:bottom w:val="single" w:color="000000" w:sz="4" w:space="0"/>
                    <w:right w:val="single" w:color="auto" w:sz="4" w:space="0"/>
                  </w:tcBorders>
                  <w:vAlign w:val="center"/>
                </w:tcPr>
                <w:p>
                  <w:pPr>
                    <w:autoSpaceDE w:val="0"/>
                    <w:adjustRightInd w:val="0"/>
                    <w:snapToGrid w:val="0"/>
                    <w:spacing w:line="280" w:lineRule="exact"/>
                    <w:jc w:val="left"/>
                    <w:rPr>
                      <w:bCs/>
                      <w:sz w:val="16"/>
                      <w:szCs w:val="18"/>
                    </w:rPr>
                  </w:pPr>
                  <w:r>
                    <w:rPr>
                      <w:rFonts w:ascii="宋体" w:hAnsi="宋体"/>
                      <w:bCs/>
                      <w:sz w:val="16"/>
                      <w:szCs w:val="18"/>
                    </w:rPr>
                    <w:t>第四十八条　钢铁、建材、有色金属、石油、化工、制药、矿产开采等企业，应当加强精细化管理，采取集中收集处理等措施，严格控制粉尘和气态污染物的排放。</w:t>
                  </w:r>
                </w:p>
              </w:tc>
              <w:tc>
                <w:tcPr>
                  <w:tcW w:w="1687" w:type="dxa"/>
                  <w:tcBorders>
                    <w:top w:val="single" w:color="000000" w:sz="4" w:space="0"/>
                    <w:left w:val="single" w:color="auto" w:sz="4" w:space="0"/>
                    <w:bottom w:val="single" w:color="000000" w:sz="4" w:space="0"/>
                    <w:right w:val="single" w:color="auto" w:sz="4" w:space="0"/>
                  </w:tcBorders>
                  <w:vAlign w:val="center"/>
                </w:tcPr>
                <w:p>
                  <w:pPr>
                    <w:autoSpaceDE w:val="0"/>
                    <w:adjustRightInd w:val="0"/>
                    <w:snapToGrid w:val="0"/>
                    <w:spacing w:line="280" w:lineRule="exact"/>
                    <w:jc w:val="left"/>
                    <w:rPr>
                      <w:bCs/>
                      <w:sz w:val="16"/>
                      <w:szCs w:val="18"/>
                    </w:rPr>
                  </w:pPr>
                  <w:r>
                    <w:rPr>
                      <w:rFonts w:ascii="宋体" w:hAnsi="宋体"/>
                      <w:bCs/>
                      <w:sz w:val="16"/>
                      <w:szCs w:val="18"/>
                    </w:rPr>
                    <w:t>项目生产过程中将采取喷雾洒水、</w:t>
                  </w:r>
                  <w:r>
                    <w:rPr>
                      <w:rFonts w:hint="eastAsia" w:ascii="宋体" w:hAnsi="宋体"/>
                      <w:bCs/>
                      <w:sz w:val="16"/>
                      <w:szCs w:val="18"/>
                    </w:rPr>
                    <w:t>堆场</w:t>
                  </w:r>
                  <w:r>
                    <w:rPr>
                      <w:rFonts w:ascii="宋体" w:hAnsi="宋体"/>
                      <w:bCs/>
                      <w:sz w:val="16"/>
                      <w:szCs w:val="18"/>
                    </w:rPr>
                    <w:t>封闭等措施防尘。</w:t>
                  </w:r>
                </w:p>
              </w:tc>
              <w:tc>
                <w:tcPr>
                  <w:tcW w:w="556" w:type="dxa"/>
                  <w:tcBorders>
                    <w:top w:val="single" w:color="000000" w:sz="4" w:space="0"/>
                    <w:left w:val="single" w:color="auto" w:sz="4" w:space="0"/>
                    <w:bottom w:val="single" w:color="000000" w:sz="4" w:space="0"/>
                    <w:right w:val="single" w:color="auto" w:sz="4" w:space="0"/>
                  </w:tcBorders>
                  <w:vAlign w:val="center"/>
                </w:tcPr>
                <w:p>
                  <w:pPr>
                    <w:autoSpaceDE w:val="0"/>
                    <w:adjustRightInd w:val="0"/>
                    <w:snapToGrid w:val="0"/>
                    <w:spacing w:line="280" w:lineRule="exact"/>
                    <w:jc w:val="center"/>
                    <w:rPr>
                      <w:bCs/>
                      <w:sz w:val="16"/>
                      <w:szCs w:val="18"/>
                    </w:rPr>
                  </w:pPr>
                  <w:r>
                    <w:rPr>
                      <w:rFonts w:ascii="宋体" w:hAnsi="宋体"/>
                      <w:bCs/>
                      <w:sz w:val="16"/>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3" w:hRule="atLeast"/>
                <w:jc w:val="center"/>
              </w:trPr>
              <w:tc>
                <w:tcPr>
                  <w:tcW w:w="447" w:type="dxa"/>
                  <w:tcBorders>
                    <w:top w:val="single" w:color="000000" w:sz="4" w:space="0"/>
                    <w:left w:val="single" w:color="auto" w:sz="4" w:space="0"/>
                    <w:bottom w:val="single" w:color="000000" w:sz="4" w:space="0"/>
                    <w:right w:val="single" w:color="auto" w:sz="4" w:space="0"/>
                  </w:tcBorders>
                  <w:vAlign w:val="center"/>
                </w:tcPr>
                <w:p>
                  <w:pPr>
                    <w:numPr>
                      <w:ilvl w:val="0"/>
                      <w:numId w:val="3"/>
                    </w:numPr>
                    <w:autoSpaceDE w:val="0"/>
                    <w:adjustRightInd w:val="0"/>
                    <w:snapToGrid w:val="0"/>
                    <w:spacing w:line="280" w:lineRule="exact"/>
                    <w:ind w:left="0" w:firstLine="0"/>
                    <w:jc w:val="center"/>
                    <w:rPr>
                      <w:sz w:val="16"/>
                      <w:szCs w:val="18"/>
                    </w:rPr>
                  </w:pPr>
                </w:p>
              </w:tc>
              <w:tc>
                <w:tcPr>
                  <w:tcW w:w="4074" w:type="dxa"/>
                  <w:tcBorders>
                    <w:top w:val="single" w:color="000000" w:sz="4" w:space="0"/>
                    <w:left w:val="single" w:color="auto" w:sz="4" w:space="0"/>
                    <w:bottom w:val="single" w:color="000000" w:sz="4" w:space="0"/>
                    <w:right w:val="single" w:color="auto" w:sz="4" w:space="0"/>
                  </w:tcBorders>
                  <w:vAlign w:val="center"/>
                </w:tcPr>
                <w:p>
                  <w:pPr>
                    <w:autoSpaceDE w:val="0"/>
                    <w:adjustRightInd w:val="0"/>
                    <w:snapToGrid w:val="0"/>
                    <w:spacing w:line="280" w:lineRule="exact"/>
                    <w:jc w:val="left"/>
                    <w:rPr>
                      <w:bCs/>
                      <w:sz w:val="16"/>
                      <w:szCs w:val="18"/>
                    </w:rPr>
                  </w:pPr>
                  <w:r>
                    <w:rPr>
                      <w:rFonts w:ascii="宋体" w:hAnsi="宋体"/>
                      <w:bCs/>
                      <w:sz w:val="16"/>
                      <w:szCs w:val="18"/>
                    </w:rPr>
                    <w:t>第七十条　运输煤炭、垃圾、渣土、砂石、土方、灰浆等散装、流体物料的车辆应当采取密闭或者其他措施防止物料遗撒造成扬尘污染，并按照规定路线行驶。</w:t>
                  </w:r>
                </w:p>
                <w:p>
                  <w:pPr>
                    <w:autoSpaceDE w:val="0"/>
                    <w:adjustRightInd w:val="0"/>
                    <w:snapToGrid w:val="0"/>
                    <w:spacing w:line="280" w:lineRule="exact"/>
                    <w:jc w:val="left"/>
                    <w:rPr>
                      <w:bCs/>
                      <w:sz w:val="16"/>
                      <w:szCs w:val="18"/>
                    </w:rPr>
                  </w:pPr>
                  <w:r>
                    <w:rPr>
                      <w:rFonts w:ascii="宋体" w:hAnsi="宋体"/>
                      <w:bCs/>
                      <w:sz w:val="16"/>
                      <w:szCs w:val="18"/>
                    </w:rPr>
                    <w:t>装卸物料应当采取密闭或者喷淋等方式防治扬尘污染。</w:t>
                  </w:r>
                </w:p>
              </w:tc>
              <w:tc>
                <w:tcPr>
                  <w:tcW w:w="1687" w:type="dxa"/>
                  <w:tcBorders>
                    <w:top w:val="single" w:color="000000" w:sz="4" w:space="0"/>
                    <w:left w:val="single" w:color="auto" w:sz="4" w:space="0"/>
                    <w:bottom w:val="single" w:color="000000" w:sz="4" w:space="0"/>
                    <w:right w:val="single" w:color="auto" w:sz="4" w:space="0"/>
                  </w:tcBorders>
                  <w:vAlign w:val="center"/>
                </w:tcPr>
                <w:p>
                  <w:pPr>
                    <w:autoSpaceDE w:val="0"/>
                    <w:adjustRightInd w:val="0"/>
                    <w:snapToGrid w:val="0"/>
                    <w:spacing w:line="280" w:lineRule="exact"/>
                    <w:jc w:val="left"/>
                    <w:rPr>
                      <w:bCs/>
                      <w:sz w:val="16"/>
                      <w:szCs w:val="18"/>
                    </w:rPr>
                  </w:pPr>
                  <w:r>
                    <w:rPr>
                      <w:rFonts w:ascii="宋体" w:hAnsi="宋体"/>
                      <w:bCs/>
                      <w:sz w:val="16"/>
                      <w:szCs w:val="18"/>
                    </w:rPr>
                    <w:t>项目运输车辆将采取覆盖措施，装卸环节配套喷雾洒水防尘；场内配备雾炮机降尘。</w:t>
                  </w:r>
                </w:p>
              </w:tc>
              <w:tc>
                <w:tcPr>
                  <w:tcW w:w="556" w:type="dxa"/>
                  <w:tcBorders>
                    <w:top w:val="single" w:color="000000" w:sz="4" w:space="0"/>
                    <w:left w:val="single" w:color="auto" w:sz="4" w:space="0"/>
                    <w:bottom w:val="single" w:color="000000" w:sz="4" w:space="0"/>
                    <w:right w:val="single" w:color="auto" w:sz="4" w:space="0"/>
                  </w:tcBorders>
                  <w:vAlign w:val="center"/>
                </w:tcPr>
                <w:p>
                  <w:pPr>
                    <w:autoSpaceDE w:val="0"/>
                    <w:adjustRightInd w:val="0"/>
                    <w:snapToGrid w:val="0"/>
                    <w:spacing w:line="280" w:lineRule="exact"/>
                    <w:jc w:val="center"/>
                    <w:rPr>
                      <w:bCs/>
                      <w:sz w:val="16"/>
                      <w:szCs w:val="18"/>
                    </w:rPr>
                  </w:pPr>
                  <w:r>
                    <w:rPr>
                      <w:rFonts w:ascii="宋体" w:hAnsi="宋体"/>
                      <w:bCs/>
                      <w:sz w:val="16"/>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3" w:hRule="atLeast"/>
                <w:jc w:val="center"/>
              </w:trPr>
              <w:tc>
                <w:tcPr>
                  <w:tcW w:w="447" w:type="dxa"/>
                  <w:tcBorders>
                    <w:top w:val="single" w:color="000000" w:sz="4" w:space="0"/>
                    <w:left w:val="single" w:color="auto" w:sz="4" w:space="0"/>
                    <w:bottom w:val="single" w:color="000000" w:sz="4" w:space="0"/>
                    <w:right w:val="single" w:color="auto" w:sz="4" w:space="0"/>
                  </w:tcBorders>
                  <w:vAlign w:val="center"/>
                </w:tcPr>
                <w:p>
                  <w:pPr>
                    <w:numPr>
                      <w:ilvl w:val="0"/>
                      <w:numId w:val="3"/>
                    </w:numPr>
                    <w:autoSpaceDE w:val="0"/>
                    <w:adjustRightInd w:val="0"/>
                    <w:snapToGrid w:val="0"/>
                    <w:spacing w:line="280" w:lineRule="exact"/>
                    <w:ind w:left="0" w:firstLine="0"/>
                    <w:jc w:val="center"/>
                    <w:rPr>
                      <w:sz w:val="16"/>
                      <w:szCs w:val="18"/>
                    </w:rPr>
                  </w:pPr>
                </w:p>
              </w:tc>
              <w:tc>
                <w:tcPr>
                  <w:tcW w:w="4074" w:type="dxa"/>
                  <w:tcBorders>
                    <w:top w:val="single" w:color="000000" w:sz="4" w:space="0"/>
                    <w:left w:val="single" w:color="auto" w:sz="4" w:space="0"/>
                    <w:bottom w:val="single" w:color="000000" w:sz="4" w:space="0"/>
                    <w:right w:val="single" w:color="auto" w:sz="4" w:space="0"/>
                  </w:tcBorders>
                  <w:vAlign w:val="center"/>
                </w:tcPr>
                <w:p>
                  <w:pPr>
                    <w:autoSpaceDE w:val="0"/>
                    <w:adjustRightInd w:val="0"/>
                    <w:snapToGrid w:val="0"/>
                    <w:spacing w:line="280" w:lineRule="exact"/>
                    <w:jc w:val="left"/>
                    <w:rPr>
                      <w:bCs/>
                      <w:sz w:val="16"/>
                      <w:szCs w:val="18"/>
                    </w:rPr>
                  </w:pPr>
                  <w:r>
                    <w:rPr>
                      <w:rFonts w:ascii="宋体" w:hAnsi="宋体"/>
                      <w:bCs/>
                      <w:sz w:val="16"/>
                      <w:szCs w:val="18"/>
                    </w:rPr>
                    <w:t>第七十二条　贮存煤炭、煤矸石、煤渣、煤灰、水泥、石灰、石膏、砂土等易产生扬尘的物料应当密闭；不能密闭的，应当设置不低于堆放物高度的严密围挡，并采取有效覆盖措施防治扬尘污染。码头、矿山、填埋场和消纳场应当实施分区作业，并采取有效措施防治扬尘污染。</w:t>
                  </w:r>
                </w:p>
              </w:tc>
              <w:tc>
                <w:tcPr>
                  <w:tcW w:w="1687" w:type="dxa"/>
                  <w:tcBorders>
                    <w:top w:val="single" w:color="000000" w:sz="4" w:space="0"/>
                    <w:left w:val="single" w:color="auto" w:sz="4" w:space="0"/>
                    <w:bottom w:val="single" w:color="000000" w:sz="4" w:space="0"/>
                    <w:right w:val="single" w:color="auto" w:sz="4" w:space="0"/>
                  </w:tcBorders>
                  <w:vAlign w:val="center"/>
                </w:tcPr>
                <w:p>
                  <w:pPr>
                    <w:autoSpaceDE w:val="0"/>
                    <w:adjustRightInd w:val="0"/>
                    <w:snapToGrid w:val="0"/>
                    <w:spacing w:line="280" w:lineRule="exact"/>
                    <w:jc w:val="left"/>
                    <w:rPr>
                      <w:bCs/>
                      <w:sz w:val="16"/>
                      <w:szCs w:val="18"/>
                    </w:rPr>
                  </w:pPr>
                  <w:r>
                    <w:rPr>
                      <w:rFonts w:ascii="宋体" w:hAnsi="宋体"/>
                      <w:bCs/>
                      <w:sz w:val="16"/>
                      <w:szCs w:val="18"/>
                    </w:rPr>
                    <w:t>项目堆场将采取封闭措施，并安装喷雾洒水装置防尘。</w:t>
                  </w:r>
                </w:p>
              </w:tc>
              <w:tc>
                <w:tcPr>
                  <w:tcW w:w="556" w:type="dxa"/>
                  <w:tcBorders>
                    <w:top w:val="single" w:color="000000" w:sz="4" w:space="0"/>
                    <w:left w:val="single" w:color="auto" w:sz="4" w:space="0"/>
                    <w:bottom w:val="single" w:color="000000" w:sz="4" w:space="0"/>
                    <w:right w:val="single" w:color="auto" w:sz="4" w:space="0"/>
                  </w:tcBorders>
                  <w:vAlign w:val="center"/>
                </w:tcPr>
                <w:p>
                  <w:pPr>
                    <w:autoSpaceDE w:val="0"/>
                    <w:adjustRightInd w:val="0"/>
                    <w:snapToGrid w:val="0"/>
                    <w:spacing w:line="280" w:lineRule="exact"/>
                    <w:jc w:val="center"/>
                    <w:rPr>
                      <w:bCs/>
                      <w:sz w:val="16"/>
                      <w:szCs w:val="18"/>
                    </w:rPr>
                  </w:pPr>
                  <w:r>
                    <w:rPr>
                      <w:rFonts w:ascii="宋体" w:hAnsi="宋体"/>
                      <w:bCs/>
                      <w:sz w:val="16"/>
                      <w:szCs w:val="18"/>
                    </w:rPr>
                    <w:t>符合</w:t>
                  </w:r>
                </w:p>
              </w:tc>
            </w:tr>
          </w:tbl>
          <w:p>
            <w:pPr>
              <w:numPr>
                <w:ilvl w:val="0"/>
                <w:numId w:val="2"/>
              </w:numPr>
              <w:autoSpaceDE w:val="0"/>
              <w:autoSpaceDN w:val="0"/>
              <w:adjustRightInd w:val="0"/>
              <w:snapToGrid w:val="0"/>
              <w:spacing w:line="400" w:lineRule="exact"/>
              <w:ind w:left="53" w:leftChars="25" w:right="53" w:rightChars="25" w:firstLine="422" w:firstLineChars="200"/>
              <w:rPr>
                <w:b/>
                <w:bCs/>
                <w:kern w:val="0"/>
                <w:szCs w:val="21"/>
              </w:rPr>
            </w:pPr>
            <w:r>
              <w:rPr>
                <w:rFonts w:ascii="宋体" w:hAnsi="宋体"/>
                <w:b/>
                <w:bCs/>
                <w:kern w:val="0"/>
              </w:rPr>
              <w:t>与《四川省打赢蓝天保卫战等九个实施方案的通知（川府发</w:t>
            </w:r>
            <w:r>
              <w:rPr>
                <w:rFonts w:hint="eastAsia" w:ascii="宋体" w:hAnsi="宋体"/>
                <w:b/>
                <w:bCs/>
                <w:kern w:val="0"/>
              </w:rPr>
              <w:t>〔</w:t>
            </w:r>
            <w:r>
              <w:rPr>
                <w:b/>
                <w:bCs/>
                <w:kern w:val="0"/>
              </w:rPr>
              <w:t>2019</w:t>
            </w:r>
            <w:r>
              <w:rPr>
                <w:rFonts w:hint="eastAsia" w:ascii="宋体" w:hAnsi="宋体"/>
                <w:b/>
                <w:bCs/>
                <w:kern w:val="0"/>
              </w:rPr>
              <w:t>〕</w:t>
            </w:r>
            <w:r>
              <w:rPr>
                <w:b/>
                <w:bCs/>
                <w:kern w:val="0"/>
              </w:rPr>
              <w:t>4</w:t>
            </w:r>
            <w:r>
              <w:rPr>
                <w:rFonts w:ascii="宋体" w:hAnsi="宋体"/>
                <w:b/>
                <w:bCs/>
                <w:kern w:val="0"/>
              </w:rPr>
              <w:t>号）》的符合性</w:t>
            </w:r>
          </w:p>
          <w:p>
            <w:pPr>
              <w:autoSpaceDE w:val="0"/>
              <w:autoSpaceDN w:val="0"/>
              <w:adjustRightInd w:val="0"/>
              <w:snapToGrid w:val="0"/>
              <w:spacing w:line="360" w:lineRule="exact"/>
              <w:jc w:val="center"/>
              <w:rPr>
                <w:rFonts w:eastAsia="黑体"/>
                <w:kern w:val="0"/>
                <w:sz w:val="18"/>
                <w:szCs w:val="20"/>
              </w:rPr>
            </w:pPr>
            <w:r>
              <w:rPr>
                <w:rFonts w:ascii="黑体" w:hAnsi="黑体" w:eastAsia="黑体"/>
                <w:kern w:val="0"/>
                <w:sz w:val="18"/>
                <w:szCs w:val="20"/>
              </w:rPr>
              <w:t>表</w:t>
            </w:r>
            <w:r>
              <w:rPr>
                <w:rFonts w:hint="eastAsia" w:ascii="黑体" w:hAnsi="黑体" w:eastAsia="黑体"/>
                <w:kern w:val="0"/>
                <w:sz w:val="18"/>
                <w:szCs w:val="20"/>
              </w:rPr>
              <w:t xml:space="preserve">1-6  </w:t>
            </w:r>
            <w:r>
              <w:rPr>
                <w:rFonts w:ascii="黑体" w:hAnsi="黑体" w:eastAsia="黑体"/>
                <w:kern w:val="0"/>
                <w:sz w:val="18"/>
                <w:szCs w:val="20"/>
              </w:rPr>
              <w:t>与四川省打赢蓝天保卫战等九个实施方案的通知的符合性分析</w:t>
            </w:r>
          </w:p>
          <w:tbl>
            <w:tblPr>
              <w:tblStyle w:val="22"/>
              <w:tblW w:w="67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
              <w:gridCol w:w="515"/>
              <w:gridCol w:w="3206"/>
              <w:gridCol w:w="1952"/>
              <w:gridCol w:w="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973" w:type="dxa"/>
                  <w:gridSpan w:val="2"/>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60" w:lineRule="exact"/>
                    <w:ind w:left="31" w:leftChars="15" w:right="31" w:rightChars="15"/>
                    <w:jc w:val="center"/>
                    <w:rPr>
                      <w:b/>
                      <w:bCs/>
                      <w:kern w:val="0"/>
                      <w:sz w:val="16"/>
                      <w:szCs w:val="18"/>
                    </w:rPr>
                  </w:pPr>
                  <w:r>
                    <w:rPr>
                      <w:rFonts w:ascii="宋体" w:hAnsi="宋体"/>
                      <w:b/>
                      <w:bCs/>
                      <w:kern w:val="0"/>
                      <w:sz w:val="16"/>
                      <w:szCs w:val="18"/>
                    </w:rPr>
                    <w:t>条例名称</w:t>
                  </w:r>
                </w:p>
              </w:tc>
              <w:tc>
                <w:tcPr>
                  <w:tcW w:w="320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60" w:lineRule="exact"/>
                    <w:ind w:left="31" w:leftChars="15" w:right="31" w:rightChars="15"/>
                    <w:jc w:val="center"/>
                    <w:rPr>
                      <w:b/>
                      <w:bCs/>
                      <w:kern w:val="0"/>
                      <w:sz w:val="16"/>
                      <w:szCs w:val="18"/>
                    </w:rPr>
                  </w:pPr>
                  <w:r>
                    <w:rPr>
                      <w:rFonts w:ascii="宋体" w:hAnsi="宋体"/>
                      <w:b/>
                      <w:bCs/>
                      <w:kern w:val="0"/>
                      <w:sz w:val="16"/>
                      <w:szCs w:val="18"/>
                    </w:rPr>
                    <w:t>相关要求</w:t>
                  </w:r>
                </w:p>
              </w:tc>
              <w:tc>
                <w:tcPr>
                  <w:tcW w:w="195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60" w:lineRule="exact"/>
                    <w:ind w:left="31" w:leftChars="15" w:right="31" w:rightChars="15"/>
                    <w:jc w:val="center"/>
                    <w:rPr>
                      <w:b/>
                      <w:bCs/>
                      <w:kern w:val="0"/>
                      <w:sz w:val="16"/>
                      <w:szCs w:val="18"/>
                    </w:rPr>
                  </w:pPr>
                  <w:r>
                    <w:rPr>
                      <w:rFonts w:ascii="宋体" w:hAnsi="宋体"/>
                      <w:b/>
                      <w:bCs/>
                      <w:kern w:val="0"/>
                      <w:sz w:val="16"/>
                      <w:szCs w:val="18"/>
                    </w:rPr>
                    <w:t>项目情况</w:t>
                  </w:r>
                </w:p>
              </w:tc>
              <w:tc>
                <w:tcPr>
                  <w:tcW w:w="57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60" w:lineRule="exact"/>
                    <w:ind w:left="31" w:leftChars="15" w:right="31" w:rightChars="15"/>
                    <w:jc w:val="center"/>
                    <w:rPr>
                      <w:b/>
                      <w:bCs/>
                      <w:kern w:val="0"/>
                      <w:sz w:val="16"/>
                      <w:szCs w:val="18"/>
                    </w:rPr>
                  </w:pPr>
                  <w:r>
                    <w:rPr>
                      <w:rFonts w:ascii="宋体" w:hAnsi="宋体"/>
                      <w:b/>
                      <w:bCs/>
                      <w:kern w:val="0"/>
                      <w:sz w:val="16"/>
                      <w:szCs w:val="18"/>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58" w:type="dxa"/>
                  <w:vMerge w:val="restart"/>
                  <w:tcBorders>
                    <w:top w:val="nil"/>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60" w:lineRule="exact"/>
                    <w:ind w:left="31" w:leftChars="15" w:right="31" w:rightChars="15"/>
                    <w:jc w:val="center"/>
                    <w:rPr>
                      <w:kern w:val="0"/>
                      <w:sz w:val="16"/>
                      <w:szCs w:val="18"/>
                    </w:rPr>
                  </w:pPr>
                  <w:r>
                    <w:rPr>
                      <w:rFonts w:ascii="宋体" w:hAnsi="宋体"/>
                      <w:kern w:val="0"/>
                      <w:sz w:val="16"/>
                      <w:szCs w:val="18"/>
                    </w:rPr>
                    <w:t>四川省打赢蓝天保卫战等九个实施方案的通知（川府发</w:t>
                  </w:r>
                  <w:r>
                    <w:rPr>
                      <w:rFonts w:hint="eastAsia" w:ascii="宋体" w:hAnsi="宋体"/>
                      <w:kern w:val="0"/>
                      <w:sz w:val="16"/>
                      <w:szCs w:val="18"/>
                    </w:rPr>
                    <w:t>〔</w:t>
                  </w:r>
                  <w:r>
                    <w:rPr>
                      <w:kern w:val="0"/>
                      <w:sz w:val="16"/>
                      <w:szCs w:val="18"/>
                    </w:rPr>
                    <w:t>2019</w:t>
                  </w:r>
                  <w:r>
                    <w:rPr>
                      <w:rFonts w:hint="eastAsia" w:ascii="宋体" w:hAnsi="宋体"/>
                      <w:kern w:val="0"/>
                      <w:sz w:val="16"/>
                      <w:szCs w:val="18"/>
                    </w:rPr>
                    <w:t>〕</w:t>
                  </w:r>
                  <w:r>
                    <w:rPr>
                      <w:kern w:val="0"/>
                      <w:sz w:val="16"/>
                      <w:szCs w:val="18"/>
                    </w:rPr>
                    <w:t>4</w:t>
                  </w:r>
                  <w:r>
                    <w:rPr>
                      <w:rFonts w:ascii="宋体" w:hAnsi="宋体"/>
                      <w:kern w:val="0"/>
                      <w:sz w:val="16"/>
                      <w:szCs w:val="18"/>
                    </w:rPr>
                    <w:t>号）</w:t>
                  </w:r>
                </w:p>
              </w:tc>
              <w:tc>
                <w:tcPr>
                  <w:tcW w:w="515" w:type="dxa"/>
                  <w:vMerge w:val="restart"/>
                  <w:tcBorders>
                    <w:top w:val="nil"/>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60" w:lineRule="exact"/>
                    <w:ind w:right="31" w:rightChars="15"/>
                    <w:jc w:val="center"/>
                    <w:rPr>
                      <w:kern w:val="0"/>
                      <w:sz w:val="16"/>
                      <w:szCs w:val="18"/>
                    </w:rPr>
                  </w:pPr>
                  <w:r>
                    <w:rPr>
                      <w:rFonts w:ascii="宋体" w:hAnsi="宋体"/>
                      <w:kern w:val="0"/>
                      <w:sz w:val="16"/>
                      <w:szCs w:val="18"/>
                    </w:rPr>
                    <w:t>四川省打赢蓝天保卫战实施方案</w:t>
                  </w:r>
                </w:p>
              </w:tc>
              <w:tc>
                <w:tcPr>
                  <w:tcW w:w="320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60" w:lineRule="exact"/>
                    <w:ind w:left="31" w:leftChars="15" w:right="31" w:rightChars="15"/>
                    <w:rPr>
                      <w:kern w:val="0"/>
                      <w:sz w:val="16"/>
                      <w:szCs w:val="18"/>
                    </w:rPr>
                  </w:pPr>
                  <w:r>
                    <w:rPr>
                      <w:rFonts w:ascii="宋体" w:hAnsi="宋体"/>
                      <w:kern w:val="0"/>
                      <w:sz w:val="16"/>
                      <w:szCs w:val="18"/>
                    </w:rPr>
                    <w:t>重点区域执行大气污染物特别排放限值，严禁新增钢铁、电力、水泥、玻璃、砖瓦、陶瓷、焦化、电解铝、有色等重点行业大气污染物排放。</w:t>
                  </w:r>
                </w:p>
              </w:tc>
              <w:tc>
                <w:tcPr>
                  <w:tcW w:w="195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60" w:lineRule="exact"/>
                    <w:ind w:left="31" w:leftChars="15" w:right="31" w:rightChars="15"/>
                    <w:rPr>
                      <w:kern w:val="0"/>
                      <w:sz w:val="16"/>
                      <w:szCs w:val="18"/>
                    </w:rPr>
                  </w:pPr>
                  <w:r>
                    <w:rPr>
                      <w:rFonts w:ascii="宋体" w:hAnsi="宋体"/>
                      <w:kern w:val="0"/>
                      <w:sz w:val="16"/>
                      <w:szCs w:val="18"/>
                    </w:rPr>
                    <w:t>本项目为</w:t>
                  </w:r>
                  <w:r>
                    <w:rPr>
                      <w:rFonts w:hint="eastAsia" w:ascii="宋体" w:hAnsi="宋体"/>
                      <w:kern w:val="0"/>
                      <w:sz w:val="16"/>
                      <w:szCs w:val="18"/>
                    </w:rPr>
                    <w:t>储煤棚建设项目</w:t>
                  </w:r>
                  <w:r>
                    <w:rPr>
                      <w:rFonts w:ascii="宋体" w:hAnsi="宋体"/>
                      <w:kern w:val="0"/>
                      <w:sz w:val="16"/>
                      <w:szCs w:val="18"/>
                    </w:rPr>
                    <w:t>，位于达州市通川区，属于重点区域。不属于重点大气污染物排放行业。项目将严格执行大气污染物排放限值要求。</w:t>
                  </w:r>
                </w:p>
              </w:tc>
              <w:tc>
                <w:tcPr>
                  <w:tcW w:w="57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60" w:lineRule="exact"/>
                    <w:ind w:left="31" w:leftChars="15" w:right="31" w:rightChars="15"/>
                    <w:jc w:val="center"/>
                    <w:rPr>
                      <w:kern w:val="0"/>
                      <w:sz w:val="16"/>
                      <w:szCs w:val="18"/>
                    </w:rPr>
                  </w:pPr>
                  <w:r>
                    <w:rPr>
                      <w:rFonts w:ascii="宋体" w:hAnsi="宋体"/>
                      <w:kern w:val="0"/>
                      <w:sz w:val="16"/>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jc w:val="center"/>
              </w:trPr>
              <w:tc>
                <w:tcPr>
                  <w:tcW w:w="458" w:type="dxa"/>
                  <w:vMerge w:val="continue"/>
                  <w:tcBorders>
                    <w:top w:val="nil"/>
                    <w:left w:val="single" w:color="auto" w:sz="4" w:space="0"/>
                    <w:bottom w:val="single" w:color="auto" w:sz="4" w:space="0"/>
                    <w:right w:val="single" w:color="auto" w:sz="4" w:space="0"/>
                  </w:tcBorders>
                  <w:vAlign w:val="center"/>
                </w:tcPr>
                <w:p>
                  <w:pPr>
                    <w:widowControl/>
                    <w:spacing w:line="260" w:lineRule="exact"/>
                    <w:jc w:val="left"/>
                    <w:rPr>
                      <w:kern w:val="0"/>
                      <w:sz w:val="16"/>
                      <w:szCs w:val="18"/>
                    </w:rPr>
                  </w:pPr>
                </w:p>
              </w:tc>
              <w:tc>
                <w:tcPr>
                  <w:tcW w:w="515" w:type="dxa"/>
                  <w:vMerge w:val="continue"/>
                  <w:tcBorders>
                    <w:top w:val="nil"/>
                    <w:left w:val="single" w:color="auto" w:sz="4" w:space="0"/>
                    <w:bottom w:val="single" w:color="auto" w:sz="4" w:space="0"/>
                    <w:right w:val="single" w:color="auto" w:sz="4" w:space="0"/>
                  </w:tcBorders>
                  <w:vAlign w:val="center"/>
                </w:tcPr>
                <w:p>
                  <w:pPr>
                    <w:widowControl/>
                    <w:spacing w:line="260" w:lineRule="exact"/>
                    <w:jc w:val="left"/>
                    <w:rPr>
                      <w:kern w:val="0"/>
                      <w:sz w:val="16"/>
                      <w:szCs w:val="18"/>
                    </w:rPr>
                  </w:pPr>
                </w:p>
              </w:tc>
              <w:tc>
                <w:tcPr>
                  <w:tcW w:w="320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60" w:lineRule="exact"/>
                    <w:ind w:left="31" w:leftChars="15" w:right="31" w:rightChars="15"/>
                    <w:rPr>
                      <w:kern w:val="0"/>
                      <w:sz w:val="16"/>
                      <w:szCs w:val="18"/>
                    </w:rPr>
                  </w:pPr>
                  <w:r>
                    <w:rPr>
                      <w:rFonts w:ascii="宋体" w:hAnsi="宋体"/>
                      <w:kern w:val="0"/>
                      <w:sz w:val="16"/>
                      <w:szCs w:val="18"/>
                    </w:rPr>
                    <w:t>加强扬尘管控，提高城市环境管理水平。强化堆场扬尘管控。工业企业堆场实施规范化全封闭管理。易产生扬尘的物料堆场采用封闭式库仓，不具备封闭式库仓改造条件的，应设置不低于料堆高度的严密围挡，并采取覆盖措施有效控制扬尘污染；堆场内进行搅拌、粉碎、筛分等作业时应喷水抑尘，遇重污染天气时禁止进行产生扬尘的作业。物料装卸配备喷淋等防尘设施，转运物料尽量采取封闭式皮带输送。厂区主要运输通道实施硬化并定期冲洗或湿式清扫，堆场进出口设置车辆冲洗设施，运输车辆实施密闭或全覆盖，及时收集清理堆场外道路上撒落的物料。</w:t>
                  </w:r>
                </w:p>
              </w:tc>
              <w:tc>
                <w:tcPr>
                  <w:tcW w:w="195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60" w:lineRule="exact"/>
                    <w:ind w:left="31" w:leftChars="15" w:right="31" w:rightChars="15"/>
                    <w:rPr>
                      <w:kern w:val="0"/>
                      <w:sz w:val="16"/>
                      <w:szCs w:val="18"/>
                    </w:rPr>
                  </w:pPr>
                  <w:r>
                    <w:rPr>
                      <w:rFonts w:ascii="宋体" w:hAnsi="宋体"/>
                      <w:kern w:val="0"/>
                      <w:sz w:val="16"/>
                      <w:szCs w:val="18"/>
                    </w:rPr>
                    <w:t>本项目煤炭堆场</w:t>
                  </w:r>
                  <w:r>
                    <w:rPr>
                      <w:rFonts w:hint="eastAsia" w:ascii="宋体" w:hAnsi="宋体"/>
                      <w:kern w:val="0"/>
                      <w:sz w:val="16"/>
                      <w:szCs w:val="18"/>
                    </w:rPr>
                    <w:t>均为封闭式建设</w:t>
                  </w:r>
                  <w:r>
                    <w:rPr>
                      <w:rFonts w:ascii="宋体" w:hAnsi="宋体"/>
                      <w:kern w:val="0"/>
                      <w:sz w:val="16"/>
                      <w:szCs w:val="18"/>
                    </w:rPr>
                    <w:t>，并在堆场内四周及顶部设置喷雾装置控尘。对厂区地面已进行硬化，并指派专人定期对厂区道路进行洒水、冲洗和清扫，运输车辆将使用篷布遮盖</w:t>
                  </w:r>
                </w:p>
              </w:tc>
              <w:tc>
                <w:tcPr>
                  <w:tcW w:w="57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60" w:lineRule="exact"/>
                    <w:ind w:left="31" w:leftChars="15" w:right="31" w:rightChars="15"/>
                    <w:jc w:val="center"/>
                    <w:rPr>
                      <w:kern w:val="0"/>
                      <w:sz w:val="16"/>
                      <w:szCs w:val="18"/>
                    </w:rPr>
                  </w:pPr>
                  <w:r>
                    <w:rPr>
                      <w:rFonts w:ascii="宋体" w:hAnsi="宋体"/>
                      <w:kern w:val="0"/>
                      <w:sz w:val="16"/>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458" w:type="dxa"/>
                  <w:vMerge w:val="continue"/>
                  <w:tcBorders>
                    <w:top w:val="nil"/>
                    <w:left w:val="single" w:color="auto" w:sz="4" w:space="0"/>
                    <w:bottom w:val="single" w:color="auto" w:sz="4" w:space="0"/>
                    <w:right w:val="single" w:color="auto" w:sz="4" w:space="0"/>
                  </w:tcBorders>
                  <w:vAlign w:val="center"/>
                </w:tcPr>
                <w:p>
                  <w:pPr>
                    <w:widowControl/>
                    <w:spacing w:line="260" w:lineRule="exact"/>
                    <w:jc w:val="left"/>
                    <w:rPr>
                      <w:kern w:val="0"/>
                      <w:sz w:val="16"/>
                      <w:szCs w:val="18"/>
                    </w:rPr>
                  </w:pPr>
                </w:p>
              </w:tc>
              <w:tc>
                <w:tcPr>
                  <w:tcW w:w="515" w:type="dxa"/>
                  <w:vMerge w:val="restart"/>
                  <w:tcBorders>
                    <w:top w:val="nil"/>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60" w:lineRule="exact"/>
                    <w:ind w:left="31" w:leftChars="15" w:right="31" w:rightChars="15"/>
                    <w:jc w:val="center"/>
                    <w:rPr>
                      <w:kern w:val="0"/>
                      <w:sz w:val="16"/>
                      <w:szCs w:val="18"/>
                    </w:rPr>
                  </w:pPr>
                  <w:r>
                    <w:rPr>
                      <w:rFonts w:ascii="宋体" w:hAnsi="宋体"/>
                      <w:kern w:val="0"/>
                      <w:sz w:val="16"/>
                      <w:szCs w:val="18"/>
                    </w:rPr>
                    <w:t>四川省打赢碧水保卫战实施方案</w:t>
                  </w:r>
                </w:p>
              </w:tc>
              <w:tc>
                <w:tcPr>
                  <w:tcW w:w="320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60" w:lineRule="exact"/>
                    <w:ind w:left="31" w:leftChars="15" w:right="31" w:rightChars="15"/>
                    <w:jc w:val="center"/>
                    <w:rPr>
                      <w:kern w:val="0"/>
                      <w:sz w:val="16"/>
                      <w:szCs w:val="18"/>
                    </w:rPr>
                  </w:pPr>
                  <w:r>
                    <w:rPr>
                      <w:rFonts w:ascii="宋体" w:hAnsi="宋体"/>
                      <w:kern w:val="0"/>
                      <w:sz w:val="16"/>
                      <w:szCs w:val="18"/>
                    </w:rPr>
                    <w:t>减少工业废水排放量</w:t>
                  </w:r>
                </w:p>
              </w:tc>
              <w:tc>
                <w:tcPr>
                  <w:tcW w:w="195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60" w:lineRule="exact"/>
                    <w:ind w:left="31" w:leftChars="15" w:right="31" w:rightChars="15"/>
                    <w:rPr>
                      <w:kern w:val="0"/>
                      <w:sz w:val="16"/>
                      <w:szCs w:val="18"/>
                    </w:rPr>
                  </w:pPr>
                  <w:r>
                    <w:rPr>
                      <w:rFonts w:ascii="宋体" w:hAnsi="宋体"/>
                      <w:kern w:val="0"/>
                      <w:sz w:val="16"/>
                      <w:szCs w:val="18"/>
                    </w:rPr>
                    <w:t>项目生产废水全部收集处理后回用，生活污水拉运至东岳场镇污水处理厂处理。</w:t>
                  </w:r>
                </w:p>
              </w:tc>
              <w:tc>
                <w:tcPr>
                  <w:tcW w:w="57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60" w:lineRule="exact"/>
                    <w:ind w:left="31" w:leftChars="15" w:right="31" w:rightChars="15"/>
                    <w:jc w:val="center"/>
                    <w:rPr>
                      <w:kern w:val="0"/>
                      <w:sz w:val="16"/>
                      <w:szCs w:val="18"/>
                    </w:rPr>
                  </w:pPr>
                  <w:r>
                    <w:rPr>
                      <w:rFonts w:ascii="宋体" w:hAnsi="宋体"/>
                      <w:kern w:val="0"/>
                      <w:sz w:val="16"/>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58" w:type="dxa"/>
                  <w:vMerge w:val="continue"/>
                  <w:tcBorders>
                    <w:top w:val="nil"/>
                    <w:left w:val="single" w:color="auto" w:sz="4" w:space="0"/>
                    <w:bottom w:val="single" w:color="auto" w:sz="4" w:space="0"/>
                    <w:right w:val="single" w:color="auto" w:sz="4" w:space="0"/>
                  </w:tcBorders>
                  <w:vAlign w:val="center"/>
                </w:tcPr>
                <w:p>
                  <w:pPr>
                    <w:widowControl/>
                    <w:spacing w:line="260" w:lineRule="exact"/>
                    <w:jc w:val="left"/>
                    <w:rPr>
                      <w:kern w:val="0"/>
                      <w:sz w:val="16"/>
                      <w:szCs w:val="18"/>
                    </w:rPr>
                  </w:pPr>
                </w:p>
              </w:tc>
              <w:tc>
                <w:tcPr>
                  <w:tcW w:w="515" w:type="dxa"/>
                  <w:vMerge w:val="continue"/>
                  <w:tcBorders>
                    <w:top w:val="nil"/>
                    <w:left w:val="single" w:color="auto" w:sz="4" w:space="0"/>
                    <w:bottom w:val="single" w:color="auto" w:sz="4" w:space="0"/>
                    <w:right w:val="single" w:color="auto" w:sz="4" w:space="0"/>
                  </w:tcBorders>
                  <w:vAlign w:val="center"/>
                </w:tcPr>
                <w:p>
                  <w:pPr>
                    <w:widowControl/>
                    <w:spacing w:line="260" w:lineRule="exact"/>
                    <w:jc w:val="left"/>
                    <w:rPr>
                      <w:kern w:val="0"/>
                      <w:sz w:val="16"/>
                      <w:szCs w:val="18"/>
                    </w:rPr>
                  </w:pPr>
                </w:p>
              </w:tc>
              <w:tc>
                <w:tcPr>
                  <w:tcW w:w="320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60" w:lineRule="exact"/>
                    <w:ind w:left="31" w:leftChars="15" w:right="31" w:rightChars="15"/>
                    <w:rPr>
                      <w:kern w:val="0"/>
                      <w:sz w:val="16"/>
                      <w:szCs w:val="18"/>
                    </w:rPr>
                  </w:pPr>
                  <w:r>
                    <w:rPr>
                      <w:rFonts w:ascii="宋体" w:hAnsi="宋体"/>
                      <w:kern w:val="0"/>
                      <w:sz w:val="16"/>
                      <w:szCs w:val="18"/>
                    </w:rPr>
                    <w:t>加强水资源节约。在岷江、沱江、嘉陵江等流域，实行重点扶持，落实国家节水行动，推动节水型社会建设。抓好工业节水，提高水重复利用率。</w:t>
                  </w:r>
                </w:p>
              </w:tc>
              <w:tc>
                <w:tcPr>
                  <w:tcW w:w="195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60" w:lineRule="exact"/>
                    <w:ind w:left="31" w:leftChars="15" w:right="31" w:rightChars="15"/>
                    <w:rPr>
                      <w:kern w:val="0"/>
                      <w:sz w:val="16"/>
                      <w:szCs w:val="18"/>
                    </w:rPr>
                  </w:pPr>
                  <w:r>
                    <w:rPr>
                      <w:rFonts w:ascii="宋体" w:hAnsi="宋体"/>
                      <w:kern w:val="0"/>
                      <w:sz w:val="16"/>
                      <w:szCs w:val="18"/>
                    </w:rPr>
                    <w:t>项目生产废水全部收集处理后回用，生活污水拉运至东岳场镇污水处理厂处理。</w:t>
                  </w:r>
                </w:p>
              </w:tc>
              <w:tc>
                <w:tcPr>
                  <w:tcW w:w="57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60" w:lineRule="exact"/>
                    <w:ind w:left="31" w:leftChars="15" w:right="31" w:rightChars="15"/>
                    <w:jc w:val="center"/>
                    <w:rPr>
                      <w:kern w:val="0"/>
                      <w:sz w:val="16"/>
                      <w:szCs w:val="18"/>
                    </w:rPr>
                  </w:pPr>
                  <w:r>
                    <w:rPr>
                      <w:rFonts w:ascii="宋体" w:hAnsi="宋体"/>
                      <w:kern w:val="0"/>
                      <w:sz w:val="16"/>
                      <w:szCs w:val="18"/>
                    </w:rPr>
                    <w:t>符合</w:t>
                  </w:r>
                </w:p>
              </w:tc>
            </w:tr>
          </w:tbl>
          <w:p>
            <w:pPr>
              <w:numPr>
                <w:ilvl w:val="0"/>
                <w:numId w:val="2"/>
              </w:numPr>
              <w:autoSpaceDE w:val="0"/>
              <w:autoSpaceDN w:val="0"/>
              <w:adjustRightInd w:val="0"/>
              <w:snapToGrid w:val="0"/>
              <w:spacing w:line="400" w:lineRule="exact"/>
              <w:ind w:left="53" w:leftChars="25" w:right="53" w:rightChars="25" w:firstLine="422" w:firstLineChars="200"/>
              <w:jc w:val="left"/>
              <w:rPr>
                <w:b/>
                <w:bCs/>
                <w:kern w:val="0"/>
                <w:szCs w:val="21"/>
              </w:rPr>
            </w:pPr>
            <w:r>
              <w:rPr>
                <w:rFonts w:hint="eastAsia" w:ascii="宋体" w:hAnsi="宋体"/>
                <w:b/>
                <w:bCs/>
                <w:kern w:val="0"/>
              </w:rPr>
              <w:t>与</w:t>
            </w:r>
            <w:r>
              <w:rPr>
                <w:rFonts w:ascii="宋体" w:hAnsi="宋体"/>
                <w:b/>
                <w:bCs/>
                <w:kern w:val="0"/>
              </w:rPr>
              <w:t>《四川省大气污染防治行动计划实施细则》的符合性</w:t>
            </w:r>
          </w:p>
          <w:p>
            <w:pPr>
              <w:autoSpaceDE w:val="0"/>
              <w:autoSpaceDN w:val="0"/>
              <w:adjustRightInd w:val="0"/>
              <w:snapToGrid w:val="0"/>
              <w:spacing w:line="360" w:lineRule="exact"/>
              <w:ind w:firstLine="360" w:firstLineChars="200"/>
              <w:jc w:val="center"/>
              <w:rPr>
                <w:rFonts w:ascii="黑体" w:hAnsi="黑体" w:eastAsia="黑体"/>
                <w:kern w:val="0"/>
                <w:sz w:val="18"/>
                <w:szCs w:val="20"/>
              </w:rPr>
            </w:pPr>
            <w:r>
              <w:rPr>
                <w:rFonts w:hint="eastAsia" w:ascii="黑体" w:hAnsi="黑体" w:eastAsia="黑体"/>
                <w:kern w:val="0"/>
                <w:sz w:val="18"/>
                <w:szCs w:val="20"/>
              </w:rPr>
              <w:t>表1-7  与四川省大气污染防治行动计划实施细则符合性分析</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3500"/>
              <w:gridCol w:w="1669"/>
              <w:gridCol w:w="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4212" w:type="dxa"/>
                  <w:gridSpan w:val="2"/>
                  <w:tcBorders>
                    <w:top w:val="single" w:color="auto" w:sz="4" w:space="0"/>
                    <w:left w:val="single" w:color="auto" w:sz="4" w:space="0"/>
                    <w:bottom w:val="single" w:color="auto" w:sz="4" w:space="0"/>
                    <w:right w:val="single" w:color="auto" w:sz="4" w:space="0"/>
                  </w:tcBorders>
                  <w:vAlign w:val="center"/>
                </w:tcPr>
                <w:p>
                  <w:pPr>
                    <w:pStyle w:val="64"/>
                    <w:spacing w:line="300" w:lineRule="exact"/>
                    <w:ind w:firstLine="0" w:firstLineChars="0"/>
                    <w:jc w:val="center"/>
                    <w:rPr>
                      <w:b/>
                      <w:bCs/>
                      <w:sz w:val="16"/>
                      <w:szCs w:val="18"/>
                    </w:rPr>
                  </w:pPr>
                  <w:r>
                    <w:rPr>
                      <w:rFonts w:hint="eastAsia" w:ascii="宋体" w:hAnsi="宋体"/>
                      <w:b/>
                      <w:bCs/>
                      <w:sz w:val="16"/>
                      <w:szCs w:val="18"/>
                    </w:rPr>
                    <w:t>要求</w:t>
                  </w:r>
                </w:p>
              </w:tc>
              <w:tc>
                <w:tcPr>
                  <w:tcW w:w="1669" w:type="dxa"/>
                  <w:tcBorders>
                    <w:top w:val="single" w:color="auto" w:sz="4" w:space="0"/>
                    <w:left w:val="nil"/>
                    <w:bottom w:val="single" w:color="auto" w:sz="4" w:space="0"/>
                    <w:right w:val="single" w:color="auto" w:sz="4" w:space="0"/>
                  </w:tcBorders>
                </w:tcPr>
                <w:p>
                  <w:pPr>
                    <w:pStyle w:val="64"/>
                    <w:spacing w:line="300" w:lineRule="exact"/>
                    <w:ind w:firstLine="0" w:firstLineChars="0"/>
                    <w:jc w:val="center"/>
                    <w:rPr>
                      <w:b/>
                      <w:bCs/>
                      <w:sz w:val="16"/>
                      <w:szCs w:val="18"/>
                    </w:rPr>
                  </w:pPr>
                  <w:r>
                    <w:rPr>
                      <w:rFonts w:hint="eastAsia" w:ascii="宋体" w:hAnsi="宋体"/>
                      <w:b/>
                      <w:bCs/>
                      <w:sz w:val="16"/>
                      <w:szCs w:val="18"/>
                    </w:rPr>
                    <w:t>本项目</w:t>
                  </w:r>
                </w:p>
              </w:tc>
              <w:tc>
                <w:tcPr>
                  <w:tcW w:w="781" w:type="dxa"/>
                  <w:tcBorders>
                    <w:top w:val="single" w:color="auto" w:sz="4" w:space="0"/>
                    <w:left w:val="nil"/>
                    <w:bottom w:val="single" w:color="auto" w:sz="4" w:space="0"/>
                    <w:right w:val="single" w:color="auto" w:sz="4" w:space="0"/>
                  </w:tcBorders>
                </w:tcPr>
                <w:p>
                  <w:pPr>
                    <w:pStyle w:val="64"/>
                    <w:spacing w:line="300" w:lineRule="exact"/>
                    <w:ind w:firstLine="0" w:firstLineChars="0"/>
                    <w:jc w:val="center"/>
                    <w:rPr>
                      <w:b/>
                      <w:bCs/>
                      <w:sz w:val="16"/>
                      <w:szCs w:val="18"/>
                    </w:rPr>
                  </w:pPr>
                  <w:r>
                    <w:rPr>
                      <w:rFonts w:hint="eastAsia" w:ascii="宋体" w:hAnsi="宋体"/>
                      <w:b/>
                      <w:bCs/>
                      <w:sz w:val="16"/>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12" w:type="dxa"/>
                  <w:vMerge w:val="restart"/>
                  <w:tcBorders>
                    <w:top w:val="nil"/>
                    <w:left w:val="single" w:color="auto" w:sz="4" w:space="0"/>
                    <w:bottom w:val="single" w:color="auto" w:sz="4" w:space="0"/>
                    <w:right w:val="single" w:color="auto" w:sz="4" w:space="0"/>
                  </w:tcBorders>
                  <w:vAlign w:val="center"/>
                </w:tcPr>
                <w:p>
                  <w:pPr>
                    <w:autoSpaceDE w:val="0"/>
                    <w:autoSpaceDN w:val="0"/>
                    <w:adjustRightInd w:val="0"/>
                    <w:spacing w:line="300" w:lineRule="exact"/>
                    <w:ind w:left="-84" w:leftChars="-40" w:right="-84" w:rightChars="-40"/>
                    <w:jc w:val="left"/>
                    <w:rPr>
                      <w:kern w:val="0"/>
                      <w:sz w:val="16"/>
                      <w:szCs w:val="18"/>
                    </w:rPr>
                  </w:pPr>
                  <w:r>
                    <w:rPr>
                      <w:rFonts w:ascii="宋体" w:hAnsi="宋体"/>
                      <w:kern w:val="0"/>
                      <w:sz w:val="16"/>
                      <w:szCs w:val="18"/>
                    </w:rPr>
                    <w:t>《四川省大气污染防治行动计划实施细则》</w:t>
                  </w:r>
                </w:p>
              </w:tc>
              <w:tc>
                <w:tcPr>
                  <w:tcW w:w="3500" w:type="dxa"/>
                  <w:tcBorders>
                    <w:top w:val="single" w:color="auto" w:sz="4" w:space="0"/>
                    <w:left w:val="nil"/>
                    <w:bottom w:val="single" w:color="auto" w:sz="4" w:space="0"/>
                    <w:right w:val="single" w:color="auto" w:sz="4" w:space="0"/>
                  </w:tcBorders>
                  <w:vAlign w:val="center"/>
                </w:tcPr>
                <w:p>
                  <w:pPr>
                    <w:autoSpaceDE w:val="0"/>
                    <w:autoSpaceDN w:val="0"/>
                    <w:adjustRightInd w:val="0"/>
                    <w:spacing w:line="260" w:lineRule="exact"/>
                    <w:ind w:left="-84" w:leftChars="-40" w:right="-84" w:rightChars="-40"/>
                    <w:jc w:val="left"/>
                    <w:rPr>
                      <w:kern w:val="0"/>
                      <w:sz w:val="16"/>
                      <w:szCs w:val="18"/>
                    </w:rPr>
                  </w:pPr>
                  <w:r>
                    <w:rPr>
                      <w:rFonts w:ascii="宋体" w:hAnsi="宋体"/>
                      <w:kern w:val="0"/>
                      <w:sz w:val="16"/>
                      <w:szCs w:val="18"/>
                    </w:rPr>
                    <w:t>（四）大力强化治理工业大气污染。</w:t>
                  </w:r>
                  <w:r>
                    <w:rPr>
                      <w:kern w:val="0"/>
                      <w:sz w:val="16"/>
                      <w:szCs w:val="18"/>
                    </w:rPr>
                    <w:t>......</w:t>
                  </w:r>
                  <w:r>
                    <w:rPr>
                      <w:rFonts w:ascii="宋体" w:hAnsi="宋体"/>
                      <w:kern w:val="0"/>
                      <w:sz w:val="16"/>
                      <w:szCs w:val="18"/>
                    </w:rPr>
                    <w:t>强化燃料、原料、产品</w:t>
                  </w:r>
                  <w:r>
                    <w:rPr>
                      <w:rFonts w:hint="eastAsia" w:ascii="宋体" w:hAnsi="宋体"/>
                      <w:kern w:val="0"/>
                      <w:sz w:val="16"/>
                      <w:szCs w:val="18"/>
                    </w:rPr>
                    <w:t>市场监督管理</w:t>
                  </w:r>
                  <w:r>
                    <w:rPr>
                      <w:rFonts w:ascii="宋体" w:hAnsi="宋体"/>
                      <w:kern w:val="0"/>
                      <w:sz w:val="16"/>
                      <w:szCs w:val="18"/>
                    </w:rPr>
                    <w:t>，采取有效措施控制颗粒物无组织排放，大型堆场建立密闭料仓与传送装置，露天堆放的应加以覆盖或建设自动喷淋装置。</w:t>
                  </w:r>
                </w:p>
              </w:tc>
              <w:tc>
                <w:tcPr>
                  <w:tcW w:w="1669" w:type="dxa"/>
                  <w:tcBorders>
                    <w:top w:val="single" w:color="auto" w:sz="4" w:space="0"/>
                    <w:left w:val="nil"/>
                    <w:bottom w:val="single" w:color="auto" w:sz="4" w:space="0"/>
                    <w:right w:val="single" w:color="auto" w:sz="4" w:space="0"/>
                  </w:tcBorders>
                  <w:vAlign w:val="center"/>
                </w:tcPr>
                <w:p>
                  <w:pPr>
                    <w:autoSpaceDE w:val="0"/>
                    <w:autoSpaceDN w:val="0"/>
                    <w:adjustRightInd w:val="0"/>
                    <w:spacing w:line="260" w:lineRule="exact"/>
                    <w:ind w:left="-84" w:leftChars="-40" w:right="-84" w:rightChars="-40"/>
                    <w:jc w:val="left"/>
                    <w:rPr>
                      <w:kern w:val="0"/>
                      <w:sz w:val="16"/>
                      <w:szCs w:val="18"/>
                    </w:rPr>
                  </w:pPr>
                  <w:r>
                    <w:rPr>
                      <w:rFonts w:ascii="宋体" w:hAnsi="宋体"/>
                      <w:kern w:val="0"/>
                      <w:sz w:val="16"/>
                      <w:szCs w:val="18"/>
                    </w:rPr>
                    <w:t>本项目煤炭堆场建设为封闭式储煤棚，装卸过程中开启喷雾降尘</w:t>
                  </w:r>
                  <w:r>
                    <w:rPr>
                      <w:rFonts w:hint="eastAsia" w:ascii="宋体" w:hAnsi="宋体"/>
                      <w:kern w:val="0"/>
                      <w:sz w:val="16"/>
                      <w:szCs w:val="18"/>
                    </w:rPr>
                    <w:t>；装卸作业</w:t>
                  </w:r>
                  <w:r>
                    <w:rPr>
                      <w:rFonts w:ascii="宋体" w:hAnsi="宋体"/>
                      <w:kern w:val="0"/>
                      <w:sz w:val="16"/>
                      <w:szCs w:val="18"/>
                    </w:rPr>
                    <w:t>均在</w:t>
                  </w:r>
                  <w:r>
                    <w:rPr>
                      <w:rFonts w:hint="eastAsia" w:ascii="宋体" w:hAnsi="宋体"/>
                      <w:kern w:val="0"/>
                      <w:sz w:val="16"/>
                      <w:szCs w:val="18"/>
                    </w:rPr>
                    <w:t>封闭的</w:t>
                  </w:r>
                  <w:r>
                    <w:rPr>
                      <w:rFonts w:ascii="宋体" w:hAnsi="宋体"/>
                      <w:kern w:val="0"/>
                      <w:sz w:val="16"/>
                      <w:szCs w:val="18"/>
                    </w:rPr>
                    <w:t>储煤棚内。</w:t>
                  </w:r>
                </w:p>
              </w:tc>
              <w:tc>
                <w:tcPr>
                  <w:tcW w:w="781" w:type="dxa"/>
                  <w:tcBorders>
                    <w:top w:val="single" w:color="auto" w:sz="4" w:space="0"/>
                    <w:left w:val="nil"/>
                    <w:bottom w:val="single" w:color="auto" w:sz="4" w:space="0"/>
                    <w:right w:val="single" w:color="auto" w:sz="4" w:space="0"/>
                  </w:tcBorders>
                  <w:vAlign w:val="center"/>
                </w:tcPr>
                <w:p>
                  <w:pPr>
                    <w:autoSpaceDE w:val="0"/>
                    <w:autoSpaceDN w:val="0"/>
                    <w:adjustRightInd w:val="0"/>
                    <w:spacing w:line="260" w:lineRule="exact"/>
                    <w:ind w:left="-84" w:leftChars="-40" w:right="-84" w:rightChars="-40"/>
                    <w:jc w:val="center"/>
                    <w:rPr>
                      <w:kern w:val="0"/>
                      <w:sz w:val="16"/>
                      <w:szCs w:val="18"/>
                    </w:rPr>
                  </w:pPr>
                  <w:r>
                    <w:rPr>
                      <w:rFonts w:hint="eastAsia" w:ascii="宋体" w:hAnsi="宋体"/>
                      <w:kern w:val="0"/>
                      <w:sz w:val="16"/>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12"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kern w:val="0"/>
                      <w:sz w:val="16"/>
                      <w:szCs w:val="18"/>
                    </w:rPr>
                  </w:pPr>
                </w:p>
              </w:tc>
              <w:tc>
                <w:tcPr>
                  <w:tcW w:w="3500" w:type="dxa"/>
                  <w:tcBorders>
                    <w:top w:val="single" w:color="auto" w:sz="4" w:space="0"/>
                    <w:left w:val="nil"/>
                    <w:bottom w:val="single" w:color="auto" w:sz="4" w:space="0"/>
                    <w:right w:val="single" w:color="auto" w:sz="4" w:space="0"/>
                  </w:tcBorders>
                  <w:vAlign w:val="center"/>
                </w:tcPr>
                <w:p>
                  <w:pPr>
                    <w:autoSpaceDE w:val="0"/>
                    <w:autoSpaceDN w:val="0"/>
                    <w:adjustRightInd w:val="0"/>
                    <w:spacing w:line="260" w:lineRule="exact"/>
                    <w:ind w:left="-84" w:leftChars="-40" w:right="-84" w:rightChars="-40"/>
                    <w:jc w:val="left"/>
                    <w:rPr>
                      <w:kern w:val="0"/>
                      <w:sz w:val="16"/>
                      <w:szCs w:val="18"/>
                    </w:rPr>
                  </w:pPr>
                  <w:r>
                    <w:rPr>
                      <w:rFonts w:ascii="宋体" w:hAnsi="宋体"/>
                      <w:kern w:val="0"/>
                      <w:sz w:val="16"/>
                      <w:szCs w:val="18"/>
                    </w:rPr>
                    <w:t>（十）切实强化能源清洁利用；</w:t>
                  </w:r>
                  <w:r>
                    <w:rPr>
                      <w:kern w:val="0"/>
                      <w:sz w:val="16"/>
                      <w:szCs w:val="18"/>
                    </w:rPr>
                    <w:t>……</w:t>
                  </w:r>
                  <w:r>
                    <w:rPr>
                      <w:rFonts w:ascii="宋体" w:hAnsi="宋体"/>
                      <w:kern w:val="0"/>
                      <w:sz w:val="16"/>
                      <w:szCs w:val="18"/>
                    </w:rPr>
                    <w:t>推进煤炭清洁利用，提高入选率和废弃物资源综合利用。新建煤矿须同步建设煤炭洗选设施，现有煤矿加快建设改造，逐年提高原煤入选率</w:t>
                  </w:r>
                </w:p>
              </w:tc>
              <w:tc>
                <w:tcPr>
                  <w:tcW w:w="1669" w:type="dxa"/>
                  <w:tcBorders>
                    <w:top w:val="single" w:color="auto" w:sz="4" w:space="0"/>
                    <w:left w:val="nil"/>
                    <w:bottom w:val="single" w:color="auto" w:sz="4" w:space="0"/>
                    <w:right w:val="single" w:color="auto" w:sz="4" w:space="0"/>
                  </w:tcBorders>
                  <w:vAlign w:val="center"/>
                </w:tcPr>
                <w:p>
                  <w:pPr>
                    <w:autoSpaceDE w:val="0"/>
                    <w:autoSpaceDN w:val="0"/>
                    <w:adjustRightInd w:val="0"/>
                    <w:spacing w:line="260" w:lineRule="exact"/>
                    <w:ind w:left="-84" w:leftChars="-40" w:right="-84" w:rightChars="-40"/>
                    <w:jc w:val="left"/>
                    <w:rPr>
                      <w:kern w:val="0"/>
                      <w:sz w:val="16"/>
                      <w:szCs w:val="18"/>
                    </w:rPr>
                  </w:pPr>
                  <w:r>
                    <w:rPr>
                      <w:rFonts w:ascii="宋体" w:hAnsi="宋体"/>
                      <w:kern w:val="0"/>
                      <w:sz w:val="16"/>
                      <w:szCs w:val="18"/>
                    </w:rPr>
                    <w:t>本项目仅为储煤棚建设，不涉及煤炭开采。采用封闭式储煤棚堆存外购的煤炭。</w:t>
                  </w:r>
                </w:p>
              </w:tc>
              <w:tc>
                <w:tcPr>
                  <w:tcW w:w="781" w:type="dxa"/>
                  <w:tcBorders>
                    <w:top w:val="single" w:color="auto" w:sz="4" w:space="0"/>
                    <w:left w:val="nil"/>
                    <w:bottom w:val="single" w:color="auto" w:sz="4" w:space="0"/>
                    <w:right w:val="single" w:color="auto" w:sz="4" w:space="0"/>
                  </w:tcBorders>
                  <w:vAlign w:val="center"/>
                </w:tcPr>
                <w:p>
                  <w:pPr>
                    <w:autoSpaceDE w:val="0"/>
                    <w:autoSpaceDN w:val="0"/>
                    <w:adjustRightInd w:val="0"/>
                    <w:spacing w:line="260" w:lineRule="exact"/>
                    <w:ind w:left="-84" w:leftChars="-40" w:right="-84" w:rightChars="-40"/>
                    <w:jc w:val="center"/>
                    <w:rPr>
                      <w:kern w:val="0"/>
                      <w:sz w:val="16"/>
                      <w:szCs w:val="18"/>
                    </w:rPr>
                  </w:pPr>
                  <w:r>
                    <w:rPr>
                      <w:rFonts w:hint="eastAsia" w:ascii="宋体" w:hAnsi="宋体"/>
                      <w:kern w:val="0"/>
                      <w:sz w:val="16"/>
                      <w:szCs w:val="18"/>
                    </w:rPr>
                    <w:t>符合</w:t>
                  </w:r>
                </w:p>
              </w:tc>
            </w:tr>
          </w:tbl>
          <w:p>
            <w:pPr>
              <w:widowControl/>
              <w:spacing w:line="400" w:lineRule="exact"/>
              <w:ind w:firstLine="420" w:firstLineChars="200"/>
              <w:jc w:val="left"/>
              <w:rPr>
                <w:rFonts w:eastAsia="黑体"/>
                <w:szCs w:val="21"/>
              </w:rPr>
            </w:pPr>
            <w:r>
              <w:rPr>
                <w:rFonts w:hint="eastAsia" w:eastAsia="黑体"/>
                <w:szCs w:val="21"/>
              </w:rPr>
              <w:t>（4）与《达州市大气环境质量限期达标规划（2018-2030年）》的符合性分析</w:t>
            </w:r>
          </w:p>
          <w:p>
            <w:pPr>
              <w:widowControl/>
              <w:spacing w:line="400" w:lineRule="exact"/>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根据《达州市大气环境质量限期达标规划（2018-2030年）》：“第四项强化城市扬尘综合整治，大力削减颗粒物排放”“第3条强化堆场扬尘管控”：工业企业堆场实施规范化全封闭管理。易产生扬尘的物料堆场采取封闭式库仓，不具备封闭式库仓改造条件的，应设置不低于料堆高度的严密围挡，且采取覆盖措施有效控制扬尘污染；堆场内进行搅拌、粉碎、筛分等作业时应喷水抑尘，在重污染天气时禁止进行产生扬尘的作业……试点安装工业堆场网格化微型颗粒物在线监控设施，与城市扬尘视频监控平台联网，实现工业企业堆场扬尘动态管理。</w:t>
            </w:r>
          </w:p>
          <w:p>
            <w:pPr>
              <w:widowControl/>
              <w:spacing w:line="400" w:lineRule="exact"/>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本项目为储煤棚建设项目，煤炭储存采用封闭式储煤棚；加强卸煤作业管理。本项目采取的粉尘污染防治，将极大地减小扬尘污染影响。项目建设符合《达州市大气环境质量限期达标规划（2018-2030年）》。</w:t>
            </w:r>
          </w:p>
          <w:p>
            <w:pPr>
              <w:widowControl/>
              <w:spacing w:line="400" w:lineRule="exact"/>
              <w:jc w:val="left"/>
              <w:rPr>
                <w:rFonts w:eastAsia="黑体"/>
                <w:szCs w:val="21"/>
              </w:rPr>
            </w:pPr>
            <w:r>
              <w:rPr>
                <w:rFonts w:hint="eastAsia" w:eastAsia="黑体"/>
                <w:szCs w:val="21"/>
              </w:rPr>
              <w:t>5、与《四川省、重庆市长江经济带发展负面清单实施细则(试行，2022年版）》的符合性分析</w:t>
            </w:r>
          </w:p>
          <w:p>
            <w:pPr>
              <w:autoSpaceDE w:val="0"/>
              <w:autoSpaceDN w:val="0"/>
              <w:adjustRightInd w:val="0"/>
              <w:snapToGrid w:val="0"/>
              <w:spacing w:line="400" w:lineRule="exact"/>
              <w:ind w:firstLine="420" w:firstLineChars="200"/>
              <w:jc w:val="left"/>
              <w:rPr>
                <w:bCs/>
                <w:szCs w:val="21"/>
              </w:rPr>
            </w:pPr>
            <w:r>
              <w:rPr>
                <w:rFonts w:hint="eastAsia"/>
                <w:bCs/>
                <w:szCs w:val="21"/>
              </w:rPr>
              <w:t>四川省推动长江经济带发展领导小组办公室、重庆市推动长江经济带发展领导小组办公室于2022年8月25日，发布了《关于印发</w:t>
            </w:r>
            <w:r>
              <w:rPr>
                <w:rFonts w:hint="eastAsia" w:ascii="宋体" w:hAnsi="宋体" w:cs="宋体"/>
                <w:bCs/>
                <w:szCs w:val="21"/>
              </w:rPr>
              <w:t>&lt;</w:t>
            </w:r>
            <w:r>
              <w:rPr>
                <w:rFonts w:hint="eastAsia"/>
                <w:bCs/>
                <w:szCs w:val="21"/>
              </w:rPr>
              <w:t>四川省、重庆市长江经济带发展负面清单实施细则(试行，2022年版）</w:t>
            </w:r>
            <w:r>
              <w:rPr>
                <w:rFonts w:hint="eastAsia" w:ascii="宋体" w:hAnsi="宋体" w:cs="宋体"/>
                <w:bCs/>
                <w:szCs w:val="21"/>
              </w:rPr>
              <w:t>&gt;的通知</w:t>
            </w:r>
            <w:r>
              <w:rPr>
                <w:rFonts w:hint="eastAsia"/>
                <w:bCs/>
                <w:szCs w:val="21"/>
              </w:rPr>
              <w:t>》（川长江办〔2022〕17号）。本项目与《四川省、重庆市长江经济带发展负面清单实施细则(试行，2022年版）》的符合性分析见下表</w:t>
            </w:r>
            <w:r>
              <w:rPr>
                <w:rFonts w:hint="eastAsia" w:cs="宋体"/>
                <w:kern w:val="0"/>
                <w:sz w:val="20"/>
                <w:szCs w:val="21"/>
              </w:rPr>
              <w:t>。</w:t>
            </w:r>
          </w:p>
          <w:p>
            <w:pPr>
              <w:adjustRightInd w:val="0"/>
              <w:snapToGrid w:val="0"/>
              <w:spacing w:line="400" w:lineRule="exact"/>
              <w:jc w:val="center"/>
              <w:rPr>
                <w:rFonts w:eastAsia="黑体"/>
                <w:bCs/>
                <w:kern w:val="0"/>
                <w:sz w:val="20"/>
                <w:szCs w:val="21"/>
              </w:rPr>
            </w:pPr>
            <w:r>
              <w:rPr>
                <w:b/>
                <w:bCs/>
                <w:kern w:val="0"/>
                <w:sz w:val="18"/>
                <w:szCs w:val="18"/>
              </w:rPr>
              <w:t>表</w:t>
            </w:r>
            <w:r>
              <w:rPr>
                <w:rFonts w:hint="eastAsia"/>
                <w:b/>
                <w:bCs/>
                <w:kern w:val="0"/>
                <w:sz w:val="18"/>
                <w:szCs w:val="18"/>
              </w:rPr>
              <w:t xml:space="preserve">1-8  </w:t>
            </w:r>
            <w:r>
              <w:rPr>
                <w:rFonts w:hint="eastAsia"/>
                <w:b/>
                <w:spacing w:val="-20"/>
                <w:sz w:val="18"/>
                <w:szCs w:val="18"/>
              </w:rPr>
              <w:t>项目与四川省、重庆市长江经济带发展负面清单实施细则(试行，2022年版）的符合性分</w:t>
            </w:r>
            <w:r>
              <w:rPr>
                <w:rFonts w:hint="eastAsia"/>
                <w:b/>
                <w:bCs/>
                <w:spacing w:val="-20"/>
                <w:kern w:val="0"/>
                <w:sz w:val="18"/>
                <w:szCs w:val="18"/>
              </w:rPr>
              <w:t>析</w:t>
            </w:r>
          </w:p>
          <w:tbl>
            <w:tblPr>
              <w:tblStyle w:val="21"/>
              <w:tblW w:w="65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33"/>
              <w:gridCol w:w="3312"/>
              <w:gridCol w:w="2296"/>
              <w:gridCol w:w="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8" w:hRule="atLeast"/>
                <w:tblHeader/>
                <w:jc w:val="center"/>
              </w:trPr>
              <w:tc>
                <w:tcPr>
                  <w:tcW w:w="433" w:type="dxa"/>
                  <w:tcBorders>
                    <w:bottom w:val="single" w:color="000000" w:sz="4" w:space="0"/>
                  </w:tcBorders>
                  <w:vAlign w:val="center"/>
                </w:tcPr>
                <w:p>
                  <w:pPr>
                    <w:adjustRightInd w:val="0"/>
                    <w:snapToGrid w:val="0"/>
                    <w:spacing w:line="260" w:lineRule="exact"/>
                    <w:jc w:val="center"/>
                    <w:rPr>
                      <w:b/>
                      <w:sz w:val="15"/>
                      <w:szCs w:val="15"/>
                    </w:rPr>
                  </w:pPr>
                  <w:r>
                    <w:rPr>
                      <w:b/>
                      <w:sz w:val="15"/>
                      <w:szCs w:val="15"/>
                    </w:rPr>
                    <w:t>序号</w:t>
                  </w:r>
                </w:p>
              </w:tc>
              <w:tc>
                <w:tcPr>
                  <w:tcW w:w="3312" w:type="dxa"/>
                  <w:tcBorders>
                    <w:bottom w:val="single" w:color="000000" w:sz="4" w:space="0"/>
                  </w:tcBorders>
                  <w:vAlign w:val="center"/>
                </w:tcPr>
                <w:p>
                  <w:pPr>
                    <w:adjustRightInd w:val="0"/>
                    <w:snapToGrid w:val="0"/>
                    <w:spacing w:line="260" w:lineRule="exact"/>
                    <w:jc w:val="center"/>
                    <w:rPr>
                      <w:b/>
                      <w:sz w:val="15"/>
                      <w:szCs w:val="15"/>
                    </w:rPr>
                  </w:pPr>
                  <w:r>
                    <w:rPr>
                      <w:b/>
                      <w:sz w:val="15"/>
                      <w:szCs w:val="15"/>
                    </w:rPr>
                    <w:t>《负面清单》原文内容</w:t>
                  </w:r>
                </w:p>
              </w:tc>
              <w:tc>
                <w:tcPr>
                  <w:tcW w:w="2296" w:type="dxa"/>
                  <w:tcBorders>
                    <w:bottom w:val="single" w:color="000000" w:sz="4" w:space="0"/>
                  </w:tcBorders>
                  <w:vAlign w:val="center"/>
                </w:tcPr>
                <w:p>
                  <w:pPr>
                    <w:adjustRightInd w:val="0"/>
                    <w:snapToGrid w:val="0"/>
                    <w:spacing w:line="260" w:lineRule="exact"/>
                    <w:jc w:val="center"/>
                    <w:rPr>
                      <w:b/>
                      <w:sz w:val="15"/>
                      <w:szCs w:val="15"/>
                    </w:rPr>
                  </w:pPr>
                  <w:r>
                    <w:rPr>
                      <w:b/>
                      <w:sz w:val="15"/>
                      <w:szCs w:val="15"/>
                    </w:rPr>
                    <w:t>本项目情况</w:t>
                  </w:r>
                </w:p>
              </w:tc>
              <w:tc>
                <w:tcPr>
                  <w:tcW w:w="528" w:type="dxa"/>
                  <w:tcBorders>
                    <w:bottom w:val="single" w:color="000000" w:sz="4" w:space="0"/>
                  </w:tcBorders>
                  <w:vAlign w:val="center"/>
                </w:tcPr>
                <w:p>
                  <w:pPr>
                    <w:adjustRightInd w:val="0"/>
                    <w:snapToGrid w:val="0"/>
                    <w:spacing w:line="260" w:lineRule="exact"/>
                    <w:jc w:val="center"/>
                    <w:rPr>
                      <w:b/>
                      <w:sz w:val="15"/>
                      <w:szCs w:val="15"/>
                    </w:rPr>
                  </w:pPr>
                  <w:r>
                    <w:rPr>
                      <w:b/>
                      <w:sz w:val="15"/>
                      <w:szCs w:val="15"/>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1" w:hRule="atLeast"/>
                <w:tblHeader/>
                <w:jc w:val="center"/>
              </w:trPr>
              <w:tc>
                <w:tcPr>
                  <w:tcW w:w="433" w:type="dxa"/>
                  <w:tcBorders>
                    <w:top w:val="single" w:color="000000" w:sz="4" w:space="0"/>
                  </w:tcBorders>
                  <w:vAlign w:val="center"/>
                </w:tcPr>
                <w:p>
                  <w:pPr>
                    <w:adjustRightInd w:val="0"/>
                    <w:snapToGrid w:val="0"/>
                    <w:spacing w:line="260" w:lineRule="exact"/>
                    <w:jc w:val="center"/>
                    <w:rPr>
                      <w:sz w:val="15"/>
                      <w:szCs w:val="15"/>
                    </w:rPr>
                  </w:pPr>
                  <w:r>
                    <w:rPr>
                      <w:rFonts w:hint="eastAsia"/>
                      <w:sz w:val="15"/>
                      <w:szCs w:val="15"/>
                    </w:rPr>
                    <w:t>1</w:t>
                  </w:r>
                </w:p>
              </w:tc>
              <w:tc>
                <w:tcPr>
                  <w:tcW w:w="3312" w:type="dxa"/>
                  <w:tcBorders>
                    <w:top w:val="single" w:color="000000" w:sz="4" w:space="0"/>
                  </w:tcBorders>
                  <w:vAlign w:val="center"/>
                </w:tcPr>
                <w:p>
                  <w:pPr>
                    <w:pStyle w:val="19"/>
                    <w:keepNext/>
                    <w:keepLines/>
                    <w:widowControl w:val="0"/>
                    <w:autoSpaceDE w:val="0"/>
                    <w:spacing w:before="0" w:beforeAutospacing="0" w:after="0" w:afterAutospacing="0" w:line="260" w:lineRule="exact"/>
                    <w:rPr>
                      <w:rFonts w:ascii="Times New Roman" w:hAnsi="Times New Roman" w:cs="Times New Roman"/>
                      <w:sz w:val="15"/>
                      <w:szCs w:val="15"/>
                    </w:rPr>
                  </w:pPr>
                  <w:r>
                    <w:rPr>
                      <w:rFonts w:hint="eastAsia" w:ascii="Times New Roman" w:hAnsi="Times New Roman" w:cs="Times New Roman"/>
                      <w:sz w:val="15"/>
                      <w:szCs w:val="15"/>
                    </w:rPr>
                    <w:t>第七条 禁止在自然保护区核心区、缓冲区的岸线和河段范围内投资建设旅游和生产经营项目。自然保护区的内部未分区的，依照核心区和缓冲区的规定管控。</w:t>
                  </w:r>
                </w:p>
              </w:tc>
              <w:tc>
                <w:tcPr>
                  <w:tcW w:w="2296" w:type="dxa"/>
                  <w:tcBorders>
                    <w:top w:val="single" w:color="000000" w:sz="4" w:space="0"/>
                  </w:tcBorders>
                  <w:vAlign w:val="center"/>
                </w:tcPr>
                <w:p>
                  <w:pPr>
                    <w:pStyle w:val="19"/>
                    <w:keepNext/>
                    <w:keepLines/>
                    <w:widowControl w:val="0"/>
                    <w:autoSpaceDE w:val="0"/>
                    <w:spacing w:before="0" w:beforeAutospacing="0" w:after="0" w:afterAutospacing="0" w:line="260" w:lineRule="exact"/>
                    <w:rPr>
                      <w:rFonts w:ascii="Times New Roman" w:hAnsi="Times New Roman" w:cs="Times New Roman"/>
                      <w:sz w:val="15"/>
                      <w:szCs w:val="15"/>
                    </w:rPr>
                  </w:pPr>
                  <w:r>
                    <w:rPr>
                      <w:rFonts w:cs="Times New Roman"/>
                      <w:sz w:val="15"/>
                      <w:szCs w:val="15"/>
                    </w:rPr>
                    <w:t>本项目</w:t>
                  </w:r>
                  <w:r>
                    <w:rPr>
                      <w:rFonts w:hint="eastAsia" w:cs="Times New Roman"/>
                      <w:sz w:val="15"/>
                      <w:szCs w:val="15"/>
                    </w:rPr>
                    <w:t>位于通川区东岳新型工业集聚区，属于规划的工业园区。项目建设区域不属于自然保护区等生态敏感区。</w:t>
                  </w:r>
                </w:p>
              </w:tc>
              <w:tc>
                <w:tcPr>
                  <w:tcW w:w="528" w:type="dxa"/>
                  <w:tcBorders>
                    <w:top w:val="single" w:color="000000" w:sz="4" w:space="0"/>
                  </w:tcBorders>
                  <w:vAlign w:val="center"/>
                </w:tcPr>
                <w:p>
                  <w:pPr>
                    <w:adjustRightInd w:val="0"/>
                    <w:snapToGrid w:val="0"/>
                    <w:spacing w:line="260" w:lineRule="exact"/>
                    <w:jc w:val="center"/>
                    <w:rPr>
                      <w:sz w:val="15"/>
                      <w:szCs w:val="15"/>
                    </w:rPr>
                  </w:pPr>
                  <w:r>
                    <w:rPr>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tblHeader/>
                <w:jc w:val="center"/>
              </w:trPr>
              <w:tc>
                <w:tcPr>
                  <w:tcW w:w="433" w:type="dxa"/>
                  <w:vAlign w:val="center"/>
                </w:tcPr>
                <w:p>
                  <w:pPr>
                    <w:adjustRightInd w:val="0"/>
                    <w:snapToGrid w:val="0"/>
                    <w:spacing w:line="260" w:lineRule="exact"/>
                    <w:jc w:val="center"/>
                    <w:rPr>
                      <w:sz w:val="15"/>
                      <w:szCs w:val="15"/>
                    </w:rPr>
                  </w:pPr>
                  <w:r>
                    <w:rPr>
                      <w:rFonts w:hint="eastAsia"/>
                      <w:sz w:val="15"/>
                      <w:szCs w:val="15"/>
                    </w:rPr>
                    <w:t>2</w:t>
                  </w:r>
                </w:p>
              </w:tc>
              <w:tc>
                <w:tcPr>
                  <w:tcW w:w="3312" w:type="dxa"/>
                  <w:vAlign w:val="center"/>
                </w:tcPr>
                <w:p>
                  <w:pPr>
                    <w:pStyle w:val="19"/>
                    <w:keepNext/>
                    <w:keepLines/>
                    <w:widowControl w:val="0"/>
                    <w:autoSpaceDE w:val="0"/>
                    <w:spacing w:before="0" w:beforeAutospacing="0" w:after="0" w:afterAutospacing="0" w:line="260" w:lineRule="exact"/>
                    <w:rPr>
                      <w:rFonts w:ascii="Times New Roman" w:hAnsi="Times New Roman" w:cs="Times New Roman"/>
                      <w:sz w:val="15"/>
                      <w:szCs w:val="15"/>
                    </w:rPr>
                  </w:pPr>
                  <w:r>
                    <w:rPr>
                      <w:rFonts w:hint="eastAsia" w:ascii="Times New Roman" w:hAnsi="Times New Roman" w:cs="Times New Roman"/>
                      <w:sz w:val="15"/>
                      <w:szCs w:val="15"/>
                    </w:rPr>
                    <w:t>第九条 禁止在饮用水水源准保护区的岸线和河段范围内新建、扩建对水体污染严重的建设项目，禁止改建增加排污量的建设项目。</w:t>
                  </w:r>
                </w:p>
              </w:tc>
              <w:tc>
                <w:tcPr>
                  <w:tcW w:w="2296" w:type="dxa"/>
                  <w:vAlign w:val="center"/>
                </w:tcPr>
                <w:p>
                  <w:pPr>
                    <w:pStyle w:val="19"/>
                    <w:keepNext/>
                    <w:keepLines/>
                    <w:widowControl w:val="0"/>
                    <w:autoSpaceDE w:val="0"/>
                    <w:spacing w:before="0" w:beforeAutospacing="0" w:after="0" w:afterAutospacing="0" w:line="260" w:lineRule="exact"/>
                    <w:rPr>
                      <w:rFonts w:ascii="Times New Roman" w:hAnsi="Times New Roman" w:cs="Times New Roman"/>
                      <w:sz w:val="15"/>
                      <w:szCs w:val="15"/>
                    </w:rPr>
                  </w:pPr>
                  <w:r>
                    <w:rPr>
                      <w:rFonts w:cs="Times New Roman"/>
                      <w:sz w:val="15"/>
                      <w:szCs w:val="15"/>
                    </w:rPr>
                    <w:t>本项目与西面</w:t>
                  </w:r>
                  <w:r>
                    <w:rPr>
                      <w:rFonts w:hint="eastAsia" w:cs="Times New Roman"/>
                      <w:sz w:val="15"/>
                      <w:szCs w:val="15"/>
                    </w:rPr>
                    <w:t>小河沟相距520m和西面双龙河相距1100m，建设区域不属于饮用水源保护区范围。</w:t>
                  </w:r>
                </w:p>
              </w:tc>
              <w:tc>
                <w:tcPr>
                  <w:tcW w:w="528" w:type="dxa"/>
                  <w:vAlign w:val="center"/>
                </w:tcPr>
                <w:p>
                  <w:pPr>
                    <w:adjustRightInd w:val="0"/>
                    <w:snapToGrid w:val="0"/>
                    <w:spacing w:line="260" w:lineRule="exact"/>
                    <w:jc w:val="center"/>
                    <w:rPr>
                      <w:sz w:val="15"/>
                      <w:szCs w:val="15"/>
                    </w:rPr>
                  </w:pPr>
                  <w:r>
                    <w:rPr>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blHeader/>
                <w:jc w:val="center"/>
              </w:trPr>
              <w:tc>
                <w:tcPr>
                  <w:tcW w:w="433" w:type="dxa"/>
                  <w:vAlign w:val="center"/>
                </w:tcPr>
                <w:p>
                  <w:pPr>
                    <w:adjustRightInd w:val="0"/>
                    <w:snapToGrid w:val="0"/>
                    <w:spacing w:line="260" w:lineRule="exact"/>
                    <w:jc w:val="center"/>
                    <w:rPr>
                      <w:sz w:val="15"/>
                      <w:szCs w:val="15"/>
                    </w:rPr>
                  </w:pPr>
                  <w:r>
                    <w:rPr>
                      <w:rFonts w:hint="eastAsia"/>
                      <w:sz w:val="15"/>
                      <w:szCs w:val="15"/>
                    </w:rPr>
                    <w:t>3</w:t>
                  </w:r>
                </w:p>
              </w:tc>
              <w:tc>
                <w:tcPr>
                  <w:tcW w:w="3312" w:type="dxa"/>
                  <w:vAlign w:val="center"/>
                </w:tcPr>
                <w:p>
                  <w:pPr>
                    <w:pStyle w:val="19"/>
                    <w:keepNext/>
                    <w:keepLines/>
                    <w:widowControl w:val="0"/>
                    <w:autoSpaceDE w:val="0"/>
                    <w:spacing w:before="0" w:beforeAutospacing="0" w:after="0" w:afterAutospacing="0" w:line="260" w:lineRule="exact"/>
                    <w:rPr>
                      <w:rFonts w:ascii="Times New Roman" w:hAnsi="Times New Roman" w:cs="Times New Roman"/>
                      <w:sz w:val="15"/>
                      <w:szCs w:val="15"/>
                    </w:rPr>
                  </w:pPr>
                  <w:r>
                    <w:rPr>
                      <w:rFonts w:hint="eastAsia" w:ascii="Times New Roman" w:hAnsi="Times New Roman" w:cs="Times New Roman"/>
                      <w:sz w:val="15"/>
                      <w:szCs w:val="15"/>
                    </w:rPr>
                    <w:t>第十八条 禁止在长江干支流、重要湖泊岸线一公里范围内新建、扩建化工园区和化工项目。</w:t>
                  </w:r>
                </w:p>
              </w:tc>
              <w:tc>
                <w:tcPr>
                  <w:tcW w:w="2296" w:type="dxa"/>
                  <w:vAlign w:val="center"/>
                </w:tcPr>
                <w:p>
                  <w:pPr>
                    <w:pStyle w:val="19"/>
                    <w:keepNext/>
                    <w:keepLines/>
                    <w:widowControl w:val="0"/>
                    <w:autoSpaceDE w:val="0"/>
                    <w:spacing w:before="0" w:beforeAutospacing="0" w:after="0" w:afterAutospacing="0" w:line="260" w:lineRule="exact"/>
                    <w:rPr>
                      <w:rFonts w:ascii="Times New Roman" w:hAnsi="Times New Roman" w:cs="Times New Roman"/>
                      <w:sz w:val="15"/>
                      <w:szCs w:val="15"/>
                    </w:rPr>
                  </w:pPr>
                  <w:r>
                    <w:rPr>
                      <w:rFonts w:cs="Times New Roman"/>
                      <w:sz w:val="15"/>
                      <w:szCs w:val="15"/>
                    </w:rPr>
                    <w:t>本项目</w:t>
                  </w:r>
                  <w:r>
                    <w:rPr>
                      <w:rFonts w:hint="eastAsia" w:cs="Times New Roman"/>
                      <w:sz w:val="15"/>
                      <w:szCs w:val="15"/>
                    </w:rPr>
                    <w:t>不属于化工项目。</w:t>
                  </w:r>
                </w:p>
              </w:tc>
              <w:tc>
                <w:tcPr>
                  <w:tcW w:w="528" w:type="dxa"/>
                  <w:vAlign w:val="center"/>
                </w:tcPr>
                <w:p>
                  <w:pPr>
                    <w:adjustRightInd w:val="0"/>
                    <w:snapToGrid w:val="0"/>
                    <w:spacing w:line="260" w:lineRule="exact"/>
                    <w:jc w:val="center"/>
                    <w:rPr>
                      <w:sz w:val="15"/>
                      <w:szCs w:val="15"/>
                    </w:rPr>
                  </w:pPr>
                  <w:r>
                    <w:rPr>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1" w:hRule="atLeast"/>
                <w:tblHeader/>
                <w:jc w:val="center"/>
              </w:trPr>
              <w:tc>
                <w:tcPr>
                  <w:tcW w:w="433" w:type="dxa"/>
                  <w:vAlign w:val="center"/>
                </w:tcPr>
                <w:p>
                  <w:pPr>
                    <w:adjustRightInd w:val="0"/>
                    <w:snapToGrid w:val="0"/>
                    <w:spacing w:line="260" w:lineRule="exact"/>
                    <w:jc w:val="center"/>
                    <w:rPr>
                      <w:sz w:val="15"/>
                      <w:szCs w:val="15"/>
                    </w:rPr>
                  </w:pPr>
                  <w:r>
                    <w:rPr>
                      <w:rFonts w:hint="eastAsia"/>
                      <w:sz w:val="15"/>
                      <w:szCs w:val="15"/>
                    </w:rPr>
                    <w:t>4</w:t>
                  </w:r>
                </w:p>
              </w:tc>
              <w:tc>
                <w:tcPr>
                  <w:tcW w:w="3312" w:type="dxa"/>
                  <w:vAlign w:val="center"/>
                </w:tcPr>
                <w:p>
                  <w:pPr>
                    <w:pStyle w:val="19"/>
                    <w:keepNext/>
                    <w:keepLines/>
                    <w:widowControl w:val="0"/>
                    <w:autoSpaceDE w:val="0"/>
                    <w:spacing w:before="0" w:beforeAutospacing="0" w:after="0" w:afterAutospacing="0" w:line="260" w:lineRule="exact"/>
                    <w:rPr>
                      <w:rFonts w:ascii="Times New Roman" w:hAnsi="Times New Roman" w:cs="Times New Roman"/>
                      <w:sz w:val="15"/>
                      <w:szCs w:val="15"/>
                    </w:rPr>
                  </w:pPr>
                  <w:r>
                    <w:rPr>
                      <w:rFonts w:hint="eastAsia" w:ascii="Times New Roman" w:hAnsi="Times New Roman" w:cs="Times New Roman"/>
                      <w:sz w:val="15"/>
                      <w:szCs w:val="15"/>
                    </w:rPr>
                    <w:t>第十九条 禁止在长江干流岸线三公里范围内和重要支流岸线一公里范围内新建、改建、扩建尾矿库、冶炼渣库、磷石膏库，以提升安全、生态环境保护水平为目的的改建除外。</w:t>
                  </w:r>
                </w:p>
              </w:tc>
              <w:tc>
                <w:tcPr>
                  <w:tcW w:w="2296" w:type="dxa"/>
                </w:tcPr>
                <w:p>
                  <w:pPr>
                    <w:pStyle w:val="19"/>
                    <w:keepNext/>
                    <w:keepLines/>
                    <w:widowControl w:val="0"/>
                    <w:autoSpaceDE w:val="0"/>
                    <w:spacing w:before="0" w:beforeAutospacing="0" w:after="0" w:afterAutospacing="0" w:line="260" w:lineRule="exact"/>
                    <w:rPr>
                      <w:rFonts w:ascii="Times New Roman" w:hAnsi="Times New Roman" w:cs="Times New Roman"/>
                      <w:sz w:val="15"/>
                      <w:szCs w:val="15"/>
                    </w:rPr>
                  </w:pPr>
                  <w:r>
                    <w:rPr>
                      <w:rFonts w:cs="Times New Roman"/>
                      <w:sz w:val="15"/>
                      <w:szCs w:val="15"/>
                    </w:rPr>
                    <w:t>本项目</w:t>
                  </w:r>
                  <w:r>
                    <w:rPr>
                      <w:rFonts w:hint="eastAsia" w:cs="Times New Roman"/>
                      <w:sz w:val="15"/>
                      <w:szCs w:val="15"/>
                    </w:rPr>
                    <w:t>为储煤棚建设项目，不涉及建设</w:t>
                  </w:r>
                  <w:r>
                    <w:rPr>
                      <w:rFonts w:hint="eastAsia" w:ascii="Times New Roman" w:hAnsi="Times New Roman" w:cs="Times New Roman"/>
                      <w:sz w:val="15"/>
                      <w:szCs w:val="15"/>
                    </w:rPr>
                    <w:t>尾矿库、冶炼渣库、磷石膏库等。</w:t>
                  </w:r>
                </w:p>
              </w:tc>
              <w:tc>
                <w:tcPr>
                  <w:tcW w:w="528" w:type="dxa"/>
                  <w:vAlign w:val="center"/>
                </w:tcPr>
                <w:p>
                  <w:pPr>
                    <w:adjustRightInd w:val="0"/>
                    <w:snapToGrid w:val="0"/>
                    <w:spacing w:line="260" w:lineRule="exact"/>
                    <w:jc w:val="center"/>
                    <w:rPr>
                      <w:sz w:val="15"/>
                      <w:szCs w:val="15"/>
                    </w:rPr>
                  </w:pPr>
                  <w:r>
                    <w:rPr>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1" w:hRule="atLeast"/>
                <w:tblHeader/>
                <w:jc w:val="center"/>
              </w:trPr>
              <w:tc>
                <w:tcPr>
                  <w:tcW w:w="433" w:type="dxa"/>
                  <w:vAlign w:val="center"/>
                </w:tcPr>
                <w:p>
                  <w:pPr>
                    <w:adjustRightInd w:val="0"/>
                    <w:snapToGrid w:val="0"/>
                    <w:spacing w:line="260" w:lineRule="exact"/>
                    <w:jc w:val="center"/>
                    <w:rPr>
                      <w:sz w:val="15"/>
                      <w:szCs w:val="15"/>
                    </w:rPr>
                  </w:pPr>
                  <w:r>
                    <w:rPr>
                      <w:rFonts w:hint="eastAsia"/>
                      <w:sz w:val="15"/>
                      <w:szCs w:val="15"/>
                    </w:rPr>
                    <w:t>5</w:t>
                  </w:r>
                </w:p>
              </w:tc>
              <w:tc>
                <w:tcPr>
                  <w:tcW w:w="3312" w:type="dxa"/>
                  <w:vAlign w:val="center"/>
                </w:tcPr>
                <w:p>
                  <w:pPr>
                    <w:pStyle w:val="19"/>
                    <w:keepNext/>
                    <w:keepLines/>
                    <w:widowControl w:val="0"/>
                    <w:autoSpaceDE w:val="0"/>
                    <w:spacing w:before="0" w:beforeAutospacing="0" w:after="0" w:afterAutospacing="0" w:line="260" w:lineRule="exact"/>
                    <w:rPr>
                      <w:rFonts w:ascii="Times New Roman" w:hAnsi="Times New Roman" w:cs="Times New Roman"/>
                      <w:sz w:val="15"/>
                      <w:szCs w:val="15"/>
                    </w:rPr>
                  </w:pPr>
                  <w:r>
                    <w:rPr>
                      <w:rFonts w:hint="eastAsia" w:ascii="Times New Roman" w:hAnsi="Times New Roman" w:cs="Times New Roman"/>
                      <w:sz w:val="15"/>
                      <w:szCs w:val="15"/>
                    </w:rPr>
                    <w:t>第二十一条禁止在合规园区外新建、扩建钢铁、石化、化工、焦化、建材、有色、制浆造纸等高污染项目。</w:t>
                  </w:r>
                </w:p>
              </w:tc>
              <w:tc>
                <w:tcPr>
                  <w:tcW w:w="2296" w:type="dxa"/>
                </w:tcPr>
                <w:p>
                  <w:pPr>
                    <w:pStyle w:val="19"/>
                    <w:keepNext/>
                    <w:keepLines/>
                    <w:widowControl w:val="0"/>
                    <w:autoSpaceDE w:val="0"/>
                    <w:spacing w:before="0" w:beforeAutospacing="0" w:after="0" w:afterAutospacing="0" w:line="260" w:lineRule="exact"/>
                    <w:rPr>
                      <w:rFonts w:cs="Times New Roman"/>
                      <w:sz w:val="15"/>
                      <w:szCs w:val="15"/>
                    </w:rPr>
                  </w:pPr>
                  <w:r>
                    <w:rPr>
                      <w:rFonts w:hint="eastAsia" w:cs="Times New Roman"/>
                      <w:sz w:val="15"/>
                      <w:szCs w:val="15"/>
                    </w:rPr>
                    <w:t>本项目位于规划的工业园区内，且项目不属于</w:t>
                  </w:r>
                  <w:r>
                    <w:rPr>
                      <w:rFonts w:hint="eastAsia" w:ascii="Times New Roman" w:hAnsi="Times New Roman" w:cs="Times New Roman"/>
                      <w:sz w:val="15"/>
                      <w:szCs w:val="15"/>
                    </w:rPr>
                    <w:t>钢铁、石化、化工、焦化、建材、有色、制浆造纸等高污染项目。</w:t>
                  </w:r>
                </w:p>
              </w:tc>
              <w:tc>
                <w:tcPr>
                  <w:tcW w:w="528" w:type="dxa"/>
                  <w:vAlign w:val="center"/>
                </w:tcPr>
                <w:p>
                  <w:pPr>
                    <w:adjustRightInd w:val="0"/>
                    <w:snapToGrid w:val="0"/>
                    <w:spacing w:line="260" w:lineRule="exact"/>
                    <w:jc w:val="center"/>
                    <w:rPr>
                      <w:sz w:val="15"/>
                      <w:szCs w:val="15"/>
                    </w:rPr>
                  </w:pPr>
                  <w:r>
                    <w:rPr>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5" w:hRule="atLeast"/>
                <w:tblHeader/>
                <w:jc w:val="center"/>
              </w:trPr>
              <w:tc>
                <w:tcPr>
                  <w:tcW w:w="433" w:type="dxa"/>
                  <w:vAlign w:val="center"/>
                </w:tcPr>
                <w:p>
                  <w:pPr>
                    <w:adjustRightInd w:val="0"/>
                    <w:snapToGrid w:val="0"/>
                    <w:spacing w:line="260" w:lineRule="exact"/>
                    <w:jc w:val="center"/>
                    <w:rPr>
                      <w:sz w:val="15"/>
                      <w:szCs w:val="15"/>
                    </w:rPr>
                  </w:pPr>
                  <w:r>
                    <w:rPr>
                      <w:rFonts w:hint="eastAsia"/>
                      <w:sz w:val="15"/>
                      <w:szCs w:val="15"/>
                    </w:rPr>
                    <w:t>6</w:t>
                  </w:r>
                </w:p>
              </w:tc>
              <w:tc>
                <w:tcPr>
                  <w:tcW w:w="3312" w:type="dxa"/>
                  <w:vAlign w:val="center"/>
                </w:tcPr>
                <w:p>
                  <w:pPr>
                    <w:pStyle w:val="19"/>
                    <w:keepNext/>
                    <w:keepLines/>
                    <w:widowControl w:val="0"/>
                    <w:autoSpaceDE w:val="0"/>
                    <w:spacing w:before="0" w:beforeAutospacing="0" w:after="0" w:afterAutospacing="0" w:line="260" w:lineRule="exact"/>
                    <w:rPr>
                      <w:rFonts w:ascii="Times New Roman" w:hAnsi="Times New Roman" w:cs="Times New Roman"/>
                      <w:sz w:val="15"/>
                      <w:szCs w:val="15"/>
                    </w:rPr>
                  </w:pPr>
                  <w:r>
                    <w:rPr>
                      <w:rFonts w:hint="eastAsia" w:ascii="Times New Roman" w:hAnsi="Times New Roman" w:cs="Times New Roman"/>
                      <w:sz w:val="15"/>
                      <w:szCs w:val="15"/>
                    </w:rPr>
                    <w:t>第二十三条 禁止新建、扩建法律法规和相关政策明令禁止的落后产能项目。对《产业结构调整指导目录》中淘汰类项目，禁止投资</w:t>
                  </w:r>
                  <w:r>
                    <w:rPr>
                      <w:rFonts w:hint="eastAsia" w:ascii="Times New Roman" w:hAnsi="Times New Roman" w:cs="Times New Roman"/>
                      <w:sz w:val="15"/>
                      <w:szCs w:val="15"/>
                      <w:lang w:eastAsia="zh-CN"/>
                    </w:rPr>
                    <w:t>；</w:t>
                  </w:r>
                  <w:r>
                    <w:rPr>
                      <w:rFonts w:hint="eastAsia" w:ascii="Times New Roman" w:hAnsi="Times New Roman" w:cs="Times New Roman"/>
                      <w:sz w:val="15"/>
                      <w:szCs w:val="15"/>
                    </w:rPr>
                    <w:t>限制类的新建项目，禁止投资，对属于限制类的现有生产能力，允许企业在一定期限内采取措施改造升级。</w:t>
                  </w:r>
                </w:p>
              </w:tc>
              <w:tc>
                <w:tcPr>
                  <w:tcW w:w="2296" w:type="dxa"/>
                  <w:vAlign w:val="center"/>
                </w:tcPr>
                <w:p>
                  <w:pPr>
                    <w:pStyle w:val="19"/>
                    <w:keepNext/>
                    <w:keepLines/>
                    <w:widowControl w:val="0"/>
                    <w:autoSpaceDE w:val="0"/>
                    <w:spacing w:before="0" w:beforeAutospacing="0" w:after="0" w:afterAutospacing="0" w:line="260" w:lineRule="exact"/>
                    <w:rPr>
                      <w:rFonts w:cs="Times New Roman"/>
                      <w:sz w:val="15"/>
                      <w:szCs w:val="15"/>
                    </w:rPr>
                  </w:pPr>
                  <w:r>
                    <w:rPr>
                      <w:rFonts w:hint="eastAsia" w:cs="Times New Roman"/>
                      <w:sz w:val="15"/>
                      <w:szCs w:val="15"/>
                    </w:rPr>
                    <w:t>本项目符合国家现行产业政策，项目已取得立项备案手续。</w:t>
                  </w:r>
                </w:p>
              </w:tc>
              <w:tc>
                <w:tcPr>
                  <w:tcW w:w="528" w:type="dxa"/>
                  <w:vAlign w:val="center"/>
                </w:tcPr>
                <w:p>
                  <w:pPr>
                    <w:adjustRightInd w:val="0"/>
                    <w:snapToGrid w:val="0"/>
                    <w:spacing w:line="260" w:lineRule="exact"/>
                    <w:jc w:val="center"/>
                    <w:rPr>
                      <w:sz w:val="15"/>
                      <w:szCs w:val="15"/>
                    </w:rPr>
                  </w:pPr>
                  <w:r>
                    <w:rPr>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5" w:hRule="atLeast"/>
                <w:tblHeader/>
                <w:jc w:val="center"/>
              </w:trPr>
              <w:tc>
                <w:tcPr>
                  <w:tcW w:w="433" w:type="dxa"/>
                  <w:vAlign w:val="center"/>
                </w:tcPr>
                <w:p>
                  <w:pPr>
                    <w:adjustRightInd w:val="0"/>
                    <w:snapToGrid w:val="0"/>
                    <w:spacing w:line="260" w:lineRule="exact"/>
                    <w:jc w:val="center"/>
                    <w:rPr>
                      <w:sz w:val="15"/>
                      <w:szCs w:val="15"/>
                    </w:rPr>
                  </w:pPr>
                  <w:r>
                    <w:rPr>
                      <w:rFonts w:hint="eastAsia"/>
                      <w:sz w:val="15"/>
                      <w:szCs w:val="15"/>
                    </w:rPr>
                    <w:t>7</w:t>
                  </w:r>
                </w:p>
              </w:tc>
              <w:tc>
                <w:tcPr>
                  <w:tcW w:w="3312" w:type="dxa"/>
                  <w:vAlign w:val="center"/>
                </w:tcPr>
                <w:p>
                  <w:pPr>
                    <w:pStyle w:val="19"/>
                    <w:keepNext/>
                    <w:keepLines/>
                    <w:widowControl w:val="0"/>
                    <w:autoSpaceDE w:val="0"/>
                    <w:spacing w:before="0" w:beforeAutospacing="0" w:after="0" w:afterAutospacing="0" w:line="260" w:lineRule="exact"/>
                    <w:rPr>
                      <w:rFonts w:ascii="Times New Roman" w:hAnsi="Times New Roman" w:cs="Times New Roman"/>
                      <w:sz w:val="15"/>
                      <w:szCs w:val="15"/>
                    </w:rPr>
                  </w:pPr>
                  <w:r>
                    <w:rPr>
                      <w:rFonts w:hint="eastAsia" w:ascii="Times New Roman" w:hAnsi="Times New Roman" w:cs="Times New Roman"/>
                      <w:sz w:val="15"/>
                      <w:szCs w:val="15"/>
                    </w:rPr>
                    <w:t>第二十四条 禁止新建、扩建不符合国家产能置换要求的严重过剩产能行业的项目。对于不符合国家产能置换要求的严重过剩产能行业，不得以其他任何名义、任何方式备案新增产能项目。</w:t>
                  </w:r>
                </w:p>
              </w:tc>
              <w:tc>
                <w:tcPr>
                  <w:tcW w:w="2296" w:type="dxa"/>
                </w:tcPr>
                <w:p>
                  <w:pPr>
                    <w:pStyle w:val="19"/>
                    <w:keepNext/>
                    <w:keepLines/>
                    <w:widowControl w:val="0"/>
                    <w:autoSpaceDE w:val="0"/>
                    <w:spacing w:before="0" w:beforeAutospacing="0" w:after="0" w:afterAutospacing="0" w:line="260" w:lineRule="exact"/>
                    <w:rPr>
                      <w:rFonts w:cs="Times New Roman"/>
                      <w:sz w:val="15"/>
                      <w:szCs w:val="15"/>
                    </w:rPr>
                  </w:pPr>
                  <w:r>
                    <w:rPr>
                      <w:rFonts w:hint="eastAsia" w:cs="Times New Roman"/>
                      <w:sz w:val="15"/>
                      <w:szCs w:val="15"/>
                    </w:rPr>
                    <w:t>本项目为储煤棚建设项目，不属于</w:t>
                  </w:r>
                  <w:r>
                    <w:rPr>
                      <w:rFonts w:hint="eastAsia" w:ascii="Times New Roman" w:hAnsi="Times New Roman" w:cs="Times New Roman"/>
                      <w:sz w:val="15"/>
                      <w:szCs w:val="15"/>
                    </w:rPr>
                    <w:t>国家产能置换要求的严重过剩产能行业的项目。</w:t>
                  </w:r>
                </w:p>
              </w:tc>
              <w:tc>
                <w:tcPr>
                  <w:tcW w:w="528" w:type="dxa"/>
                  <w:vAlign w:val="center"/>
                </w:tcPr>
                <w:p>
                  <w:pPr>
                    <w:adjustRightInd w:val="0"/>
                    <w:snapToGrid w:val="0"/>
                    <w:spacing w:line="260" w:lineRule="exact"/>
                    <w:jc w:val="center"/>
                    <w:rPr>
                      <w:sz w:val="15"/>
                      <w:szCs w:val="15"/>
                    </w:rPr>
                  </w:pPr>
                  <w:r>
                    <w:rPr>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9" w:hRule="atLeast"/>
                <w:tblHeader/>
                <w:jc w:val="center"/>
              </w:trPr>
              <w:tc>
                <w:tcPr>
                  <w:tcW w:w="433" w:type="dxa"/>
                  <w:vAlign w:val="center"/>
                </w:tcPr>
                <w:p>
                  <w:pPr>
                    <w:adjustRightInd w:val="0"/>
                    <w:snapToGrid w:val="0"/>
                    <w:spacing w:line="260" w:lineRule="exact"/>
                    <w:jc w:val="center"/>
                    <w:rPr>
                      <w:sz w:val="15"/>
                      <w:szCs w:val="15"/>
                    </w:rPr>
                  </w:pPr>
                  <w:r>
                    <w:rPr>
                      <w:rFonts w:hint="eastAsia"/>
                      <w:sz w:val="15"/>
                      <w:szCs w:val="15"/>
                    </w:rPr>
                    <w:t>8</w:t>
                  </w:r>
                </w:p>
              </w:tc>
              <w:tc>
                <w:tcPr>
                  <w:tcW w:w="3312" w:type="dxa"/>
                  <w:vAlign w:val="center"/>
                </w:tcPr>
                <w:p>
                  <w:pPr>
                    <w:pStyle w:val="19"/>
                    <w:keepNext/>
                    <w:keepLines/>
                    <w:widowControl w:val="0"/>
                    <w:autoSpaceDE w:val="0"/>
                    <w:spacing w:before="0" w:beforeAutospacing="0" w:after="0" w:afterAutospacing="0" w:line="260" w:lineRule="exact"/>
                    <w:rPr>
                      <w:rFonts w:ascii="Times New Roman" w:hAnsi="Times New Roman" w:cs="Times New Roman"/>
                      <w:sz w:val="15"/>
                      <w:szCs w:val="15"/>
                    </w:rPr>
                  </w:pPr>
                  <w:r>
                    <w:rPr>
                      <w:rFonts w:hint="eastAsia" w:ascii="Times New Roman" w:hAnsi="Times New Roman" w:cs="Times New Roman"/>
                      <w:sz w:val="15"/>
                      <w:szCs w:val="15"/>
                    </w:rPr>
                    <w:t>第二十六条 禁止新建、扩建不符合要求的高耗能、高排放、低水平项目。</w:t>
                  </w:r>
                </w:p>
              </w:tc>
              <w:tc>
                <w:tcPr>
                  <w:tcW w:w="2296" w:type="dxa"/>
                </w:tcPr>
                <w:p>
                  <w:pPr>
                    <w:pStyle w:val="19"/>
                    <w:keepNext/>
                    <w:keepLines/>
                    <w:widowControl w:val="0"/>
                    <w:autoSpaceDE w:val="0"/>
                    <w:spacing w:before="0" w:beforeAutospacing="0" w:after="0" w:afterAutospacing="0" w:line="260" w:lineRule="exact"/>
                    <w:rPr>
                      <w:rFonts w:cs="Times New Roman"/>
                      <w:sz w:val="15"/>
                      <w:szCs w:val="15"/>
                    </w:rPr>
                  </w:pPr>
                  <w:r>
                    <w:rPr>
                      <w:rFonts w:hint="eastAsia" w:cs="Times New Roman"/>
                      <w:sz w:val="15"/>
                      <w:szCs w:val="15"/>
                    </w:rPr>
                    <w:t>本项目营运期耗能主要为电能，大气污染物主要为煤粉尘，不属于高耗能、高排放、低水平项目。</w:t>
                  </w:r>
                </w:p>
              </w:tc>
              <w:tc>
                <w:tcPr>
                  <w:tcW w:w="528" w:type="dxa"/>
                  <w:vAlign w:val="center"/>
                </w:tcPr>
                <w:p>
                  <w:pPr>
                    <w:adjustRightInd w:val="0"/>
                    <w:snapToGrid w:val="0"/>
                    <w:spacing w:line="260" w:lineRule="exact"/>
                    <w:jc w:val="center"/>
                    <w:rPr>
                      <w:sz w:val="15"/>
                      <w:szCs w:val="15"/>
                    </w:rPr>
                  </w:pPr>
                  <w:r>
                    <w:rPr>
                      <w:rFonts w:hint="eastAsia"/>
                      <w:sz w:val="15"/>
                      <w:szCs w:val="15"/>
                    </w:rPr>
                    <w:t>符合</w:t>
                  </w:r>
                </w:p>
              </w:tc>
            </w:tr>
          </w:tbl>
          <w:p>
            <w:pPr>
              <w:autoSpaceDE w:val="0"/>
              <w:autoSpaceDN w:val="0"/>
              <w:adjustRightInd w:val="0"/>
              <w:snapToGrid w:val="0"/>
              <w:spacing w:line="400" w:lineRule="exact"/>
              <w:ind w:right="53" w:rightChars="25"/>
              <w:jc w:val="left"/>
              <w:rPr>
                <w:b/>
                <w:bCs/>
                <w:kern w:val="0"/>
              </w:rPr>
            </w:pPr>
            <w:r>
              <w:rPr>
                <w:rFonts w:hint="eastAsia" w:ascii="宋体" w:hAnsi="宋体"/>
                <w:b/>
                <w:bCs/>
                <w:kern w:val="0"/>
              </w:rPr>
              <w:t>6、</w:t>
            </w:r>
            <w:r>
              <w:rPr>
                <w:rFonts w:ascii="宋体" w:hAnsi="宋体"/>
                <w:b/>
                <w:bCs/>
                <w:kern w:val="0"/>
              </w:rPr>
              <w:t>与《四川省嘉陵江流域生态环境保护条例》符合性分析</w:t>
            </w:r>
          </w:p>
          <w:p>
            <w:pPr>
              <w:autoSpaceDE w:val="0"/>
              <w:autoSpaceDN w:val="0"/>
              <w:adjustRightInd w:val="0"/>
              <w:snapToGrid w:val="0"/>
              <w:spacing w:line="400" w:lineRule="exact"/>
              <w:ind w:left="53" w:leftChars="25" w:right="53" w:rightChars="25" w:firstLine="420" w:firstLineChars="200"/>
              <w:jc w:val="left"/>
            </w:pPr>
            <w:r>
              <w:rPr>
                <w:kern w:val="0"/>
              </w:rPr>
              <w:t>2021</w:t>
            </w:r>
            <w:r>
              <w:rPr>
                <w:rFonts w:ascii="宋体" w:hAnsi="宋体"/>
                <w:kern w:val="0"/>
              </w:rPr>
              <w:t>年</w:t>
            </w:r>
            <w:r>
              <w:rPr>
                <w:kern w:val="0"/>
              </w:rPr>
              <w:t>11</w:t>
            </w:r>
            <w:r>
              <w:rPr>
                <w:rFonts w:ascii="宋体" w:hAnsi="宋体"/>
                <w:kern w:val="0"/>
              </w:rPr>
              <w:t>月</w:t>
            </w:r>
            <w:r>
              <w:rPr>
                <w:kern w:val="0"/>
              </w:rPr>
              <w:t>25</w:t>
            </w:r>
            <w:r>
              <w:rPr>
                <w:rFonts w:ascii="宋体" w:hAnsi="宋体"/>
                <w:kern w:val="0"/>
              </w:rPr>
              <w:t>日四川省第十三届人民代表大会常务委员会第三十一会议通过了《四川省嘉陵江流域生态环境保护条例》。项目与《四川省嘉陵江流域生态环境保护条例》的符合性分析见下表。</w:t>
            </w:r>
          </w:p>
          <w:p>
            <w:pPr>
              <w:autoSpaceDE w:val="0"/>
              <w:autoSpaceDN w:val="0"/>
              <w:adjustRightInd w:val="0"/>
              <w:snapToGrid w:val="0"/>
              <w:spacing w:line="360" w:lineRule="exact"/>
              <w:jc w:val="center"/>
              <w:rPr>
                <w:rFonts w:ascii="黑体" w:hAnsi="黑体" w:eastAsia="黑体"/>
                <w:kern w:val="0"/>
                <w:sz w:val="18"/>
                <w:szCs w:val="20"/>
              </w:rPr>
            </w:pPr>
          </w:p>
          <w:p>
            <w:pPr>
              <w:autoSpaceDE w:val="0"/>
              <w:autoSpaceDN w:val="0"/>
              <w:adjustRightInd w:val="0"/>
              <w:snapToGrid w:val="0"/>
              <w:spacing w:line="360" w:lineRule="exact"/>
              <w:jc w:val="center"/>
              <w:rPr>
                <w:rFonts w:ascii="黑体" w:hAnsi="黑体" w:eastAsia="黑体"/>
                <w:kern w:val="0"/>
                <w:sz w:val="18"/>
                <w:szCs w:val="20"/>
              </w:rPr>
            </w:pPr>
          </w:p>
          <w:p>
            <w:pPr>
              <w:autoSpaceDE w:val="0"/>
              <w:autoSpaceDN w:val="0"/>
              <w:adjustRightInd w:val="0"/>
              <w:snapToGrid w:val="0"/>
              <w:spacing w:line="360" w:lineRule="exact"/>
              <w:jc w:val="center"/>
              <w:rPr>
                <w:rFonts w:ascii="黑体" w:hAnsi="黑体" w:eastAsia="黑体"/>
                <w:kern w:val="0"/>
                <w:sz w:val="18"/>
                <w:szCs w:val="20"/>
              </w:rPr>
            </w:pPr>
          </w:p>
          <w:p>
            <w:pPr>
              <w:autoSpaceDE w:val="0"/>
              <w:autoSpaceDN w:val="0"/>
              <w:adjustRightInd w:val="0"/>
              <w:snapToGrid w:val="0"/>
              <w:spacing w:line="360" w:lineRule="exact"/>
              <w:jc w:val="center"/>
              <w:rPr>
                <w:rFonts w:ascii="黑体" w:hAnsi="黑体" w:eastAsia="黑体"/>
                <w:kern w:val="0"/>
                <w:sz w:val="18"/>
                <w:szCs w:val="20"/>
              </w:rPr>
            </w:pPr>
          </w:p>
          <w:p>
            <w:pPr>
              <w:autoSpaceDE w:val="0"/>
              <w:autoSpaceDN w:val="0"/>
              <w:adjustRightInd w:val="0"/>
              <w:snapToGrid w:val="0"/>
              <w:spacing w:line="360" w:lineRule="exact"/>
              <w:jc w:val="center"/>
              <w:rPr>
                <w:rFonts w:ascii="黑体" w:hAnsi="黑体" w:eastAsia="黑体"/>
                <w:kern w:val="0"/>
                <w:sz w:val="18"/>
                <w:szCs w:val="20"/>
              </w:rPr>
            </w:pPr>
          </w:p>
          <w:p>
            <w:pPr>
              <w:autoSpaceDE w:val="0"/>
              <w:autoSpaceDN w:val="0"/>
              <w:adjustRightInd w:val="0"/>
              <w:snapToGrid w:val="0"/>
              <w:spacing w:line="360" w:lineRule="exact"/>
              <w:jc w:val="center"/>
              <w:rPr>
                <w:rFonts w:ascii="黑体" w:hAnsi="黑体" w:eastAsia="黑体"/>
                <w:kern w:val="0"/>
                <w:sz w:val="18"/>
                <w:szCs w:val="20"/>
              </w:rPr>
            </w:pPr>
          </w:p>
          <w:p>
            <w:pPr>
              <w:autoSpaceDE w:val="0"/>
              <w:autoSpaceDN w:val="0"/>
              <w:adjustRightInd w:val="0"/>
              <w:snapToGrid w:val="0"/>
              <w:spacing w:line="500" w:lineRule="exact"/>
              <w:jc w:val="center"/>
              <w:rPr>
                <w:rFonts w:ascii="黑体" w:hAnsi="黑体" w:eastAsia="黑体"/>
                <w:kern w:val="0"/>
                <w:sz w:val="18"/>
                <w:szCs w:val="20"/>
              </w:rPr>
            </w:pPr>
          </w:p>
          <w:p>
            <w:pPr>
              <w:autoSpaceDE w:val="0"/>
              <w:autoSpaceDN w:val="0"/>
              <w:adjustRightInd w:val="0"/>
              <w:snapToGrid w:val="0"/>
              <w:spacing w:line="360" w:lineRule="exact"/>
              <w:jc w:val="center"/>
              <w:rPr>
                <w:rFonts w:eastAsia="黑体"/>
                <w:kern w:val="0"/>
                <w:sz w:val="18"/>
                <w:szCs w:val="20"/>
              </w:rPr>
            </w:pPr>
            <w:r>
              <w:rPr>
                <w:rFonts w:hint="eastAsia" w:ascii="黑体" w:hAnsi="黑体" w:eastAsia="黑体"/>
                <w:kern w:val="0"/>
                <w:sz w:val="18"/>
                <w:szCs w:val="20"/>
              </w:rPr>
              <w:t xml:space="preserve">表1-9  </w:t>
            </w:r>
            <w:r>
              <w:rPr>
                <w:rFonts w:ascii="黑体" w:hAnsi="黑体" w:eastAsia="黑体"/>
                <w:kern w:val="0"/>
                <w:sz w:val="18"/>
                <w:szCs w:val="20"/>
              </w:rPr>
              <w:t>项目与《四川省嘉陵江流域生态环境保护条例》的符合性分析</w:t>
            </w:r>
          </w:p>
          <w:tbl>
            <w:tblPr>
              <w:tblStyle w:val="21"/>
              <w:tblW w:w="67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6"/>
              <w:gridCol w:w="4025"/>
              <w:gridCol w:w="1771"/>
              <w:gridCol w:w="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 w:hRule="atLeast"/>
                <w:jc w:val="center"/>
              </w:trPr>
              <w:tc>
                <w:tcPr>
                  <w:tcW w:w="4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b/>
                      <w:bCs/>
                      <w:sz w:val="15"/>
                      <w:szCs w:val="18"/>
                    </w:rPr>
                  </w:pPr>
                  <w:r>
                    <w:rPr>
                      <w:rFonts w:ascii="宋体" w:hAnsi="宋体"/>
                      <w:b/>
                      <w:bCs/>
                      <w:sz w:val="15"/>
                      <w:szCs w:val="18"/>
                    </w:rPr>
                    <w:t>序号</w:t>
                  </w:r>
                </w:p>
              </w:tc>
              <w:tc>
                <w:tcPr>
                  <w:tcW w:w="40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b/>
                      <w:bCs/>
                      <w:sz w:val="15"/>
                      <w:szCs w:val="18"/>
                    </w:rPr>
                  </w:pPr>
                  <w:r>
                    <w:rPr>
                      <w:rFonts w:ascii="宋体" w:hAnsi="宋体"/>
                      <w:b/>
                      <w:bCs/>
                      <w:sz w:val="15"/>
                      <w:szCs w:val="18"/>
                    </w:rPr>
                    <w:t>原文内容</w:t>
                  </w:r>
                </w:p>
              </w:tc>
              <w:tc>
                <w:tcPr>
                  <w:tcW w:w="177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b/>
                      <w:bCs/>
                      <w:sz w:val="15"/>
                      <w:szCs w:val="18"/>
                    </w:rPr>
                  </w:pPr>
                  <w:r>
                    <w:rPr>
                      <w:rFonts w:ascii="宋体" w:hAnsi="宋体"/>
                      <w:b/>
                      <w:bCs/>
                      <w:sz w:val="15"/>
                      <w:szCs w:val="18"/>
                    </w:rPr>
                    <w:t>本项目情况</w:t>
                  </w:r>
                </w:p>
              </w:tc>
              <w:tc>
                <w:tcPr>
                  <w:tcW w:w="5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b/>
                      <w:bCs/>
                      <w:sz w:val="15"/>
                      <w:szCs w:val="18"/>
                    </w:rPr>
                  </w:pPr>
                  <w:r>
                    <w:rPr>
                      <w:rFonts w:ascii="宋体" w:hAnsi="宋体"/>
                      <w:b/>
                      <w:bCs/>
                      <w:sz w:val="15"/>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 w:hRule="atLeast"/>
                <w:jc w:val="center"/>
              </w:trPr>
              <w:tc>
                <w:tcPr>
                  <w:tcW w:w="4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8"/>
                    </w:rPr>
                  </w:pPr>
                  <w:r>
                    <w:rPr>
                      <w:sz w:val="15"/>
                      <w:szCs w:val="18"/>
                    </w:rPr>
                    <w:t>1</w:t>
                  </w:r>
                </w:p>
              </w:tc>
              <w:tc>
                <w:tcPr>
                  <w:tcW w:w="40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60" w:lineRule="exact"/>
                    <w:jc w:val="left"/>
                    <w:rPr>
                      <w:kern w:val="0"/>
                      <w:sz w:val="15"/>
                      <w:szCs w:val="18"/>
                    </w:rPr>
                  </w:pPr>
                  <w:r>
                    <w:rPr>
                      <w:rFonts w:ascii="宋体" w:hAnsi="宋体"/>
                      <w:kern w:val="0"/>
                      <w:sz w:val="15"/>
                      <w:szCs w:val="18"/>
                    </w:rPr>
                    <w:t>第二十一条</w:t>
                  </w:r>
                  <w:r>
                    <w:rPr>
                      <w:kern w:val="0"/>
                      <w:sz w:val="15"/>
                      <w:szCs w:val="18"/>
                    </w:rPr>
                    <w:t xml:space="preserve"> </w:t>
                  </w:r>
                  <w:r>
                    <w:rPr>
                      <w:rFonts w:ascii="宋体" w:hAnsi="宋体"/>
                      <w:kern w:val="0"/>
                      <w:sz w:val="15"/>
                      <w:szCs w:val="18"/>
                    </w:rPr>
                    <w:t>按照排污许可证的规定排放污染物；禁止未取得排污许可证或者违反排污许可证的规定排放污染物。</w:t>
                  </w:r>
                </w:p>
              </w:tc>
              <w:tc>
                <w:tcPr>
                  <w:tcW w:w="177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60" w:lineRule="exact"/>
                    <w:rPr>
                      <w:kern w:val="0"/>
                      <w:sz w:val="15"/>
                      <w:szCs w:val="18"/>
                    </w:rPr>
                  </w:pPr>
                  <w:r>
                    <w:rPr>
                      <w:rFonts w:ascii="宋体" w:hAnsi="宋体"/>
                      <w:kern w:val="0"/>
                      <w:sz w:val="15"/>
                      <w:szCs w:val="18"/>
                    </w:rPr>
                    <w:t>项目建成后将按要求完善排污许可证的手续。</w:t>
                  </w:r>
                </w:p>
              </w:tc>
              <w:tc>
                <w:tcPr>
                  <w:tcW w:w="5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8"/>
                    </w:rPr>
                  </w:pPr>
                  <w:r>
                    <w:rPr>
                      <w:rFonts w:ascii="宋体" w:hAnsi="宋体"/>
                      <w:sz w:val="15"/>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8" w:hRule="atLeast"/>
                <w:jc w:val="center"/>
              </w:trPr>
              <w:tc>
                <w:tcPr>
                  <w:tcW w:w="4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8"/>
                    </w:rPr>
                  </w:pPr>
                  <w:r>
                    <w:rPr>
                      <w:sz w:val="15"/>
                      <w:szCs w:val="18"/>
                    </w:rPr>
                    <w:t>2</w:t>
                  </w:r>
                </w:p>
              </w:tc>
              <w:tc>
                <w:tcPr>
                  <w:tcW w:w="40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60" w:lineRule="exact"/>
                    <w:jc w:val="left"/>
                    <w:rPr>
                      <w:kern w:val="0"/>
                      <w:sz w:val="15"/>
                      <w:szCs w:val="18"/>
                    </w:rPr>
                  </w:pPr>
                  <w:r>
                    <w:rPr>
                      <w:rFonts w:ascii="宋体" w:hAnsi="宋体"/>
                      <w:kern w:val="0"/>
                      <w:sz w:val="15"/>
                      <w:szCs w:val="18"/>
                    </w:rPr>
                    <w:t>第六十八条</w:t>
                  </w:r>
                  <w:r>
                    <w:rPr>
                      <w:kern w:val="0"/>
                      <w:sz w:val="15"/>
                      <w:szCs w:val="18"/>
                    </w:rPr>
                    <w:t xml:space="preserve"> </w:t>
                  </w:r>
                  <w:r>
                    <w:rPr>
                      <w:rFonts w:ascii="宋体" w:hAnsi="宋体"/>
                      <w:kern w:val="0"/>
                      <w:sz w:val="15"/>
                      <w:szCs w:val="18"/>
                    </w:rPr>
                    <w:t>矿产资源开发企业应当依法履行尾矿库安全生产、环境保护主体责任，排查治理安全隐患和环境风险，确保尾矿库安全运行，对尾矿库安全终身负责。对已解散或者关闭、破产的矿产资源开发企业尾矿库的管理，无法确定责任人的，由县级以上地方人民政府负责。</w:t>
                  </w:r>
                </w:p>
              </w:tc>
              <w:tc>
                <w:tcPr>
                  <w:tcW w:w="177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60" w:lineRule="exact"/>
                    <w:rPr>
                      <w:kern w:val="0"/>
                      <w:sz w:val="15"/>
                      <w:szCs w:val="18"/>
                    </w:rPr>
                  </w:pPr>
                  <w:r>
                    <w:rPr>
                      <w:rFonts w:ascii="宋体" w:hAnsi="宋体"/>
                      <w:kern w:val="0"/>
                      <w:sz w:val="15"/>
                      <w:szCs w:val="18"/>
                    </w:rPr>
                    <w:t>项目主要堆存煤炭产品，不属于尾矿库。</w:t>
                  </w:r>
                </w:p>
              </w:tc>
              <w:tc>
                <w:tcPr>
                  <w:tcW w:w="5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8"/>
                    </w:rPr>
                  </w:pPr>
                  <w:r>
                    <w:rPr>
                      <w:rFonts w:ascii="宋体" w:hAnsi="宋体"/>
                      <w:sz w:val="15"/>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 w:hRule="atLeast"/>
                <w:jc w:val="center"/>
              </w:trPr>
              <w:tc>
                <w:tcPr>
                  <w:tcW w:w="4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8"/>
                    </w:rPr>
                  </w:pPr>
                  <w:r>
                    <w:rPr>
                      <w:sz w:val="15"/>
                      <w:szCs w:val="18"/>
                    </w:rPr>
                    <w:t>3</w:t>
                  </w:r>
                </w:p>
              </w:tc>
              <w:tc>
                <w:tcPr>
                  <w:tcW w:w="40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60" w:lineRule="exact"/>
                    <w:jc w:val="left"/>
                    <w:rPr>
                      <w:kern w:val="0"/>
                      <w:sz w:val="15"/>
                      <w:szCs w:val="18"/>
                    </w:rPr>
                  </w:pPr>
                  <w:r>
                    <w:rPr>
                      <w:rFonts w:ascii="宋体" w:hAnsi="宋体"/>
                      <w:kern w:val="0"/>
                      <w:sz w:val="15"/>
                      <w:szCs w:val="18"/>
                    </w:rPr>
                    <w:t>第七十三条</w:t>
                  </w:r>
                  <w:r>
                    <w:rPr>
                      <w:kern w:val="0"/>
                      <w:sz w:val="15"/>
                      <w:szCs w:val="18"/>
                    </w:rPr>
                    <w:t xml:space="preserve"> </w:t>
                  </w:r>
                  <w:r>
                    <w:rPr>
                      <w:rFonts w:ascii="宋体" w:hAnsi="宋体"/>
                      <w:kern w:val="0"/>
                      <w:sz w:val="15"/>
                      <w:szCs w:val="18"/>
                    </w:rPr>
                    <w:t>禁止在嘉陵江流域河湖管理范围内倾倒、填埋、堆放、弃置、处理固体废物。</w:t>
                  </w:r>
                </w:p>
              </w:tc>
              <w:tc>
                <w:tcPr>
                  <w:tcW w:w="177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60" w:lineRule="exact"/>
                    <w:jc w:val="left"/>
                    <w:rPr>
                      <w:kern w:val="0"/>
                      <w:sz w:val="15"/>
                      <w:szCs w:val="18"/>
                    </w:rPr>
                  </w:pPr>
                  <w:r>
                    <w:rPr>
                      <w:rFonts w:ascii="宋体" w:hAnsi="宋体"/>
                      <w:kern w:val="0"/>
                      <w:sz w:val="15"/>
                      <w:szCs w:val="18"/>
                    </w:rPr>
                    <w:t>本项目为煤炭堆场项目，不涉及倾倒、填埋、堆放、弃置、处理固体废物</w:t>
                  </w:r>
                  <w:r>
                    <w:rPr>
                      <w:rFonts w:hint="eastAsia" w:ascii="宋体" w:hAnsi="宋体"/>
                      <w:kern w:val="0"/>
                      <w:sz w:val="15"/>
                      <w:szCs w:val="18"/>
                      <w:lang w:eastAsia="zh-CN"/>
                    </w:rPr>
                    <w:t>。</w:t>
                  </w:r>
                </w:p>
              </w:tc>
              <w:tc>
                <w:tcPr>
                  <w:tcW w:w="5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8"/>
                    </w:rPr>
                  </w:pPr>
                  <w:r>
                    <w:rPr>
                      <w:rFonts w:ascii="宋体" w:hAnsi="宋体"/>
                      <w:sz w:val="15"/>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 w:hRule="atLeast"/>
                <w:jc w:val="center"/>
              </w:trPr>
              <w:tc>
                <w:tcPr>
                  <w:tcW w:w="4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8"/>
                    </w:rPr>
                  </w:pPr>
                  <w:r>
                    <w:rPr>
                      <w:sz w:val="15"/>
                      <w:szCs w:val="18"/>
                    </w:rPr>
                    <w:t>4</w:t>
                  </w:r>
                </w:p>
              </w:tc>
              <w:tc>
                <w:tcPr>
                  <w:tcW w:w="40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left"/>
                    <w:rPr>
                      <w:bCs/>
                      <w:spacing w:val="-2"/>
                      <w:sz w:val="15"/>
                      <w:szCs w:val="18"/>
                    </w:rPr>
                  </w:pPr>
                  <w:r>
                    <w:rPr>
                      <w:rFonts w:ascii="宋体" w:hAnsi="宋体"/>
                      <w:bCs/>
                      <w:spacing w:val="-2"/>
                      <w:sz w:val="15"/>
                      <w:szCs w:val="18"/>
                    </w:rPr>
                    <w:t>第七十七条</w:t>
                  </w:r>
                  <w:r>
                    <w:rPr>
                      <w:bCs/>
                      <w:spacing w:val="-2"/>
                      <w:sz w:val="15"/>
                      <w:szCs w:val="18"/>
                    </w:rPr>
                    <w:t xml:space="preserve"> </w:t>
                  </w:r>
                  <w:r>
                    <w:rPr>
                      <w:rFonts w:ascii="宋体" w:hAnsi="宋体"/>
                      <w:bCs/>
                      <w:spacing w:val="-2"/>
                      <w:sz w:val="15"/>
                      <w:szCs w:val="18"/>
                    </w:rPr>
                    <w:t>嘉陵江流域产业结构和布局应当与流域生态系统和资源环境承载能力相适应。禁止在嘉陵江流域重点生态功能区布局对生态系统有严重影响的产业。禁止重污染企业和项目向嘉陵江流域转移。</w:t>
                  </w:r>
                </w:p>
              </w:tc>
              <w:tc>
                <w:tcPr>
                  <w:tcW w:w="177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left"/>
                    <w:rPr>
                      <w:bCs/>
                      <w:sz w:val="15"/>
                      <w:szCs w:val="18"/>
                    </w:rPr>
                  </w:pPr>
                  <w:r>
                    <w:rPr>
                      <w:rFonts w:ascii="宋体" w:hAnsi="宋体"/>
                      <w:bCs/>
                      <w:sz w:val="15"/>
                      <w:szCs w:val="18"/>
                    </w:rPr>
                    <w:t>本项目为</w:t>
                  </w:r>
                  <w:r>
                    <w:rPr>
                      <w:rFonts w:hint="eastAsia" w:ascii="宋体" w:hAnsi="宋体"/>
                      <w:bCs/>
                      <w:sz w:val="15"/>
                      <w:szCs w:val="18"/>
                    </w:rPr>
                    <w:t>储煤棚建设项目</w:t>
                  </w:r>
                  <w:r>
                    <w:rPr>
                      <w:rFonts w:ascii="宋体" w:hAnsi="宋体"/>
                      <w:bCs/>
                      <w:sz w:val="15"/>
                      <w:szCs w:val="18"/>
                    </w:rPr>
                    <w:t>，营运期生产废水回用不外排，不属于重污染企业和项目。</w:t>
                  </w:r>
                </w:p>
              </w:tc>
              <w:tc>
                <w:tcPr>
                  <w:tcW w:w="5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8"/>
                    </w:rPr>
                  </w:pPr>
                  <w:r>
                    <w:rPr>
                      <w:rFonts w:ascii="宋体" w:hAnsi="宋体"/>
                      <w:sz w:val="15"/>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 w:hRule="atLeast"/>
                <w:jc w:val="center"/>
              </w:trPr>
              <w:tc>
                <w:tcPr>
                  <w:tcW w:w="4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8"/>
                    </w:rPr>
                  </w:pPr>
                  <w:r>
                    <w:rPr>
                      <w:sz w:val="15"/>
                      <w:szCs w:val="18"/>
                    </w:rPr>
                    <w:t>5</w:t>
                  </w:r>
                </w:p>
              </w:tc>
              <w:tc>
                <w:tcPr>
                  <w:tcW w:w="40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60" w:lineRule="exact"/>
                    <w:jc w:val="left"/>
                    <w:rPr>
                      <w:kern w:val="0"/>
                      <w:sz w:val="15"/>
                      <w:szCs w:val="18"/>
                    </w:rPr>
                  </w:pPr>
                  <w:r>
                    <w:rPr>
                      <w:rFonts w:ascii="宋体" w:hAnsi="宋体"/>
                      <w:kern w:val="0"/>
                      <w:sz w:val="15"/>
                      <w:szCs w:val="18"/>
                    </w:rPr>
                    <w:t>第八十条</w:t>
                  </w:r>
                  <w:r>
                    <w:rPr>
                      <w:kern w:val="0"/>
                      <w:sz w:val="15"/>
                      <w:szCs w:val="18"/>
                    </w:rPr>
                    <w:t xml:space="preserve"> </w:t>
                  </w:r>
                  <w:r>
                    <w:rPr>
                      <w:rFonts w:ascii="宋体" w:hAnsi="宋体"/>
                      <w:kern w:val="0"/>
                      <w:sz w:val="15"/>
                      <w:szCs w:val="18"/>
                    </w:rPr>
                    <w:t>限期禁止生产、销售、进口、使用、转让严重污染水环境的工艺和设备。</w:t>
                  </w:r>
                </w:p>
              </w:tc>
              <w:tc>
                <w:tcPr>
                  <w:tcW w:w="177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60" w:lineRule="exact"/>
                    <w:jc w:val="left"/>
                    <w:rPr>
                      <w:kern w:val="0"/>
                      <w:sz w:val="15"/>
                      <w:szCs w:val="18"/>
                    </w:rPr>
                  </w:pPr>
                  <w:r>
                    <w:rPr>
                      <w:rFonts w:ascii="宋体" w:hAnsi="宋体"/>
                      <w:kern w:val="0"/>
                      <w:sz w:val="15"/>
                      <w:szCs w:val="18"/>
                    </w:rPr>
                    <w:t>项目所用的设备、工艺不属于严重污染水环境的工艺和设备。</w:t>
                  </w:r>
                </w:p>
              </w:tc>
              <w:tc>
                <w:tcPr>
                  <w:tcW w:w="5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8"/>
                    </w:rPr>
                  </w:pPr>
                  <w:r>
                    <w:rPr>
                      <w:rFonts w:ascii="宋体" w:hAnsi="宋体"/>
                      <w:sz w:val="15"/>
                      <w:szCs w:val="18"/>
                    </w:rPr>
                    <w:t>符合</w:t>
                  </w:r>
                </w:p>
              </w:tc>
            </w:tr>
          </w:tbl>
          <w:p>
            <w:pPr>
              <w:autoSpaceDE w:val="0"/>
              <w:autoSpaceDN w:val="0"/>
              <w:adjustRightInd w:val="0"/>
              <w:snapToGrid w:val="0"/>
              <w:spacing w:line="400" w:lineRule="exact"/>
              <w:jc w:val="left"/>
              <w:rPr>
                <w:rFonts w:eastAsia="黑体"/>
                <w:bCs/>
                <w:szCs w:val="21"/>
              </w:rPr>
            </w:pPr>
            <w:r>
              <w:rPr>
                <w:rFonts w:hint="eastAsia" w:eastAsia="黑体"/>
                <w:bCs/>
                <w:szCs w:val="21"/>
              </w:rPr>
              <w:t>7、外环境关系介绍</w:t>
            </w:r>
          </w:p>
          <w:p>
            <w:pPr>
              <w:autoSpaceDE w:val="0"/>
              <w:autoSpaceDN w:val="0"/>
              <w:adjustRightInd w:val="0"/>
              <w:snapToGrid w:val="0"/>
              <w:spacing w:line="400" w:lineRule="exact"/>
              <w:ind w:firstLine="420" w:firstLineChars="200"/>
              <w:jc w:val="left"/>
              <w:rPr>
                <w:bCs/>
                <w:szCs w:val="21"/>
              </w:rPr>
            </w:pPr>
            <w:r>
              <w:rPr>
                <w:rFonts w:hint="eastAsia"/>
                <w:bCs/>
                <w:szCs w:val="21"/>
              </w:rPr>
              <w:t>根据现场踏勘，本项目</w:t>
            </w:r>
            <w:r>
              <w:rPr>
                <w:bCs/>
                <w:szCs w:val="21"/>
              </w:rPr>
              <w:t>位于达州市通川区东岳新型工业集聚区，租用</w:t>
            </w:r>
            <w:r>
              <w:rPr>
                <w:rFonts w:hint="eastAsia"/>
                <w:bCs/>
                <w:szCs w:val="21"/>
              </w:rPr>
              <w:t>东岳镇兴盛社区4组</w:t>
            </w:r>
            <w:r>
              <w:rPr>
                <w:bCs/>
                <w:szCs w:val="21"/>
              </w:rPr>
              <w:t>的闲置场地建设，</w:t>
            </w:r>
            <w:r>
              <w:rPr>
                <w:rFonts w:hint="eastAsia"/>
                <w:bCs/>
                <w:szCs w:val="21"/>
              </w:rPr>
              <w:t>其外环境关系介绍如下：</w:t>
            </w:r>
          </w:p>
          <w:p>
            <w:pPr>
              <w:autoSpaceDE w:val="0"/>
              <w:autoSpaceDN w:val="0"/>
              <w:adjustRightInd w:val="0"/>
              <w:snapToGrid w:val="0"/>
              <w:spacing w:line="400" w:lineRule="exact"/>
              <w:ind w:firstLine="420" w:firstLineChars="200"/>
              <w:jc w:val="left"/>
              <w:rPr>
                <w:bCs/>
                <w:szCs w:val="21"/>
              </w:rPr>
            </w:pPr>
            <w:r>
              <w:rPr>
                <w:rFonts w:hint="eastAsia"/>
                <w:bCs/>
                <w:szCs w:val="21"/>
              </w:rPr>
              <w:t>项目东面为紧邻金安杆塔公司厂区。项目南面为东岳电厂。项目西面为坡下相距12m为魏复路；西面为大片农田，以西相距120m有4户住户；以西相距约250m为襄渝铁路。项目北面相距45m有1户住户，相距140m有2户住户，北面相距约325m处有6户住户。</w:t>
            </w:r>
          </w:p>
          <w:p>
            <w:pPr>
              <w:autoSpaceDE w:val="0"/>
              <w:autoSpaceDN w:val="0"/>
              <w:adjustRightInd w:val="0"/>
              <w:snapToGrid w:val="0"/>
              <w:spacing w:line="400" w:lineRule="exact"/>
              <w:ind w:firstLine="420" w:firstLineChars="200"/>
              <w:jc w:val="left"/>
              <w:rPr>
                <w:bCs/>
                <w:szCs w:val="21"/>
              </w:rPr>
            </w:pPr>
            <w:r>
              <w:rPr>
                <w:rFonts w:hint="eastAsia"/>
                <w:bCs/>
                <w:szCs w:val="21"/>
              </w:rPr>
              <w:t>与项目有关的地表水体为</w:t>
            </w:r>
            <w:r>
              <w:rPr>
                <w:bCs/>
                <w:szCs w:val="21"/>
              </w:rPr>
              <w:t>西面小河沟</w:t>
            </w:r>
            <w:r>
              <w:rPr>
                <w:rFonts w:hint="eastAsia"/>
                <w:bCs/>
                <w:szCs w:val="21"/>
              </w:rPr>
              <w:t>及双龙河</w:t>
            </w:r>
            <w:r>
              <w:rPr>
                <w:bCs/>
                <w:szCs w:val="21"/>
              </w:rPr>
              <w:t>，</w:t>
            </w:r>
            <w:r>
              <w:rPr>
                <w:rFonts w:hint="eastAsia"/>
                <w:bCs/>
                <w:szCs w:val="21"/>
              </w:rPr>
              <w:t>小河沟</w:t>
            </w:r>
            <w:r>
              <w:rPr>
                <w:bCs/>
                <w:szCs w:val="21"/>
              </w:rPr>
              <w:t>与项目直线距离最近约</w:t>
            </w:r>
            <w:r>
              <w:rPr>
                <w:rFonts w:hint="eastAsia"/>
                <w:bCs/>
                <w:szCs w:val="21"/>
              </w:rPr>
              <w:t>22</w:t>
            </w:r>
            <w:r>
              <w:rPr>
                <w:bCs/>
                <w:szCs w:val="21"/>
              </w:rPr>
              <w:t>m。双龙河位于项目南面，直线距离最近约</w:t>
            </w:r>
            <w:r>
              <w:rPr>
                <w:rFonts w:hint="eastAsia"/>
                <w:bCs/>
                <w:szCs w:val="21"/>
              </w:rPr>
              <w:t>1460</w:t>
            </w:r>
            <w:r>
              <w:rPr>
                <w:bCs/>
                <w:szCs w:val="21"/>
              </w:rPr>
              <w:t>m。</w:t>
            </w:r>
          </w:p>
          <w:p>
            <w:pPr>
              <w:autoSpaceDE w:val="0"/>
              <w:autoSpaceDN w:val="0"/>
              <w:adjustRightInd w:val="0"/>
              <w:snapToGrid w:val="0"/>
              <w:spacing w:line="400" w:lineRule="exact"/>
              <w:jc w:val="left"/>
              <w:rPr>
                <w:rFonts w:eastAsia="黑体"/>
                <w:bCs/>
                <w:szCs w:val="21"/>
              </w:rPr>
            </w:pPr>
            <w:r>
              <w:rPr>
                <w:rFonts w:hint="eastAsia" w:eastAsia="黑体"/>
                <w:bCs/>
                <w:szCs w:val="21"/>
              </w:rPr>
              <w:t>9、选址合理性分析</w:t>
            </w:r>
          </w:p>
          <w:p>
            <w:pPr>
              <w:autoSpaceDE w:val="0"/>
              <w:autoSpaceDN w:val="0"/>
              <w:adjustRightInd w:val="0"/>
              <w:snapToGrid w:val="0"/>
              <w:spacing w:line="400" w:lineRule="exact"/>
              <w:ind w:firstLine="420" w:firstLineChars="200"/>
              <w:jc w:val="left"/>
              <w:rPr>
                <w:bCs/>
                <w:szCs w:val="21"/>
              </w:rPr>
            </w:pPr>
            <w:r>
              <w:rPr>
                <w:rFonts w:hint="eastAsia"/>
                <w:bCs/>
                <w:szCs w:val="21"/>
              </w:rPr>
              <w:t>本项目位于达州市通川区东岳新型工业集聚区，其选址合理性在于：</w:t>
            </w:r>
          </w:p>
          <w:p>
            <w:pPr>
              <w:autoSpaceDE w:val="0"/>
              <w:autoSpaceDN w:val="0"/>
              <w:adjustRightInd w:val="0"/>
              <w:snapToGrid w:val="0"/>
              <w:spacing w:line="400" w:lineRule="exact"/>
              <w:ind w:firstLine="420" w:firstLineChars="200"/>
              <w:jc w:val="left"/>
              <w:rPr>
                <w:bCs/>
                <w:szCs w:val="21"/>
              </w:rPr>
            </w:pPr>
            <w:r>
              <w:rPr>
                <w:rFonts w:hint="eastAsia"/>
                <w:bCs/>
                <w:szCs w:val="21"/>
              </w:rPr>
              <w:t>（1）项目符合《达州市通川区东岳新型工业集聚区》功能定位，不属于禁止及限制入驻企业类型，属于准许进入行业；与集聚区功能分区也是相容的。项目与达州市通川区东岳新型工业集聚区规划总体是相容的。</w:t>
            </w:r>
          </w:p>
          <w:p>
            <w:pPr>
              <w:autoSpaceDE w:val="0"/>
              <w:autoSpaceDN w:val="0"/>
              <w:adjustRightInd w:val="0"/>
              <w:snapToGrid w:val="0"/>
              <w:spacing w:line="400" w:lineRule="exact"/>
              <w:ind w:firstLine="420" w:firstLineChars="200"/>
              <w:jc w:val="left"/>
              <w:rPr>
                <w:bCs/>
                <w:szCs w:val="21"/>
              </w:rPr>
            </w:pPr>
            <w:r>
              <w:rPr>
                <w:rFonts w:hint="eastAsia"/>
                <w:bCs/>
                <w:szCs w:val="21"/>
              </w:rPr>
              <w:t>（2）项目占地不涉及生态保护红线、污染物排放满足环境质量底线要求、能源消耗不会突破区域资源利用上线</w:t>
            </w:r>
            <w:r>
              <w:rPr>
                <w:rFonts w:hint="eastAsia"/>
                <w:bCs/>
                <w:szCs w:val="21"/>
                <w:lang w:eastAsia="zh-CN"/>
              </w:rPr>
              <w:t>，也</w:t>
            </w:r>
            <w:r>
              <w:rPr>
                <w:rFonts w:hint="eastAsia"/>
                <w:bCs/>
                <w:szCs w:val="21"/>
              </w:rPr>
              <w:t>不属于区域环境准入负面清单的行业，符合“三线一单”管理机制要求。本项目位于工业园区，周边主要是火电厂、门窗生产企业、石材加工厂等，无食品医药等敏感企业存在，项目与周边企业是相容的。</w:t>
            </w:r>
          </w:p>
          <w:p>
            <w:pPr>
              <w:autoSpaceDE w:val="0"/>
              <w:autoSpaceDN w:val="0"/>
              <w:adjustRightInd w:val="0"/>
              <w:snapToGrid w:val="0"/>
              <w:spacing w:line="400" w:lineRule="exact"/>
              <w:ind w:firstLine="420" w:firstLineChars="200"/>
              <w:jc w:val="left"/>
              <w:rPr>
                <w:bCs/>
                <w:szCs w:val="21"/>
              </w:rPr>
            </w:pPr>
            <w:r>
              <w:rPr>
                <w:rFonts w:hint="eastAsia"/>
                <w:bCs/>
                <w:szCs w:val="21"/>
              </w:rPr>
              <w:t>（3）项目区环境空气质量区划为二类区，执行《环境空气质量标准》（GB3095-2012）的二级标准；项目周边地表水体为双龙河，双龙河水质执行《地表水环境质量标准》（GB3838-2002）Ⅲ类水域标准。声环境功能执行《声环境质量标准》（GB3096-2008）中2类、4a类区标准。本项目环境质量现状调查表明，项目区域环境空气为达标区，声环境、地表水环境质量现状均能满足其功能区要求；项目营运后，采取相应的废气治理措施，废气污染物排放量较小，不会对周围环境空气造成污染影响；生产废水循环利用，无生产废水外排；生产噪声可以达标排放。经预测分析，项目建成后对区域环境影响较小，不会改变区域环境功能类别，与区域环境相容。</w:t>
            </w:r>
          </w:p>
          <w:p>
            <w:pPr>
              <w:autoSpaceDE w:val="0"/>
              <w:autoSpaceDN w:val="0"/>
              <w:adjustRightInd w:val="0"/>
              <w:snapToGrid w:val="0"/>
              <w:spacing w:line="400" w:lineRule="exact"/>
              <w:ind w:firstLine="420" w:firstLineChars="200"/>
              <w:jc w:val="left"/>
              <w:rPr>
                <w:bCs/>
                <w:szCs w:val="21"/>
              </w:rPr>
            </w:pPr>
            <w:r>
              <w:rPr>
                <w:rFonts w:hint="eastAsia"/>
                <w:bCs/>
                <w:szCs w:val="21"/>
              </w:rPr>
              <w:t>（4）项目位于工业园区，周边规划用地也均为工业用地。项目周边多为东岳电厂、金安杆塔等工业企业；四周无食品、医药等敏感企业存在，本项目生产不会对周围企业的正常生产造成较大影响，周围企业生产也不会影响本项目的正常生产。因此，本项目与周围环境是相容的。</w:t>
            </w:r>
          </w:p>
          <w:p>
            <w:pPr>
              <w:autoSpaceDE w:val="0"/>
              <w:autoSpaceDN w:val="0"/>
              <w:adjustRightInd w:val="0"/>
              <w:snapToGrid w:val="0"/>
              <w:spacing w:line="400" w:lineRule="exact"/>
              <w:ind w:firstLine="420" w:firstLineChars="200"/>
              <w:jc w:val="left"/>
              <w:rPr>
                <w:bCs/>
                <w:szCs w:val="21"/>
              </w:rPr>
            </w:pPr>
            <w:r>
              <w:rPr>
                <w:rFonts w:hint="eastAsia"/>
                <w:bCs/>
                <w:szCs w:val="21"/>
              </w:rPr>
              <w:t>综上分析，评价认为本项目选址较为合理。</w:t>
            </w: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keepNext/>
              <w:spacing w:after="0" w:line="100" w:lineRule="exact"/>
            </w:pPr>
          </w:p>
          <w:p>
            <w:pPr>
              <w:pStyle w:val="15"/>
              <w:keepNext/>
              <w:spacing w:after="0" w:line="100" w:lineRule="exact"/>
            </w:pPr>
          </w:p>
          <w:p>
            <w:pPr>
              <w:pStyle w:val="15"/>
              <w:keepNext/>
              <w:spacing w:after="0" w:line="100" w:lineRule="exact"/>
            </w:pPr>
          </w:p>
          <w:p>
            <w:pPr>
              <w:pStyle w:val="15"/>
              <w:keepNext/>
              <w:spacing w:after="0" w:line="100" w:lineRule="exact"/>
            </w:pPr>
          </w:p>
          <w:p>
            <w:pPr>
              <w:pStyle w:val="15"/>
              <w:keepNext/>
              <w:spacing w:after="0" w:line="100" w:lineRule="exact"/>
            </w:pPr>
          </w:p>
          <w:p>
            <w:pPr>
              <w:pStyle w:val="15"/>
              <w:keepNext/>
              <w:spacing w:after="0" w:line="100" w:lineRule="exact"/>
            </w:pPr>
          </w:p>
          <w:p>
            <w:pPr>
              <w:pStyle w:val="15"/>
              <w:keepNext/>
              <w:spacing w:after="0" w:line="100" w:lineRule="exact"/>
            </w:pPr>
          </w:p>
          <w:p>
            <w:pPr>
              <w:pStyle w:val="15"/>
              <w:keepNext/>
              <w:spacing w:after="0" w:line="100" w:lineRule="exact"/>
            </w:pPr>
          </w:p>
          <w:p>
            <w:pPr>
              <w:pStyle w:val="15"/>
              <w:keepNext/>
              <w:spacing w:after="0" w:line="100" w:lineRule="exact"/>
            </w:pPr>
          </w:p>
          <w:p>
            <w:pPr>
              <w:pStyle w:val="15"/>
              <w:keepNext/>
              <w:spacing w:after="0" w:line="100" w:lineRule="exact"/>
            </w:pPr>
          </w:p>
          <w:p>
            <w:pPr>
              <w:pStyle w:val="15"/>
              <w:keepNext/>
              <w:spacing w:after="0" w:line="100" w:lineRule="exact"/>
            </w:pPr>
          </w:p>
          <w:p>
            <w:pPr>
              <w:pStyle w:val="15"/>
              <w:keepNext/>
              <w:spacing w:after="0" w:line="100" w:lineRule="exact"/>
            </w:pPr>
          </w:p>
          <w:p>
            <w:pPr>
              <w:pStyle w:val="15"/>
              <w:keepNext/>
              <w:spacing w:after="0" w:line="100" w:lineRule="exact"/>
            </w:pPr>
          </w:p>
          <w:p>
            <w:pPr>
              <w:pStyle w:val="15"/>
              <w:keepNext/>
              <w:spacing w:after="0" w:line="100" w:lineRule="exact"/>
            </w:pPr>
          </w:p>
          <w:p>
            <w:pPr>
              <w:pStyle w:val="15"/>
              <w:keepNext/>
              <w:spacing w:after="0" w:line="100" w:lineRule="exact"/>
            </w:pPr>
          </w:p>
          <w:p>
            <w:pPr>
              <w:pStyle w:val="15"/>
              <w:keepNext/>
              <w:spacing w:after="0" w:line="100" w:lineRule="exact"/>
            </w:pPr>
          </w:p>
          <w:p>
            <w:pPr>
              <w:pStyle w:val="15"/>
              <w:keepNext/>
              <w:spacing w:after="0" w:line="100" w:lineRule="exact"/>
            </w:pPr>
          </w:p>
          <w:p>
            <w:pPr>
              <w:pStyle w:val="15"/>
              <w:keepNext/>
              <w:spacing w:after="0" w:line="100" w:lineRule="exact"/>
            </w:pPr>
          </w:p>
          <w:p>
            <w:pPr>
              <w:pStyle w:val="15"/>
              <w:keepNext/>
              <w:spacing w:after="0" w:line="100" w:lineRule="exact"/>
            </w:pPr>
          </w:p>
          <w:p>
            <w:pPr>
              <w:pStyle w:val="15"/>
              <w:keepNext/>
              <w:spacing w:after="0" w:line="100" w:lineRule="exact"/>
            </w:pPr>
          </w:p>
          <w:p>
            <w:pPr>
              <w:pStyle w:val="15"/>
              <w:keepNext/>
              <w:spacing w:after="0" w:line="100" w:lineRule="exact"/>
            </w:pPr>
          </w:p>
          <w:p>
            <w:pPr>
              <w:pStyle w:val="15"/>
              <w:keepNext/>
              <w:spacing w:after="0" w:line="100" w:lineRule="exact"/>
            </w:pPr>
          </w:p>
          <w:p>
            <w:pPr>
              <w:pStyle w:val="15"/>
              <w:keepNext/>
              <w:spacing w:after="0" w:line="100" w:lineRule="exact"/>
            </w:pPr>
          </w:p>
          <w:p>
            <w:pPr>
              <w:pStyle w:val="15"/>
              <w:keepNext/>
              <w:spacing w:after="0" w:line="100" w:lineRule="exact"/>
            </w:pPr>
          </w:p>
        </w:tc>
      </w:tr>
    </w:tbl>
    <w:p>
      <w:pPr>
        <w:pStyle w:val="19"/>
        <w:jc w:val="center"/>
        <w:outlineLvl w:val="0"/>
        <w:rPr>
          <w:rFonts w:ascii="Times New Roman" w:hAnsi="Times New Roman" w:eastAsia="黑体" w:cs="Times New Roman"/>
          <w:snapToGrid w:val="0"/>
          <w:kern w:val="0"/>
          <w:sz w:val="30"/>
          <w:szCs w:val="30"/>
        </w:rPr>
      </w:pPr>
      <w:r>
        <w:rPr>
          <w:rFonts w:ascii="Times New Roman" w:hAnsi="Times New Roman" w:eastAsia="黑体" w:cs="Times New Roman"/>
          <w:snapToGrid w:val="0"/>
          <w:sz w:val="30"/>
          <w:szCs w:val="30"/>
        </w:rPr>
        <w:t>二、建设项目工程分析</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8"/>
        <w:gridCol w:w="80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89" w:hRule="atLeast"/>
          <w:jc w:val="center"/>
        </w:trPr>
        <w:tc>
          <w:tcPr>
            <w:tcW w:w="718" w:type="dxa"/>
            <w:tcBorders>
              <w:top w:val="single" w:color="auto" w:sz="8" w:space="0"/>
              <w:left w:val="single" w:color="auto" w:sz="8" w:space="0"/>
              <w:bottom w:val="single" w:color="auto" w:sz="4" w:space="0"/>
              <w:right w:val="single" w:color="auto" w:sz="4" w:space="0"/>
            </w:tcBorders>
            <w:vAlign w:val="center"/>
          </w:tcPr>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建设内容</w:t>
            </w: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建设内容</w:t>
            </w: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建设内容</w:t>
            </w: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建设内容</w:t>
            </w: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建设内容</w:t>
            </w: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tc>
        <w:tc>
          <w:tcPr>
            <w:tcW w:w="8089" w:type="dxa"/>
            <w:tcBorders>
              <w:top w:val="single" w:color="auto" w:sz="8" w:space="0"/>
              <w:left w:val="single" w:color="auto" w:sz="4" w:space="0"/>
              <w:bottom w:val="single" w:color="auto" w:sz="4" w:space="0"/>
              <w:right w:val="single" w:color="auto" w:sz="8" w:space="0"/>
            </w:tcBorders>
          </w:tcPr>
          <w:p>
            <w:pPr>
              <w:adjustRightInd w:val="0"/>
              <w:snapToGrid w:val="0"/>
              <w:spacing w:line="400" w:lineRule="exact"/>
              <w:ind w:left="-53" w:leftChars="-25" w:right="-53" w:rightChars="-25"/>
              <w:jc w:val="left"/>
              <w:rPr>
                <w:rFonts w:eastAsia="黑体"/>
                <w:bCs/>
                <w:szCs w:val="21"/>
              </w:rPr>
            </w:pPr>
            <w:r>
              <w:rPr>
                <w:rFonts w:hint="eastAsia" w:eastAsia="黑体"/>
                <w:bCs/>
                <w:szCs w:val="21"/>
              </w:rPr>
              <w:t>1</w:t>
            </w:r>
            <w:r>
              <w:rPr>
                <w:rFonts w:eastAsia="黑体"/>
                <w:bCs/>
                <w:szCs w:val="21"/>
              </w:rPr>
              <w:t>、项目由来</w:t>
            </w:r>
          </w:p>
          <w:p>
            <w:pPr>
              <w:adjustRightInd w:val="0"/>
              <w:snapToGrid w:val="0"/>
              <w:spacing w:line="400" w:lineRule="exact"/>
              <w:ind w:firstLine="420" w:firstLineChars="200"/>
              <w:jc w:val="left"/>
              <w:rPr>
                <w:kern w:val="0"/>
                <w:szCs w:val="21"/>
              </w:rPr>
            </w:pPr>
            <w:r>
              <w:rPr>
                <w:rFonts w:hint="eastAsia"/>
                <w:kern w:val="0"/>
                <w:szCs w:val="21"/>
              </w:rPr>
              <w:t>在经济发展新常态下，国内经济社会发展呈现新趋势，能源革命也提出了新要求，我国煤炭行业发展机遇与挑战并存。随着我国工业化、信息化、城镇化及农业现代化持续推进，能源需求仍保持增长，煤炭作为我国能源的主体地位尚未改变。</w:t>
            </w:r>
          </w:p>
          <w:p>
            <w:pPr>
              <w:adjustRightInd w:val="0"/>
              <w:snapToGrid w:val="0"/>
              <w:spacing w:line="400" w:lineRule="exact"/>
              <w:ind w:firstLine="420" w:firstLineChars="200"/>
              <w:jc w:val="left"/>
              <w:rPr>
                <w:kern w:val="0"/>
                <w:szCs w:val="21"/>
              </w:rPr>
            </w:pPr>
            <w:r>
              <w:rPr>
                <w:rFonts w:hint="eastAsia"/>
                <w:kern w:val="0"/>
                <w:szCs w:val="21"/>
              </w:rPr>
              <w:t>四川川煤华荣开源贸易有限责任公司（以下简称“川煤开源公司”）成立于1992年8月12日，主营煤炭及制品销售。川煤开源公司拟在通川区东岳镇兴盛社区4组建设封闭式煤炭储棚项目。本项目总占地面积7.8亩，储煤棚建筑面积约2200m</w:t>
            </w:r>
            <w:r>
              <w:rPr>
                <w:rFonts w:hint="eastAsia"/>
                <w:kern w:val="0"/>
                <w:szCs w:val="21"/>
                <w:vertAlign w:val="superscript"/>
              </w:rPr>
              <w:t>2</w:t>
            </w:r>
            <w:r>
              <w:rPr>
                <w:rFonts w:hint="eastAsia"/>
                <w:kern w:val="0"/>
                <w:szCs w:val="21"/>
              </w:rPr>
              <w:t>，最大库容约8800吨。</w:t>
            </w:r>
          </w:p>
          <w:p>
            <w:pPr>
              <w:adjustRightInd w:val="0"/>
              <w:snapToGrid w:val="0"/>
              <w:spacing w:line="400" w:lineRule="exact"/>
              <w:ind w:firstLine="420" w:firstLineChars="200"/>
              <w:jc w:val="left"/>
              <w:rPr>
                <w:kern w:val="0"/>
                <w:szCs w:val="21"/>
              </w:rPr>
            </w:pPr>
            <w:r>
              <w:rPr>
                <w:rFonts w:hint="eastAsia"/>
                <w:kern w:val="0"/>
                <w:szCs w:val="21"/>
              </w:rPr>
              <w:t>根据调查，本项目建设区域原为自然人李林均投资建设的露天煤坝，最早建于2013年左右，后因经营不善于2020年倒闭。该堆煤场内煤炭堆放区域仅设有防雨设施，四周未围挡封闭设施及喷雾降尘设施，污染治理措施不满足要求。川煤开源公司于2020年11月通过转租取得该堆煤场的经营权，项目已于2020年11月建成投运。但目前处于停产状态。</w:t>
            </w:r>
          </w:p>
          <w:p>
            <w:pPr>
              <w:adjustRightInd w:val="0"/>
              <w:snapToGrid w:val="0"/>
              <w:spacing w:line="400" w:lineRule="exact"/>
              <w:ind w:firstLine="420" w:firstLineChars="200"/>
              <w:jc w:val="left"/>
              <w:rPr>
                <w:kern w:val="0"/>
                <w:szCs w:val="21"/>
              </w:rPr>
            </w:pPr>
            <w:r>
              <w:rPr>
                <w:rFonts w:hint="eastAsia"/>
                <w:kern w:val="0"/>
                <w:szCs w:val="21"/>
              </w:rPr>
              <w:t>经现场踏勘，目前该项目仍未完成堆煤棚的封闭围挡改造。本次环保改造实施后，拟将现有堆棚建设为封闭式储煤棚，棚内配套相应的防尘喷雾设施，可有效规范污染治理设施，降低项目营运对周边环境的污染影响，具有一定的环境正效益。根据《建设项目环境影响评价分类管理名录（2021年版）》，该项目属于其中“四、煤炭开采和洗选业”中“6  烟煤和无烟煤开采洗选；褐煤开采洗选；其他煤炭采选”类别，不涉及煤炭开采，其环评类别为编制环境影响报告表。</w:t>
            </w:r>
          </w:p>
          <w:p>
            <w:pPr>
              <w:adjustRightInd w:val="0"/>
              <w:snapToGrid w:val="0"/>
              <w:spacing w:line="400" w:lineRule="exact"/>
              <w:ind w:left="-53" w:leftChars="-25" w:right="-53" w:rightChars="-25"/>
              <w:jc w:val="left"/>
              <w:rPr>
                <w:rFonts w:eastAsia="黑体"/>
                <w:bCs/>
                <w:szCs w:val="21"/>
              </w:rPr>
            </w:pPr>
            <w:r>
              <w:rPr>
                <w:rFonts w:hint="eastAsia" w:eastAsia="黑体"/>
                <w:bCs/>
                <w:szCs w:val="21"/>
              </w:rPr>
              <w:t>2</w:t>
            </w:r>
            <w:r>
              <w:rPr>
                <w:rFonts w:eastAsia="黑体"/>
                <w:bCs/>
                <w:szCs w:val="21"/>
              </w:rPr>
              <w:t>、建设内容</w:t>
            </w:r>
          </w:p>
          <w:p>
            <w:pPr>
              <w:autoSpaceDE w:val="0"/>
              <w:autoSpaceDN w:val="0"/>
              <w:adjustRightInd w:val="0"/>
              <w:snapToGrid w:val="0"/>
              <w:spacing w:line="400" w:lineRule="exact"/>
              <w:ind w:firstLine="420" w:firstLineChars="200"/>
              <w:rPr>
                <w:szCs w:val="28"/>
              </w:rPr>
            </w:pPr>
            <w:r>
              <w:rPr>
                <w:szCs w:val="28"/>
              </w:rPr>
              <w:t>项目占地面积</w:t>
            </w:r>
            <w:r>
              <w:rPr>
                <w:rFonts w:hint="eastAsia"/>
                <w:szCs w:val="28"/>
              </w:rPr>
              <w:t>7.8</w:t>
            </w:r>
            <w:r>
              <w:rPr>
                <w:szCs w:val="28"/>
              </w:rPr>
              <w:t>亩</w:t>
            </w:r>
            <w:r>
              <w:rPr>
                <w:rFonts w:hint="eastAsia"/>
                <w:szCs w:val="28"/>
              </w:rPr>
              <w:t>（5202.6m</w:t>
            </w:r>
            <w:r>
              <w:rPr>
                <w:rFonts w:hint="eastAsia"/>
                <w:szCs w:val="28"/>
                <w:vertAlign w:val="superscript"/>
              </w:rPr>
              <w:t>2</w:t>
            </w:r>
            <w:r>
              <w:rPr>
                <w:rFonts w:hint="eastAsia"/>
                <w:szCs w:val="28"/>
              </w:rPr>
              <w:t>）</w:t>
            </w:r>
            <w:r>
              <w:rPr>
                <w:szCs w:val="28"/>
              </w:rPr>
              <w:t>，封闭式储煤棚建筑面积约</w:t>
            </w:r>
            <w:r>
              <w:rPr>
                <w:rFonts w:hint="eastAsia"/>
                <w:szCs w:val="28"/>
              </w:rPr>
              <w:t>2200m</w:t>
            </w:r>
            <w:r>
              <w:rPr>
                <w:rFonts w:hint="eastAsia"/>
                <w:szCs w:val="28"/>
                <w:vertAlign w:val="superscript"/>
              </w:rPr>
              <w:t>2</w:t>
            </w:r>
            <w:r>
              <w:rPr>
                <w:rFonts w:hint="eastAsia"/>
                <w:szCs w:val="28"/>
              </w:rPr>
              <w:t>，进场道路、值班房及废水沉淀池等设施占地约900m</w:t>
            </w:r>
            <w:r>
              <w:rPr>
                <w:rFonts w:hint="eastAsia"/>
                <w:szCs w:val="28"/>
                <w:vertAlign w:val="superscript"/>
              </w:rPr>
              <w:t>2</w:t>
            </w:r>
            <w:r>
              <w:rPr>
                <w:rFonts w:hint="eastAsia"/>
                <w:szCs w:val="28"/>
              </w:rPr>
              <w:t>、回车区约700m</w:t>
            </w:r>
            <w:r>
              <w:rPr>
                <w:rFonts w:hint="eastAsia"/>
                <w:szCs w:val="28"/>
                <w:vertAlign w:val="superscript"/>
              </w:rPr>
              <w:t>2</w:t>
            </w:r>
            <w:r>
              <w:rPr>
                <w:rFonts w:hint="eastAsia"/>
                <w:szCs w:val="28"/>
              </w:rPr>
              <w:t>等。根据建设单位介绍，项目储煤棚设计最大库容8800吨，平均每月向客户交付煤炭约0.5万吨，年交付量6万吨，储煤棚年吞吐量约12万吨。</w:t>
            </w:r>
            <w:r>
              <w:rPr>
                <w:rFonts w:hint="eastAsia"/>
                <w:b/>
                <w:szCs w:val="28"/>
              </w:rPr>
              <w:t>本项目仅涉及煤炭临时中转堆存，不涉及配煤工艺。</w:t>
            </w:r>
          </w:p>
          <w:p>
            <w:pPr>
              <w:spacing w:line="400" w:lineRule="exact"/>
              <w:ind w:firstLine="420" w:firstLineChars="200"/>
              <w:rPr>
                <w:kern w:val="0"/>
                <w:szCs w:val="21"/>
              </w:rPr>
            </w:pPr>
            <w:r>
              <w:rPr>
                <w:rFonts w:ascii="宋体" w:hAnsi="宋体"/>
                <w:szCs w:val="28"/>
              </w:rPr>
              <w:t>项目组成及可能产生的主要环境问题见</w:t>
            </w:r>
            <w:r>
              <w:rPr>
                <w:rFonts w:hint="eastAsia" w:ascii="宋体" w:hAnsi="宋体"/>
                <w:szCs w:val="28"/>
              </w:rPr>
              <w:t>下</w:t>
            </w:r>
            <w:r>
              <w:rPr>
                <w:rFonts w:ascii="宋体" w:hAnsi="宋体"/>
                <w:szCs w:val="28"/>
              </w:rPr>
              <w:t>表</w:t>
            </w:r>
            <w:r>
              <w:rPr>
                <w:kern w:val="0"/>
                <w:szCs w:val="21"/>
              </w:rPr>
              <w:t>。</w:t>
            </w:r>
          </w:p>
          <w:p>
            <w:pPr>
              <w:autoSpaceDE w:val="0"/>
              <w:autoSpaceDN w:val="0"/>
              <w:adjustRightInd w:val="0"/>
              <w:snapToGrid w:val="0"/>
              <w:spacing w:line="400" w:lineRule="exact"/>
              <w:ind w:firstLine="360" w:firstLineChars="200"/>
              <w:jc w:val="center"/>
              <w:rPr>
                <w:rFonts w:hint="eastAsia" w:eastAsia="黑体"/>
                <w:bCs/>
                <w:sz w:val="18"/>
                <w:szCs w:val="18"/>
              </w:rPr>
            </w:pPr>
          </w:p>
          <w:p>
            <w:pPr>
              <w:autoSpaceDE w:val="0"/>
              <w:autoSpaceDN w:val="0"/>
              <w:adjustRightInd w:val="0"/>
              <w:snapToGrid w:val="0"/>
              <w:spacing w:line="400" w:lineRule="exact"/>
              <w:ind w:firstLine="360" w:firstLineChars="200"/>
              <w:jc w:val="center"/>
              <w:rPr>
                <w:rFonts w:hint="eastAsia" w:eastAsia="黑体"/>
                <w:bCs/>
                <w:sz w:val="18"/>
                <w:szCs w:val="18"/>
              </w:rPr>
            </w:pPr>
          </w:p>
          <w:p>
            <w:pPr>
              <w:autoSpaceDE w:val="0"/>
              <w:autoSpaceDN w:val="0"/>
              <w:adjustRightInd w:val="0"/>
              <w:snapToGrid w:val="0"/>
              <w:spacing w:line="400" w:lineRule="exact"/>
              <w:ind w:firstLine="360" w:firstLineChars="200"/>
              <w:jc w:val="center"/>
              <w:rPr>
                <w:rFonts w:hint="eastAsia" w:eastAsia="黑体"/>
                <w:bCs/>
                <w:sz w:val="18"/>
                <w:szCs w:val="18"/>
              </w:rPr>
            </w:pPr>
          </w:p>
          <w:p>
            <w:pPr>
              <w:autoSpaceDE w:val="0"/>
              <w:autoSpaceDN w:val="0"/>
              <w:adjustRightInd w:val="0"/>
              <w:snapToGrid w:val="0"/>
              <w:spacing w:line="400" w:lineRule="exact"/>
              <w:ind w:firstLine="360" w:firstLineChars="200"/>
              <w:jc w:val="center"/>
              <w:rPr>
                <w:rFonts w:hint="eastAsia" w:eastAsia="黑体"/>
                <w:bCs/>
                <w:sz w:val="18"/>
                <w:szCs w:val="18"/>
              </w:rPr>
            </w:pPr>
          </w:p>
          <w:p>
            <w:pPr>
              <w:autoSpaceDE w:val="0"/>
              <w:autoSpaceDN w:val="0"/>
              <w:adjustRightInd w:val="0"/>
              <w:snapToGrid w:val="0"/>
              <w:spacing w:line="400" w:lineRule="exact"/>
              <w:ind w:firstLine="360" w:firstLineChars="200"/>
              <w:jc w:val="center"/>
              <w:rPr>
                <w:rFonts w:hint="eastAsia" w:eastAsia="黑体"/>
                <w:bCs/>
                <w:sz w:val="18"/>
                <w:szCs w:val="18"/>
              </w:rPr>
            </w:pPr>
          </w:p>
          <w:p>
            <w:pPr>
              <w:autoSpaceDE w:val="0"/>
              <w:autoSpaceDN w:val="0"/>
              <w:adjustRightInd w:val="0"/>
              <w:snapToGrid w:val="0"/>
              <w:spacing w:line="400" w:lineRule="exact"/>
              <w:ind w:firstLine="360" w:firstLineChars="200"/>
              <w:jc w:val="center"/>
              <w:rPr>
                <w:rFonts w:hint="eastAsia" w:eastAsia="黑体"/>
                <w:bCs/>
                <w:sz w:val="18"/>
                <w:szCs w:val="18"/>
              </w:rPr>
            </w:pPr>
          </w:p>
          <w:p>
            <w:pPr>
              <w:autoSpaceDE w:val="0"/>
              <w:autoSpaceDN w:val="0"/>
              <w:adjustRightInd w:val="0"/>
              <w:snapToGrid w:val="0"/>
              <w:spacing w:line="400" w:lineRule="exact"/>
              <w:ind w:firstLine="360" w:firstLineChars="200"/>
              <w:jc w:val="center"/>
              <w:rPr>
                <w:rFonts w:eastAsia="黑体"/>
                <w:bCs/>
                <w:sz w:val="18"/>
                <w:szCs w:val="18"/>
              </w:rPr>
            </w:pPr>
            <w:r>
              <w:rPr>
                <w:rFonts w:eastAsia="黑体"/>
                <w:bCs/>
                <w:sz w:val="18"/>
                <w:szCs w:val="18"/>
              </w:rPr>
              <w:t>表</w:t>
            </w:r>
            <w:r>
              <w:rPr>
                <w:rFonts w:hint="eastAsia" w:eastAsia="黑体"/>
                <w:bCs/>
                <w:sz w:val="18"/>
                <w:szCs w:val="18"/>
              </w:rPr>
              <w:t xml:space="preserve">2-1 </w:t>
            </w:r>
            <w:r>
              <w:rPr>
                <w:rFonts w:eastAsia="黑体"/>
                <w:bCs/>
                <w:sz w:val="18"/>
                <w:szCs w:val="18"/>
              </w:rPr>
              <w:t xml:space="preserve">  项目组成及可能产生的主要环境问题</w:t>
            </w:r>
          </w:p>
          <w:tbl>
            <w:tblPr>
              <w:tblStyle w:val="21"/>
              <w:tblW w:w="78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851"/>
              <w:gridCol w:w="3402"/>
              <w:gridCol w:w="936"/>
              <w:gridCol w:w="1131"/>
              <w:gridCol w:w="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 w:hRule="atLeast"/>
                <w:jc w:val="center"/>
              </w:trPr>
              <w:tc>
                <w:tcPr>
                  <w:tcW w:w="854"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b/>
                      <w:sz w:val="18"/>
                      <w:szCs w:val="18"/>
                    </w:rPr>
                  </w:pPr>
                  <w:r>
                    <w:rPr>
                      <w:rFonts w:ascii="宋体" w:hAnsi="宋体"/>
                      <w:b/>
                      <w:sz w:val="18"/>
                      <w:szCs w:val="18"/>
                    </w:rPr>
                    <w:t>分类</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b/>
                      <w:sz w:val="18"/>
                      <w:szCs w:val="18"/>
                    </w:rPr>
                  </w:pPr>
                  <w:r>
                    <w:rPr>
                      <w:rFonts w:ascii="宋体" w:hAnsi="宋体"/>
                      <w:b/>
                      <w:sz w:val="18"/>
                      <w:szCs w:val="18"/>
                    </w:rPr>
                    <w:t>名称</w:t>
                  </w:r>
                </w:p>
              </w:tc>
              <w:tc>
                <w:tcPr>
                  <w:tcW w:w="3402"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b/>
                      <w:sz w:val="18"/>
                      <w:szCs w:val="18"/>
                    </w:rPr>
                  </w:pPr>
                  <w:r>
                    <w:rPr>
                      <w:rFonts w:ascii="宋体" w:hAnsi="宋体"/>
                      <w:b/>
                      <w:sz w:val="18"/>
                      <w:szCs w:val="18"/>
                    </w:rPr>
                    <w:t>建设内容及规模</w:t>
                  </w:r>
                </w:p>
              </w:tc>
              <w:tc>
                <w:tcPr>
                  <w:tcW w:w="2067"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105" w:leftChars="-50" w:right="-105" w:rightChars="-50"/>
                    <w:jc w:val="center"/>
                    <w:rPr>
                      <w:b/>
                      <w:sz w:val="18"/>
                      <w:szCs w:val="18"/>
                    </w:rPr>
                  </w:pPr>
                  <w:r>
                    <w:rPr>
                      <w:rFonts w:ascii="宋体" w:hAnsi="宋体"/>
                      <w:b/>
                      <w:sz w:val="18"/>
                      <w:szCs w:val="18"/>
                    </w:rPr>
                    <w:t>可能产生的主要环境问题</w:t>
                  </w:r>
                </w:p>
              </w:tc>
              <w:tc>
                <w:tcPr>
                  <w:tcW w:w="693"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sz w:val="18"/>
                      <w:szCs w:val="18"/>
                    </w:rPr>
                  </w:pPr>
                  <w:r>
                    <w:rPr>
                      <w:rFonts w:ascii="宋体" w:hAnsi="宋体"/>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85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
                      <w:sz w:val="18"/>
                      <w:szCs w:val="18"/>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
                      <w:sz w:val="18"/>
                      <w:szCs w:val="18"/>
                    </w:rPr>
                  </w:pPr>
                </w:p>
              </w:tc>
              <w:tc>
                <w:tcPr>
                  <w:tcW w:w="340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
                      <w:sz w:val="18"/>
                      <w:szCs w:val="18"/>
                    </w:rPr>
                  </w:pPr>
                </w:p>
              </w:tc>
              <w:tc>
                <w:tcPr>
                  <w:tcW w:w="93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b/>
                      <w:sz w:val="18"/>
                      <w:szCs w:val="18"/>
                    </w:rPr>
                  </w:pPr>
                  <w:r>
                    <w:rPr>
                      <w:rFonts w:ascii="宋体" w:hAnsi="宋体"/>
                      <w:b/>
                      <w:sz w:val="18"/>
                      <w:szCs w:val="18"/>
                    </w:rPr>
                    <w:t>施工期</w:t>
                  </w:r>
                </w:p>
              </w:tc>
              <w:tc>
                <w:tcPr>
                  <w:tcW w:w="113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b/>
                      <w:sz w:val="18"/>
                      <w:szCs w:val="18"/>
                    </w:rPr>
                  </w:pPr>
                  <w:r>
                    <w:rPr>
                      <w:rFonts w:ascii="宋体" w:hAnsi="宋体"/>
                      <w:b/>
                      <w:sz w:val="18"/>
                      <w:szCs w:val="18"/>
                    </w:rPr>
                    <w:t>营运期</w:t>
                  </w:r>
                </w:p>
              </w:tc>
              <w:tc>
                <w:tcPr>
                  <w:tcW w:w="69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54" w:type="dxa"/>
                  <w:tcBorders>
                    <w:top w:val="single" w:color="auto" w:sz="4" w:space="0"/>
                    <w:left w:val="single" w:color="auto" w:sz="4" w:space="0"/>
                    <w:right w:val="single" w:color="auto" w:sz="4" w:space="0"/>
                  </w:tcBorders>
                  <w:vAlign w:val="center"/>
                </w:tcPr>
                <w:p>
                  <w:pPr>
                    <w:spacing w:line="300" w:lineRule="exact"/>
                    <w:jc w:val="center"/>
                    <w:rPr>
                      <w:sz w:val="18"/>
                      <w:szCs w:val="18"/>
                    </w:rPr>
                  </w:pPr>
                  <w:r>
                    <w:rPr>
                      <w:rFonts w:ascii="宋体" w:hAnsi="宋体"/>
                      <w:sz w:val="18"/>
                      <w:szCs w:val="18"/>
                    </w:rPr>
                    <w:t>主体</w:t>
                  </w:r>
                </w:p>
                <w:p>
                  <w:pPr>
                    <w:spacing w:line="300" w:lineRule="exact"/>
                    <w:jc w:val="center"/>
                    <w:rPr>
                      <w:sz w:val="18"/>
                      <w:szCs w:val="18"/>
                    </w:rPr>
                  </w:pPr>
                  <w:r>
                    <w:rPr>
                      <w:rFonts w:ascii="宋体" w:hAnsi="宋体"/>
                      <w:sz w:val="18"/>
                      <w:szCs w:val="18"/>
                    </w:rPr>
                    <w:t>工程</w:t>
                  </w:r>
                </w:p>
              </w:tc>
              <w:tc>
                <w:tcPr>
                  <w:tcW w:w="85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hint="eastAsia" w:ascii="宋体" w:hAnsi="宋体"/>
                      <w:sz w:val="18"/>
                      <w:szCs w:val="18"/>
                    </w:rPr>
                    <w:t>储煤棚</w:t>
                  </w:r>
                </w:p>
              </w:tc>
              <w:tc>
                <w:tcPr>
                  <w:tcW w:w="3402" w:type="dxa"/>
                  <w:tcBorders>
                    <w:top w:val="single" w:color="auto" w:sz="4" w:space="0"/>
                    <w:left w:val="single" w:color="auto" w:sz="4" w:space="0"/>
                    <w:bottom w:val="single" w:color="auto" w:sz="4" w:space="0"/>
                    <w:right w:val="single" w:color="auto" w:sz="4" w:space="0"/>
                  </w:tcBorders>
                  <w:vAlign w:val="center"/>
                </w:tcPr>
                <w:p>
                  <w:pPr>
                    <w:spacing w:line="300" w:lineRule="exact"/>
                    <w:jc w:val="left"/>
                    <w:rPr>
                      <w:kern w:val="0"/>
                      <w:sz w:val="18"/>
                      <w:szCs w:val="18"/>
                    </w:rPr>
                  </w:pPr>
                  <w:r>
                    <w:rPr>
                      <w:rFonts w:hint="eastAsia"/>
                      <w:spacing w:val="-4"/>
                      <w:kern w:val="0"/>
                      <w:sz w:val="18"/>
                      <w:szCs w:val="18"/>
                    </w:rPr>
                    <w:t>建设为封闭式储煤棚，建筑面积2200</w:t>
                  </w:r>
                  <w:r>
                    <w:rPr>
                      <w:rFonts w:hint="eastAsia"/>
                      <w:kern w:val="0"/>
                      <w:sz w:val="18"/>
                      <w:szCs w:val="18"/>
                    </w:rPr>
                    <w:t>m</w:t>
                  </w:r>
                  <w:r>
                    <w:rPr>
                      <w:rFonts w:hint="eastAsia"/>
                      <w:kern w:val="0"/>
                      <w:sz w:val="18"/>
                      <w:szCs w:val="18"/>
                      <w:vertAlign w:val="superscript"/>
                    </w:rPr>
                    <w:t>2</w:t>
                  </w:r>
                  <w:r>
                    <w:rPr>
                      <w:rFonts w:hint="eastAsia"/>
                      <w:kern w:val="0"/>
                      <w:sz w:val="18"/>
                      <w:szCs w:val="18"/>
                    </w:rPr>
                    <w:t>，</w:t>
                  </w:r>
                  <w:r>
                    <w:rPr>
                      <w:rFonts w:cs="Tahoma"/>
                      <w:sz w:val="18"/>
                      <w:szCs w:val="18"/>
                      <w:shd w:val="clear" w:color="auto" w:fill="FFFFFF"/>
                    </w:rPr>
                    <w:t>檐口高度</w:t>
                  </w:r>
                  <w:r>
                    <w:rPr>
                      <w:rFonts w:hint="eastAsia" w:cs="Tahoma"/>
                      <w:sz w:val="18"/>
                      <w:szCs w:val="18"/>
                      <w:shd w:val="clear" w:color="auto" w:fill="FFFFFF"/>
                    </w:rPr>
                    <w:t>10</w:t>
                  </w:r>
                  <w:r>
                    <w:rPr>
                      <w:rFonts w:cs="Tahoma"/>
                      <w:sz w:val="18"/>
                      <w:szCs w:val="18"/>
                      <w:shd w:val="clear" w:color="auto" w:fill="FFFFFF"/>
                    </w:rPr>
                    <w:t>m、建筑中心高度约</w:t>
                  </w:r>
                  <w:r>
                    <w:rPr>
                      <w:rFonts w:hint="eastAsia" w:cs="Tahoma"/>
                      <w:sz w:val="18"/>
                      <w:szCs w:val="18"/>
                      <w:shd w:val="clear" w:color="auto" w:fill="FFFFFF"/>
                    </w:rPr>
                    <w:t>13</w:t>
                  </w:r>
                  <w:r>
                    <w:rPr>
                      <w:rFonts w:cs="Tahoma"/>
                      <w:sz w:val="18"/>
                      <w:szCs w:val="18"/>
                      <w:shd w:val="clear" w:color="auto" w:fill="FFFFFF"/>
                    </w:rPr>
                    <w:t>m、单层钢架结构</w:t>
                  </w:r>
                  <w:r>
                    <w:rPr>
                      <w:rFonts w:hint="eastAsia"/>
                      <w:kern w:val="0"/>
                      <w:sz w:val="18"/>
                      <w:szCs w:val="18"/>
                    </w:rPr>
                    <w:t>，煤棚底部设3m高实体围墙，围墙以上为彩钢围挡，</w:t>
                  </w:r>
                  <w:r>
                    <w:rPr>
                      <w:rFonts w:hint="eastAsia"/>
                      <w:sz w:val="18"/>
                      <w:szCs w:val="28"/>
                    </w:rPr>
                    <w:t>年吞吐量约12万吨</w:t>
                  </w:r>
                </w:p>
              </w:tc>
              <w:tc>
                <w:tcPr>
                  <w:tcW w:w="936" w:type="dxa"/>
                  <w:vMerge w:val="restart"/>
                  <w:tcBorders>
                    <w:top w:val="nil"/>
                    <w:left w:val="single" w:color="auto" w:sz="4" w:space="0"/>
                    <w:bottom w:val="single" w:color="auto" w:sz="4" w:space="0"/>
                    <w:right w:val="single" w:color="auto" w:sz="4" w:space="0"/>
                  </w:tcBorders>
                  <w:vAlign w:val="center"/>
                </w:tcPr>
                <w:p>
                  <w:pPr>
                    <w:spacing w:line="300" w:lineRule="exact"/>
                    <w:rPr>
                      <w:rFonts w:ascii="宋体" w:hAnsi="宋体"/>
                      <w:sz w:val="18"/>
                      <w:szCs w:val="18"/>
                    </w:rPr>
                  </w:pPr>
                  <w:r>
                    <w:rPr>
                      <w:rFonts w:hint="eastAsia" w:ascii="宋体" w:hAnsi="宋体"/>
                      <w:sz w:val="18"/>
                      <w:szCs w:val="18"/>
                    </w:rPr>
                    <w:t>施工扬尘、施工废水、噪声及固体废物</w:t>
                  </w:r>
                </w:p>
              </w:tc>
              <w:tc>
                <w:tcPr>
                  <w:tcW w:w="113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hint="eastAsia" w:ascii="宋体" w:hAnsi="宋体"/>
                      <w:sz w:val="18"/>
                      <w:szCs w:val="18"/>
                    </w:rPr>
                    <w:t>粉尘、噪声、废水、煤泥</w:t>
                  </w:r>
                </w:p>
              </w:tc>
              <w:tc>
                <w:tcPr>
                  <w:tcW w:w="693"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rFonts w:ascii="宋体" w:hAnsi="宋体"/>
                      <w:sz w:val="18"/>
                      <w:szCs w:val="18"/>
                    </w:rPr>
                  </w:pPr>
                  <w:r>
                    <w:rPr>
                      <w:rFonts w:ascii="宋体" w:hAnsi="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jc w:val="center"/>
              </w:trPr>
              <w:tc>
                <w:tcPr>
                  <w:tcW w:w="854" w:type="dxa"/>
                  <w:vMerge w:val="restart"/>
                  <w:tcBorders>
                    <w:top w:val="nil"/>
                    <w:left w:val="single" w:color="auto" w:sz="4" w:space="0"/>
                    <w:bottom w:val="single" w:color="auto" w:sz="4" w:space="0"/>
                    <w:right w:val="single" w:color="auto" w:sz="4" w:space="0"/>
                  </w:tcBorders>
                  <w:vAlign w:val="center"/>
                </w:tcPr>
                <w:p>
                  <w:pPr>
                    <w:spacing w:line="300" w:lineRule="exact"/>
                    <w:jc w:val="center"/>
                    <w:rPr>
                      <w:sz w:val="18"/>
                      <w:szCs w:val="18"/>
                    </w:rPr>
                  </w:pPr>
                  <w:r>
                    <w:rPr>
                      <w:rFonts w:ascii="宋体" w:hAnsi="宋体"/>
                      <w:sz w:val="18"/>
                      <w:szCs w:val="18"/>
                    </w:rPr>
                    <w:t>辅助</w:t>
                  </w:r>
                  <w:r>
                    <w:rPr>
                      <w:rFonts w:hint="eastAsia" w:ascii="宋体" w:hAnsi="宋体"/>
                      <w:sz w:val="18"/>
                      <w:szCs w:val="18"/>
                    </w:rPr>
                    <w:t>公用</w:t>
                  </w:r>
                  <w:r>
                    <w:rPr>
                      <w:rFonts w:ascii="宋体" w:hAnsi="宋体"/>
                      <w:sz w:val="18"/>
                      <w:szCs w:val="18"/>
                    </w:rPr>
                    <w:t>工程</w:t>
                  </w:r>
                </w:p>
              </w:tc>
              <w:tc>
                <w:tcPr>
                  <w:tcW w:w="851" w:type="dxa"/>
                  <w:tcBorders>
                    <w:top w:val="single" w:color="auto" w:sz="4" w:space="0"/>
                    <w:left w:val="single" w:color="auto" w:sz="4" w:space="0"/>
                    <w:bottom w:val="single" w:color="auto" w:sz="4" w:space="0"/>
                    <w:right w:val="single" w:color="auto" w:sz="4" w:space="0"/>
                  </w:tcBorders>
                  <w:vAlign w:val="center"/>
                </w:tcPr>
                <w:p>
                  <w:pPr>
                    <w:spacing w:line="300" w:lineRule="exact"/>
                    <w:ind w:left="-122" w:leftChars="-58" w:right="-107" w:rightChars="-51"/>
                    <w:jc w:val="center"/>
                    <w:rPr>
                      <w:bCs/>
                      <w:kern w:val="0"/>
                      <w:sz w:val="18"/>
                      <w:szCs w:val="18"/>
                    </w:rPr>
                  </w:pPr>
                  <w:r>
                    <w:rPr>
                      <w:rFonts w:hint="eastAsia" w:ascii="宋体" w:hAnsi="宋体"/>
                      <w:bCs/>
                      <w:kern w:val="0"/>
                      <w:sz w:val="18"/>
                      <w:szCs w:val="18"/>
                    </w:rPr>
                    <w:t>供电系统</w:t>
                  </w:r>
                </w:p>
              </w:tc>
              <w:tc>
                <w:tcPr>
                  <w:tcW w:w="3402" w:type="dxa"/>
                  <w:tcBorders>
                    <w:top w:val="single" w:color="auto" w:sz="4" w:space="0"/>
                    <w:left w:val="single" w:color="auto" w:sz="4" w:space="0"/>
                    <w:bottom w:val="single" w:color="auto" w:sz="4" w:space="0"/>
                    <w:right w:val="single" w:color="auto" w:sz="4" w:space="0"/>
                  </w:tcBorders>
                  <w:vAlign w:val="center"/>
                </w:tcPr>
                <w:p>
                  <w:pPr>
                    <w:spacing w:line="300" w:lineRule="exact"/>
                    <w:jc w:val="left"/>
                    <w:rPr>
                      <w:bCs/>
                      <w:kern w:val="0"/>
                      <w:sz w:val="18"/>
                      <w:szCs w:val="18"/>
                    </w:rPr>
                  </w:pPr>
                  <w:r>
                    <w:rPr>
                      <w:rFonts w:hint="eastAsia" w:ascii="宋体" w:hAnsi="宋体"/>
                      <w:bCs/>
                      <w:kern w:val="0"/>
                      <w:sz w:val="18"/>
                      <w:szCs w:val="18"/>
                    </w:rPr>
                    <w:t>电源来自当地电网，厂区设有变压器1台</w:t>
                  </w:r>
                </w:p>
              </w:tc>
              <w:tc>
                <w:tcPr>
                  <w:tcW w:w="936"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sz w:val="18"/>
                      <w:szCs w:val="18"/>
                    </w:rPr>
                  </w:pPr>
                </w:p>
              </w:tc>
              <w:tc>
                <w:tcPr>
                  <w:tcW w:w="113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hint="eastAsia"/>
                      <w:sz w:val="18"/>
                      <w:szCs w:val="18"/>
                    </w:rPr>
                    <w:t>/</w:t>
                  </w:r>
                </w:p>
              </w:tc>
              <w:tc>
                <w:tcPr>
                  <w:tcW w:w="69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ascii="宋体" w:hAnsi="宋体"/>
                      <w:sz w:val="18"/>
                      <w:szCs w:val="18"/>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jc w:val="center"/>
              </w:trPr>
              <w:tc>
                <w:tcPr>
                  <w:tcW w:w="854"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sz w:val="18"/>
                      <w:szCs w:val="18"/>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00" w:lineRule="exact"/>
                    <w:ind w:left="-122" w:leftChars="-58" w:right="-107" w:rightChars="-51"/>
                    <w:jc w:val="center"/>
                    <w:rPr>
                      <w:rFonts w:ascii="宋体" w:hAnsi="宋体"/>
                      <w:bCs/>
                      <w:kern w:val="0"/>
                      <w:sz w:val="18"/>
                      <w:szCs w:val="18"/>
                    </w:rPr>
                  </w:pPr>
                  <w:r>
                    <w:rPr>
                      <w:rFonts w:hint="eastAsia" w:ascii="宋体" w:hAnsi="宋体"/>
                      <w:bCs/>
                      <w:kern w:val="0"/>
                      <w:sz w:val="18"/>
                      <w:szCs w:val="18"/>
                    </w:rPr>
                    <w:t>给水设施</w:t>
                  </w:r>
                </w:p>
              </w:tc>
              <w:tc>
                <w:tcPr>
                  <w:tcW w:w="3402" w:type="dxa"/>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bCs/>
                      <w:kern w:val="0"/>
                      <w:sz w:val="18"/>
                      <w:szCs w:val="18"/>
                    </w:rPr>
                  </w:pPr>
                  <w:r>
                    <w:rPr>
                      <w:rFonts w:hint="eastAsia" w:ascii="宋体" w:hAnsi="宋体"/>
                      <w:bCs/>
                      <w:spacing w:val="-6"/>
                      <w:kern w:val="0"/>
                      <w:sz w:val="18"/>
                      <w:szCs w:val="18"/>
                    </w:rPr>
                    <w:t>生产、生活用水来自场镇自来水以及收集的大气降雨</w:t>
                  </w:r>
                </w:p>
              </w:tc>
              <w:tc>
                <w:tcPr>
                  <w:tcW w:w="936"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sz w:val="18"/>
                      <w:szCs w:val="18"/>
                    </w:rPr>
                  </w:pPr>
                </w:p>
              </w:tc>
              <w:tc>
                <w:tcPr>
                  <w:tcW w:w="113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hint="eastAsia"/>
                      <w:sz w:val="18"/>
                      <w:szCs w:val="18"/>
                    </w:rPr>
                    <w:t>/</w:t>
                  </w:r>
                </w:p>
              </w:tc>
              <w:tc>
                <w:tcPr>
                  <w:tcW w:w="69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ascii="宋体" w:hAnsi="宋体"/>
                      <w:sz w:val="18"/>
                      <w:szCs w:val="18"/>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jc w:val="center"/>
              </w:trPr>
              <w:tc>
                <w:tcPr>
                  <w:tcW w:w="854"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sz w:val="18"/>
                      <w:szCs w:val="18"/>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270" w:lineRule="exact"/>
                    <w:ind w:left="-53" w:leftChars="-25" w:right="-53" w:rightChars="-25"/>
                    <w:jc w:val="center"/>
                    <w:rPr>
                      <w:rFonts w:ascii="宋体" w:hAnsi="宋体"/>
                      <w:bCs/>
                      <w:kern w:val="0"/>
                      <w:sz w:val="18"/>
                      <w:szCs w:val="18"/>
                    </w:rPr>
                  </w:pPr>
                  <w:r>
                    <w:rPr>
                      <w:rFonts w:ascii="宋体" w:hAnsi="宋体"/>
                      <w:bCs/>
                      <w:kern w:val="0"/>
                      <w:sz w:val="18"/>
                      <w:szCs w:val="18"/>
                    </w:rPr>
                    <w:t>消防设施</w:t>
                  </w:r>
                </w:p>
              </w:tc>
              <w:tc>
                <w:tcPr>
                  <w:tcW w:w="3402" w:type="dxa"/>
                  <w:tcBorders>
                    <w:top w:val="single" w:color="auto" w:sz="4" w:space="0"/>
                    <w:left w:val="single" w:color="auto" w:sz="4" w:space="0"/>
                    <w:bottom w:val="single" w:color="auto" w:sz="4" w:space="0"/>
                    <w:right w:val="single" w:color="auto" w:sz="4" w:space="0"/>
                  </w:tcBorders>
                  <w:vAlign w:val="center"/>
                </w:tcPr>
                <w:p>
                  <w:pPr>
                    <w:spacing w:line="270" w:lineRule="exact"/>
                    <w:jc w:val="left"/>
                    <w:rPr>
                      <w:rFonts w:ascii="宋体" w:hAnsi="宋体"/>
                      <w:bCs/>
                      <w:kern w:val="0"/>
                      <w:sz w:val="18"/>
                      <w:szCs w:val="18"/>
                    </w:rPr>
                  </w:pPr>
                  <w:r>
                    <w:rPr>
                      <w:rFonts w:hint="eastAsia"/>
                      <w:bCs/>
                      <w:kern w:val="0"/>
                      <w:sz w:val="18"/>
                      <w:szCs w:val="18"/>
                    </w:rPr>
                    <w:t>堆棚内安装防烟防火探测器及报警装置，设消防水池（容积约50m</w:t>
                  </w:r>
                  <w:r>
                    <w:rPr>
                      <w:rFonts w:hint="eastAsia"/>
                      <w:bCs/>
                      <w:kern w:val="0"/>
                      <w:sz w:val="18"/>
                      <w:szCs w:val="18"/>
                      <w:vertAlign w:val="superscript"/>
                    </w:rPr>
                    <w:t>3</w:t>
                  </w:r>
                  <w:r>
                    <w:rPr>
                      <w:rFonts w:hint="eastAsia"/>
                      <w:bCs/>
                      <w:kern w:val="0"/>
                      <w:sz w:val="18"/>
                      <w:szCs w:val="18"/>
                    </w:rPr>
                    <w:t>）</w:t>
                  </w:r>
                </w:p>
              </w:tc>
              <w:tc>
                <w:tcPr>
                  <w:tcW w:w="936"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sz w:val="18"/>
                      <w:szCs w:val="18"/>
                    </w:rPr>
                  </w:pPr>
                </w:p>
              </w:tc>
              <w:tc>
                <w:tcPr>
                  <w:tcW w:w="113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消防废水</w:t>
                  </w:r>
                </w:p>
              </w:tc>
              <w:tc>
                <w:tcPr>
                  <w:tcW w:w="69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hint="eastAsia" w:ascii="宋体" w:hAnsi="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854"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sz w:val="18"/>
                      <w:szCs w:val="18"/>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00" w:lineRule="exact"/>
                    <w:ind w:left="-122" w:leftChars="-58" w:right="-107" w:rightChars="-51"/>
                    <w:jc w:val="center"/>
                    <w:rPr>
                      <w:bCs/>
                      <w:kern w:val="0"/>
                      <w:sz w:val="18"/>
                      <w:szCs w:val="18"/>
                    </w:rPr>
                  </w:pPr>
                  <w:r>
                    <w:rPr>
                      <w:rFonts w:hint="eastAsia" w:ascii="宋体" w:hAnsi="宋体"/>
                      <w:sz w:val="18"/>
                      <w:szCs w:val="18"/>
                    </w:rPr>
                    <w:t>排水设施</w:t>
                  </w:r>
                </w:p>
              </w:tc>
              <w:tc>
                <w:tcPr>
                  <w:tcW w:w="3402" w:type="dxa"/>
                  <w:tcBorders>
                    <w:top w:val="single" w:color="auto" w:sz="4" w:space="0"/>
                    <w:left w:val="single" w:color="auto" w:sz="4" w:space="0"/>
                    <w:bottom w:val="single" w:color="auto" w:sz="4" w:space="0"/>
                    <w:right w:val="single" w:color="auto" w:sz="4" w:space="0"/>
                  </w:tcBorders>
                  <w:vAlign w:val="center"/>
                </w:tcPr>
                <w:p>
                  <w:pPr>
                    <w:spacing w:line="300" w:lineRule="exact"/>
                    <w:jc w:val="left"/>
                    <w:rPr>
                      <w:bCs/>
                      <w:spacing w:val="-6"/>
                      <w:kern w:val="0"/>
                      <w:sz w:val="18"/>
                      <w:szCs w:val="18"/>
                    </w:rPr>
                  </w:pPr>
                  <w:r>
                    <w:rPr>
                      <w:rFonts w:hint="eastAsia" w:ascii="宋体" w:hAnsi="宋体"/>
                      <w:sz w:val="18"/>
                      <w:szCs w:val="18"/>
                    </w:rPr>
                    <w:t>采取雨污分流排水，场地四周修建雨水沟，收集场地散水进入沉淀池，处理后回用；生产废水收集处理后回用不外排。生活污水设化粪池预处理后，定期拉运至东岳场镇污水处理厂处理</w:t>
                  </w:r>
                </w:p>
              </w:tc>
              <w:tc>
                <w:tcPr>
                  <w:tcW w:w="936"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sz w:val="18"/>
                      <w:szCs w:val="18"/>
                    </w:rPr>
                  </w:pPr>
                </w:p>
              </w:tc>
              <w:tc>
                <w:tcPr>
                  <w:tcW w:w="113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hint="eastAsia"/>
                      <w:sz w:val="18"/>
                      <w:szCs w:val="18"/>
                    </w:rPr>
                    <w:t>/</w:t>
                  </w:r>
                </w:p>
              </w:tc>
              <w:tc>
                <w:tcPr>
                  <w:tcW w:w="693"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rFonts w:ascii="宋体" w:hAnsi="宋体"/>
                      <w:sz w:val="18"/>
                      <w:szCs w:val="18"/>
                    </w:rPr>
                  </w:pPr>
                  <w:r>
                    <w:rPr>
                      <w:rFonts w:ascii="宋体" w:hAnsi="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854"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sz w:val="18"/>
                      <w:szCs w:val="18"/>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hint="eastAsia" w:ascii="宋体" w:hAnsi="宋体"/>
                      <w:sz w:val="18"/>
                      <w:szCs w:val="18"/>
                    </w:rPr>
                    <w:t>监控</w:t>
                  </w:r>
                </w:p>
                <w:p>
                  <w:pPr>
                    <w:spacing w:line="300" w:lineRule="exact"/>
                    <w:jc w:val="center"/>
                    <w:rPr>
                      <w:rFonts w:ascii="宋体" w:hAnsi="宋体"/>
                      <w:sz w:val="18"/>
                      <w:szCs w:val="18"/>
                    </w:rPr>
                  </w:pPr>
                  <w:r>
                    <w:rPr>
                      <w:rFonts w:hint="eastAsia" w:ascii="宋体" w:hAnsi="宋体"/>
                      <w:sz w:val="18"/>
                      <w:szCs w:val="18"/>
                    </w:rPr>
                    <w:t>系统</w:t>
                  </w:r>
                </w:p>
              </w:tc>
              <w:tc>
                <w:tcPr>
                  <w:tcW w:w="3402" w:type="dxa"/>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sz w:val="18"/>
                      <w:szCs w:val="18"/>
                    </w:rPr>
                  </w:pPr>
                  <w:r>
                    <w:rPr>
                      <w:rFonts w:hint="eastAsia" w:ascii="宋体" w:hAnsi="宋体"/>
                      <w:sz w:val="18"/>
                      <w:szCs w:val="18"/>
                    </w:rPr>
                    <w:t>储煤棚安装视频监控系统</w:t>
                  </w:r>
                </w:p>
              </w:tc>
              <w:tc>
                <w:tcPr>
                  <w:tcW w:w="936"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sz w:val="18"/>
                      <w:szCs w:val="18"/>
                    </w:rPr>
                  </w:pPr>
                </w:p>
              </w:tc>
              <w:tc>
                <w:tcPr>
                  <w:tcW w:w="113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hint="eastAsia"/>
                      <w:sz w:val="18"/>
                      <w:szCs w:val="18"/>
                    </w:rPr>
                    <w:t>/</w:t>
                  </w:r>
                </w:p>
              </w:tc>
              <w:tc>
                <w:tcPr>
                  <w:tcW w:w="693"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rFonts w:ascii="宋体" w:hAnsi="宋体"/>
                      <w:sz w:val="18"/>
                      <w:szCs w:val="18"/>
                    </w:rPr>
                  </w:pPr>
                  <w:r>
                    <w:rPr>
                      <w:rFonts w:hint="eastAsia" w:ascii="宋体" w:hAnsi="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 w:hRule="atLeast"/>
                <w:jc w:val="center"/>
              </w:trPr>
              <w:tc>
                <w:tcPr>
                  <w:tcW w:w="854" w:type="dxa"/>
                  <w:vMerge w:val="restart"/>
                  <w:tcBorders>
                    <w:top w:val="nil"/>
                    <w:left w:val="single" w:color="auto" w:sz="4" w:space="0"/>
                    <w:bottom w:val="single" w:color="auto" w:sz="4" w:space="0"/>
                    <w:right w:val="single" w:color="auto" w:sz="4" w:space="0"/>
                  </w:tcBorders>
                  <w:vAlign w:val="center"/>
                </w:tcPr>
                <w:p>
                  <w:pPr>
                    <w:spacing w:line="300" w:lineRule="exact"/>
                    <w:jc w:val="center"/>
                    <w:rPr>
                      <w:sz w:val="18"/>
                      <w:szCs w:val="18"/>
                    </w:rPr>
                  </w:pPr>
                  <w:r>
                    <w:rPr>
                      <w:rFonts w:ascii="宋体" w:hAnsi="宋体"/>
                      <w:sz w:val="18"/>
                      <w:szCs w:val="18"/>
                    </w:rPr>
                    <w:t>环保</w:t>
                  </w:r>
                </w:p>
                <w:p>
                  <w:pPr>
                    <w:spacing w:line="300" w:lineRule="exact"/>
                    <w:jc w:val="center"/>
                    <w:rPr>
                      <w:sz w:val="18"/>
                      <w:szCs w:val="18"/>
                    </w:rPr>
                  </w:pPr>
                  <w:r>
                    <w:rPr>
                      <w:rFonts w:ascii="宋体" w:hAnsi="宋体"/>
                      <w:sz w:val="18"/>
                      <w:szCs w:val="18"/>
                    </w:rPr>
                    <w:t>工程</w:t>
                  </w:r>
                </w:p>
              </w:tc>
              <w:tc>
                <w:tcPr>
                  <w:tcW w:w="851" w:type="dxa"/>
                  <w:vMerge w:val="restart"/>
                  <w:tcBorders>
                    <w:top w:val="nil"/>
                    <w:left w:val="single" w:color="auto" w:sz="4" w:space="0"/>
                    <w:bottom w:val="single" w:color="auto" w:sz="4" w:space="0"/>
                    <w:right w:val="single" w:color="auto" w:sz="4" w:space="0"/>
                  </w:tcBorders>
                  <w:vAlign w:val="center"/>
                </w:tcPr>
                <w:p>
                  <w:pPr>
                    <w:spacing w:line="300" w:lineRule="exact"/>
                    <w:jc w:val="center"/>
                    <w:rPr>
                      <w:rFonts w:ascii="宋体" w:hAnsi="宋体"/>
                      <w:bCs/>
                      <w:kern w:val="0"/>
                      <w:sz w:val="18"/>
                      <w:szCs w:val="18"/>
                    </w:rPr>
                  </w:pPr>
                  <w:r>
                    <w:rPr>
                      <w:rFonts w:hint="eastAsia" w:ascii="宋体" w:hAnsi="宋体"/>
                      <w:bCs/>
                      <w:kern w:val="0"/>
                      <w:sz w:val="18"/>
                      <w:szCs w:val="18"/>
                    </w:rPr>
                    <w:t>废气</w:t>
                  </w:r>
                </w:p>
                <w:p>
                  <w:pPr>
                    <w:spacing w:line="300" w:lineRule="exact"/>
                    <w:jc w:val="center"/>
                    <w:rPr>
                      <w:bCs/>
                      <w:kern w:val="0"/>
                      <w:sz w:val="18"/>
                      <w:szCs w:val="18"/>
                    </w:rPr>
                  </w:pPr>
                  <w:r>
                    <w:rPr>
                      <w:rFonts w:hint="eastAsia" w:ascii="宋体" w:hAnsi="宋体"/>
                      <w:bCs/>
                      <w:kern w:val="0"/>
                      <w:sz w:val="18"/>
                      <w:szCs w:val="18"/>
                    </w:rPr>
                    <w:t>处理</w:t>
                  </w:r>
                </w:p>
              </w:tc>
              <w:tc>
                <w:tcPr>
                  <w:tcW w:w="3402" w:type="dxa"/>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spacing w:val="-4"/>
                      <w:kern w:val="0"/>
                      <w:sz w:val="18"/>
                      <w:szCs w:val="18"/>
                    </w:rPr>
                  </w:pPr>
                  <w:r>
                    <w:rPr>
                      <w:rFonts w:hint="eastAsia" w:ascii="宋体" w:hAnsi="宋体"/>
                      <w:spacing w:val="-4"/>
                      <w:kern w:val="0"/>
                      <w:sz w:val="18"/>
                      <w:szCs w:val="18"/>
                    </w:rPr>
                    <w:t>装卸粉尘：煤炭装卸作业均在封闭式储煤棚内进行，利用棚内喷雾设施降尘及封闭式储棚减少煤尘</w:t>
                  </w:r>
                  <w:r>
                    <w:rPr>
                      <w:rFonts w:hint="eastAsia" w:ascii="宋体" w:hAnsi="宋体"/>
                      <w:spacing w:val="-4"/>
                      <w:kern w:val="0"/>
                      <w:sz w:val="18"/>
                      <w:szCs w:val="18"/>
                      <w:lang w:eastAsia="zh-CN"/>
                    </w:rPr>
                    <w:t>外溢</w:t>
                  </w:r>
                  <w:r>
                    <w:rPr>
                      <w:rFonts w:hint="eastAsia" w:ascii="宋体" w:hAnsi="宋体"/>
                      <w:spacing w:val="-4"/>
                      <w:kern w:val="0"/>
                      <w:sz w:val="18"/>
                      <w:szCs w:val="18"/>
                    </w:rPr>
                    <w:t>；加强装卸作业管理，设雾炮机专用装卸作业降尘</w:t>
                  </w:r>
                  <w:r>
                    <w:rPr>
                      <w:rFonts w:ascii="宋体" w:hAnsi="宋体"/>
                      <w:spacing w:val="-4"/>
                      <w:kern w:val="0"/>
                      <w:sz w:val="18"/>
                      <w:szCs w:val="18"/>
                    </w:rPr>
                    <w:t xml:space="preserve"> </w:t>
                  </w:r>
                </w:p>
              </w:tc>
              <w:tc>
                <w:tcPr>
                  <w:tcW w:w="936"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sz w:val="18"/>
                      <w:szCs w:val="18"/>
                    </w:rPr>
                  </w:pPr>
                </w:p>
              </w:tc>
              <w:tc>
                <w:tcPr>
                  <w:tcW w:w="113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hint="eastAsia" w:ascii="宋体" w:hAnsi="宋体"/>
                      <w:sz w:val="18"/>
                      <w:szCs w:val="18"/>
                    </w:rPr>
                    <w:t>噪声</w:t>
                  </w:r>
                </w:p>
              </w:tc>
              <w:tc>
                <w:tcPr>
                  <w:tcW w:w="693"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rFonts w:ascii="宋体" w:hAnsi="宋体"/>
                      <w:sz w:val="18"/>
                      <w:szCs w:val="18"/>
                    </w:rPr>
                  </w:pPr>
                  <w:r>
                    <w:rPr>
                      <w:rFonts w:ascii="宋体" w:hAnsi="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 w:hRule="atLeast"/>
                <w:jc w:val="center"/>
              </w:trPr>
              <w:tc>
                <w:tcPr>
                  <w:tcW w:w="854" w:type="dxa"/>
                  <w:vMerge w:val="continue"/>
                  <w:tcBorders>
                    <w:top w:val="nil"/>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p>
              </w:tc>
              <w:tc>
                <w:tcPr>
                  <w:tcW w:w="851" w:type="dxa"/>
                  <w:vMerge w:val="continue"/>
                  <w:tcBorders>
                    <w:top w:val="nil"/>
                    <w:left w:val="single" w:color="auto" w:sz="4" w:space="0"/>
                    <w:bottom w:val="single" w:color="auto" w:sz="4" w:space="0"/>
                    <w:right w:val="single" w:color="auto" w:sz="4" w:space="0"/>
                  </w:tcBorders>
                  <w:vAlign w:val="center"/>
                </w:tcPr>
                <w:p>
                  <w:pPr>
                    <w:spacing w:line="300" w:lineRule="exact"/>
                    <w:jc w:val="center"/>
                    <w:rPr>
                      <w:rFonts w:ascii="宋体" w:hAnsi="宋体"/>
                      <w:bCs/>
                      <w:kern w:val="0"/>
                      <w:sz w:val="18"/>
                      <w:szCs w:val="18"/>
                    </w:rPr>
                  </w:pPr>
                </w:p>
              </w:tc>
              <w:tc>
                <w:tcPr>
                  <w:tcW w:w="3402" w:type="dxa"/>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spacing w:val="-4"/>
                      <w:kern w:val="0"/>
                      <w:sz w:val="18"/>
                      <w:szCs w:val="18"/>
                    </w:rPr>
                  </w:pPr>
                  <w:r>
                    <w:rPr>
                      <w:rFonts w:hint="eastAsia" w:ascii="宋体" w:hAnsi="宋体"/>
                      <w:spacing w:val="-4"/>
                      <w:kern w:val="0"/>
                      <w:sz w:val="18"/>
                      <w:szCs w:val="18"/>
                    </w:rPr>
                    <w:t>储煤粉尘：设封闭式储煤棚，进出口配套电动门帘，棚内设喷雾降尘装置；储棚安装通风换气设备，避免粉尘积聚</w:t>
                  </w:r>
                </w:p>
              </w:tc>
              <w:tc>
                <w:tcPr>
                  <w:tcW w:w="936"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sz w:val="18"/>
                      <w:szCs w:val="18"/>
                    </w:rPr>
                  </w:pPr>
                </w:p>
              </w:tc>
              <w:tc>
                <w:tcPr>
                  <w:tcW w:w="113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hint="eastAsia" w:ascii="宋体" w:hAnsi="宋体"/>
                      <w:sz w:val="18"/>
                      <w:szCs w:val="18"/>
                    </w:rPr>
                    <w:t>/</w:t>
                  </w:r>
                </w:p>
              </w:tc>
              <w:tc>
                <w:tcPr>
                  <w:tcW w:w="693"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rFonts w:ascii="宋体" w:hAnsi="宋体"/>
                      <w:sz w:val="18"/>
                      <w:szCs w:val="18"/>
                    </w:rPr>
                  </w:pPr>
                  <w:r>
                    <w:rPr>
                      <w:rFonts w:hint="eastAsia" w:ascii="宋体" w:hAnsi="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854"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sz w:val="18"/>
                      <w:szCs w:val="18"/>
                    </w:rPr>
                  </w:pPr>
                </w:p>
              </w:tc>
              <w:tc>
                <w:tcPr>
                  <w:tcW w:w="851"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bCs/>
                      <w:kern w:val="0"/>
                      <w:sz w:val="18"/>
                      <w:szCs w:val="18"/>
                    </w:rPr>
                  </w:pPr>
                </w:p>
              </w:tc>
              <w:tc>
                <w:tcPr>
                  <w:tcW w:w="3402" w:type="dxa"/>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spacing w:val="-4"/>
                      <w:kern w:val="0"/>
                      <w:sz w:val="18"/>
                      <w:szCs w:val="18"/>
                    </w:rPr>
                  </w:pPr>
                  <w:r>
                    <w:rPr>
                      <w:rFonts w:hint="eastAsia" w:ascii="宋体" w:hAnsi="宋体"/>
                      <w:bCs/>
                      <w:kern w:val="0"/>
                      <w:sz w:val="18"/>
                      <w:szCs w:val="18"/>
                    </w:rPr>
                    <w:t>道路扬尘：场地地面硬化处理，利用进出口已设的车辆冲洗设施，适时对场区露天场地进行防尘冲洗；煤炭运输车辆加盖篷布，密闭运输</w:t>
                  </w:r>
                </w:p>
              </w:tc>
              <w:tc>
                <w:tcPr>
                  <w:tcW w:w="936"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sz w:val="18"/>
                      <w:szCs w:val="18"/>
                    </w:rPr>
                  </w:pPr>
                </w:p>
              </w:tc>
              <w:tc>
                <w:tcPr>
                  <w:tcW w:w="113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hint="eastAsia" w:ascii="宋体" w:hAnsi="宋体"/>
                      <w:sz w:val="18"/>
                      <w:szCs w:val="18"/>
                    </w:rPr>
                    <w:t>冲洗废水</w:t>
                  </w:r>
                </w:p>
              </w:tc>
              <w:tc>
                <w:tcPr>
                  <w:tcW w:w="693"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rFonts w:ascii="宋体" w:hAnsi="宋体"/>
                      <w:sz w:val="18"/>
                      <w:szCs w:val="18"/>
                    </w:rPr>
                  </w:pPr>
                  <w:r>
                    <w:rPr>
                      <w:rFonts w:ascii="宋体" w:hAnsi="宋体"/>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54"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sz w:val="18"/>
                      <w:szCs w:val="18"/>
                    </w:rPr>
                  </w:pPr>
                </w:p>
              </w:tc>
              <w:tc>
                <w:tcPr>
                  <w:tcW w:w="851" w:type="dxa"/>
                  <w:vMerge w:val="restart"/>
                  <w:tcBorders>
                    <w:top w:val="nil"/>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ascii="宋体" w:hAnsi="宋体"/>
                      <w:sz w:val="18"/>
                      <w:szCs w:val="18"/>
                    </w:rPr>
                    <w:t>废水</w:t>
                  </w:r>
                </w:p>
                <w:p>
                  <w:pPr>
                    <w:spacing w:line="300" w:lineRule="exact"/>
                    <w:jc w:val="center"/>
                    <w:rPr>
                      <w:sz w:val="18"/>
                      <w:szCs w:val="18"/>
                    </w:rPr>
                  </w:pPr>
                  <w:r>
                    <w:rPr>
                      <w:rFonts w:ascii="宋体" w:hAnsi="宋体"/>
                      <w:sz w:val="18"/>
                      <w:szCs w:val="18"/>
                    </w:rPr>
                    <w:t>处理</w:t>
                  </w:r>
                </w:p>
              </w:tc>
              <w:tc>
                <w:tcPr>
                  <w:tcW w:w="3402" w:type="dxa"/>
                  <w:tcBorders>
                    <w:top w:val="single" w:color="auto" w:sz="4" w:space="0"/>
                    <w:left w:val="single" w:color="auto" w:sz="4" w:space="0"/>
                    <w:bottom w:val="single" w:color="auto" w:sz="4" w:space="0"/>
                    <w:right w:val="single" w:color="auto" w:sz="4" w:space="0"/>
                  </w:tcBorders>
                  <w:vAlign w:val="center"/>
                </w:tcPr>
                <w:p>
                  <w:pPr>
                    <w:spacing w:line="300" w:lineRule="exact"/>
                    <w:ind w:left="-42" w:leftChars="-20"/>
                    <w:jc w:val="left"/>
                    <w:rPr>
                      <w:rFonts w:ascii="宋体" w:hAnsi="宋体"/>
                      <w:sz w:val="18"/>
                      <w:szCs w:val="18"/>
                    </w:rPr>
                  </w:pPr>
                  <w:r>
                    <w:rPr>
                      <w:rFonts w:hint="eastAsia" w:ascii="宋体" w:hAnsi="宋体"/>
                      <w:sz w:val="18"/>
                      <w:szCs w:val="18"/>
                    </w:rPr>
                    <w:t>含煤废水：包括露天场地冲洗废水和初期雨水。利用场内已设的地埋式沉淀池3个，总容积约</w:t>
                  </w:r>
                  <w:r>
                    <w:rPr>
                      <w:rFonts w:hint="eastAsia"/>
                      <w:sz w:val="18"/>
                      <w:szCs w:val="18"/>
                    </w:rPr>
                    <w:t>180m</w:t>
                  </w:r>
                  <w:r>
                    <w:rPr>
                      <w:rFonts w:hint="eastAsia"/>
                      <w:sz w:val="18"/>
                      <w:szCs w:val="18"/>
                      <w:vertAlign w:val="superscript"/>
                    </w:rPr>
                    <w:t>3</w:t>
                  </w:r>
                  <w:r>
                    <w:rPr>
                      <w:rFonts w:hint="eastAsia"/>
                      <w:sz w:val="18"/>
                      <w:szCs w:val="18"/>
                    </w:rPr>
                    <w:t>，场地四周设散水收集沟，接入沉淀池处理后全部回用不外排</w:t>
                  </w:r>
                </w:p>
              </w:tc>
              <w:tc>
                <w:tcPr>
                  <w:tcW w:w="936"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sz w:val="18"/>
                      <w:szCs w:val="18"/>
                    </w:rPr>
                  </w:pPr>
                </w:p>
              </w:tc>
              <w:tc>
                <w:tcPr>
                  <w:tcW w:w="113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hint="eastAsia" w:ascii="宋体" w:hAnsi="宋体"/>
                      <w:sz w:val="18"/>
                      <w:szCs w:val="18"/>
                    </w:rPr>
                    <w:t>煤泥</w:t>
                  </w:r>
                </w:p>
              </w:tc>
              <w:tc>
                <w:tcPr>
                  <w:tcW w:w="693"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rFonts w:ascii="宋体" w:hAnsi="宋体"/>
                      <w:sz w:val="18"/>
                      <w:szCs w:val="18"/>
                    </w:rPr>
                  </w:pPr>
                  <w:r>
                    <w:rPr>
                      <w:rFonts w:ascii="宋体" w:hAnsi="宋体"/>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854"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sz w:val="18"/>
                      <w:szCs w:val="18"/>
                    </w:rPr>
                  </w:pPr>
                </w:p>
              </w:tc>
              <w:tc>
                <w:tcPr>
                  <w:tcW w:w="851" w:type="dxa"/>
                  <w:vMerge w:val="continue"/>
                  <w:tcBorders>
                    <w:top w:val="nil"/>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p>
              </w:tc>
              <w:tc>
                <w:tcPr>
                  <w:tcW w:w="3402" w:type="dxa"/>
                  <w:tcBorders>
                    <w:top w:val="single" w:color="auto" w:sz="4" w:space="0"/>
                    <w:left w:val="single" w:color="auto" w:sz="4" w:space="0"/>
                    <w:bottom w:val="single" w:color="auto" w:sz="4" w:space="0"/>
                    <w:right w:val="single" w:color="auto" w:sz="4" w:space="0"/>
                  </w:tcBorders>
                  <w:vAlign w:val="center"/>
                </w:tcPr>
                <w:p>
                  <w:pPr>
                    <w:spacing w:line="300" w:lineRule="exact"/>
                    <w:ind w:left="-42" w:leftChars="-20"/>
                    <w:jc w:val="left"/>
                    <w:rPr>
                      <w:rFonts w:ascii="宋体" w:hAnsi="宋体"/>
                      <w:sz w:val="18"/>
                      <w:szCs w:val="18"/>
                    </w:rPr>
                  </w:pPr>
                  <w:r>
                    <w:rPr>
                      <w:rFonts w:hint="eastAsia" w:ascii="宋体" w:hAnsi="宋体"/>
                      <w:sz w:val="18"/>
                      <w:szCs w:val="18"/>
                    </w:rPr>
                    <w:t>车辆冲洗废水：利用厂区进出口已设的废水沉淀池（容积1</w:t>
                  </w:r>
                  <w:r>
                    <w:rPr>
                      <w:rFonts w:hint="eastAsia"/>
                      <w:sz w:val="18"/>
                      <w:szCs w:val="18"/>
                    </w:rPr>
                    <w:t>0m</w:t>
                  </w:r>
                  <w:r>
                    <w:rPr>
                      <w:rFonts w:hint="eastAsia"/>
                      <w:sz w:val="18"/>
                      <w:szCs w:val="18"/>
                      <w:vertAlign w:val="superscript"/>
                    </w:rPr>
                    <w:t>3</w:t>
                  </w:r>
                  <w:r>
                    <w:rPr>
                      <w:rFonts w:hint="eastAsia" w:ascii="宋体" w:hAnsi="宋体"/>
                      <w:sz w:val="18"/>
                      <w:szCs w:val="18"/>
                    </w:rPr>
                    <w:t>）处理后回用不外排</w:t>
                  </w:r>
                </w:p>
              </w:tc>
              <w:tc>
                <w:tcPr>
                  <w:tcW w:w="936"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sz w:val="18"/>
                      <w:szCs w:val="18"/>
                    </w:rPr>
                  </w:pPr>
                </w:p>
              </w:tc>
              <w:tc>
                <w:tcPr>
                  <w:tcW w:w="113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hint="eastAsia" w:ascii="宋体" w:hAnsi="宋体"/>
                      <w:sz w:val="18"/>
                      <w:szCs w:val="18"/>
                    </w:rPr>
                    <w:t>煤泥</w:t>
                  </w:r>
                </w:p>
              </w:tc>
              <w:tc>
                <w:tcPr>
                  <w:tcW w:w="693"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rFonts w:ascii="宋体" w:hAnsi="宋体"/>
                      <w:sz w:val="18"/>
                      <w:szCs w:val="18"/>
                    </w:rPr>
                  </w:pPr>
                  <w:r>
                    <w:rPr>
                      <w:rFonts w:ascii="宋体" w:hAnsi="宋体"/>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54"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sz w:val="18"/>
                      <w:szCs w:val="18"/>
                    </w:rPr>
                  </w:pPr>
                </w:p>
              </w:tc>
              <w:tc>
                <w:tcPr>
                  <w:tcW w:w="851"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sz w:val="18"/>
                      <w:szCs w:val="18"/>
                    </w:rPr>
                  </w:pPr>
                </w:p>
              </w:tc>
              <w:tc>
                <w:tcPr>
                  <w:tcW w:w="3402" w:type="dxa"/>
                  <w:tcBorders>
                    <w:top w:val="single" w:color="auto" w:sz="4" w:space="0"/>
                    <w:left w:val="single" w:color="auto" w:sz="4" w:space="0"/>
                    <w:bottom w:val="single" w:color="auto" w:sz="4" w:space="0"/>
                    <w:right w:val="single" w:color="auto" w:sz="4" w:space="0"/>
                  </w:tcBorders>
                  <w:vAlign w:val="center"/>
                </w:tcPr>
                <w:p>
                  <w:pPr>
                    <w:spacing w:line="300" w:lineRule="exact"/>
                    <w:ind w:left="-42" w:leftChars="-20"/>
                    <w:jc w:val="left"/>
                    <w:rPr>
                      <w:rFonts w:ascii="宋体" w:hAnsi="宋体"/>
                      <w:sz w:val="18"/>
                      <w:szCs w:val="18"/>
                    </w:rPr>
                  </w:pPr>
                  <w:r>
                    <w:rPr>
                      <w:rFonts w:hint="eastAsia" w:ascii="宋体" w:hAnsi="宋体"/>
                      <w:sz w:val="18"/>
                      <w:szCs w:val="18"/>
                    </w:rPr>
                    <w:t>生活污水：利用办公室已设的化粪池，收集处理后，通过定期拉运的方式由</w:t>
                  </w:r>
                  <w:r>
                    <w:rPr>
                      <w:rFonts w:ascii="宋体" w:hAnsi="宋体"/>
                      <w:sz w:val="18"/>
                      <w:szCs w:val="18"/>
                    </w:rPr>
                    <w:t>东岳场镇污水处理厂处理后，达标排入双龙河</w:t>
                  </w:r>
                </w:p>
              </w:tc>
              <w:tc>
                <w:tcPr>
                  <w:tcW w:w="936"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sz w:val="18"/>
                      <w:szCs w:val="18"/>
                    </w:rPr>
                  </w:pPr>
                </w:p>
              </w:tc>
              <w:tc>
                <w:tcPr>
                  <w:tcW w:w="113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hint="eastAsia" w:ascii="宋体" w:hAnsi="宋体"/>
                      <w:sz w:val="18"/>
                      <w:szCs w:val="18"/>
                    </w:rPr>
                    <w:t>污泥</w:t>
                  </w:r>
                </w:p>
              </w:tc>
              <w:tc>
                <w:tcPr>
                  <w:tcW w:w="693"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rFonts w:ascii="宋体" w:hAnsi="宋体"/>
                      <w:sz w:val="18"/>
                      <w:szCs w:val="18"/>
                    </w:rPr>
                  </w:pPr>
                  <w:r>
                    <w:rPr>
                      <w:rFonts w:ascii="宋体" w:hAnsi="宋体"/>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854"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sz w:val="18"/>
                      <w:szCs w:val="18"/>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ascii="宋体" w:hAnsi="宋体"/>
                      <w:sz w:val="18"/>
                      <w:szCs w:val="18"/>
                    </w:rPr>
                    <w:t>噪声</w:t>
                  </w:r>
                </w:p>
                <w:p>
                  <w:pPr>
                    <w:spacing w:line="300" w:lineRule="exact"/>
                    <w:jc w:val="center"/>
                    <w:rPr>
                      <w:sz w:val="18"/>
                      <w:szCs w:val="18"/>
                    </w:rPr>
                  </w:pPr>
                  <w:r>
                    <w:rPr>
                      <w:rFonts w:ascii="宋体" w:hAnsi="宋体"/>
                      <w:sz w:val="18"/>
                      <w:szCs w:val="18"/>
                    </w:rPr>
                    <w:t>治理</w:t>
                  </w:r>
                </w:p>
              </w:tc>
              <w:tc>
                <w:tcPr>
                  <w:tcW w:w="3402" w:type="dxa"/>
                  <w:tcBorders>
                    <w:top w:val="single" w:color="auto" w:sz="4" w:space="0"/>
                    <w:left w:val="single" w:color="auto" w:sz="4" w:space="0"/>
                    <w:bottom w:val="single" w:color="auto" w:sz="4" w:space="0"/>
                    <w:right w:val="single" w:color="auto" w:sz="4" w:space="0"/>
                  </w:tcBorders>
                  <w:vAlign w:val="center"/>
                </w:tcPr>
                <w:p>
                  <w:pPr>
                    <w:spacing w:line="300" w:lineRule="exact"/>
                    <w:jc w:val="left"/>
                    <w:rPr>
                      <w:sz w:val="18"/>
                      <w:szCs w:val="18"/>
                    </w:rPr>
                  </w:pPr>
                  <w:r>
                    <w:rPr>
                      <w:rFonts w:hint="eastAsia" w:ascii="宋体" w:hAnsi="宋体"/>
                      <w:sz w:val="18"/>
                      <w:szCs w:val="18"/>
                    </w:rPr>
                    <w:t>煤炭装卸作业在堆棚内进行，利用建筑隔声；合理安排运输、装卸作业时段；潜水泵置于液面以下</w:t>
                  </w:r>
                </w:p>
              </w:tc>
              <w:tc>
                <w:tcPr>
                  <w:tcW w:w="936"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sz w:val="18"/>
                      <w:szCs w:val="18"/>
                    </w:rPr>
                  </w:pPr>
                </w:p>
              </w:tc>
              <w:tc>
                <w:tcPr>
                  <w:tcW w:w="113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w:t>
                  </w:r>
                </w:p>
              </w:tc>
              <w:tc>
                <w:tcPr>
                  <w:tcW w:w="693"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rFonts w:ascii="宋体" w:hAnsi="宋体"/>
                      <w:sz w:val="18"/>
                      <w:szCs w:val="18"/>
                    </w:rPr>
                  </w:pPr>
                  <w:r>
                    <w:rPr>
                      <w:rFonts w:ascii="宋体" w:hAnsi="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jc w:val="center"/>
              </w:trPr>
              <w:tc>
                <w:tcPr>
                  <w:tcW w:w="854"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sz w:val="18"/>
                      <w:szCs w:val="18"/>
                    </w:rPr>
                  </w:pPr>
                </w:p>
              </w:tc>
              <w:tc>
                <w:tcPr>
                  <w:tcW w:w="851" w:type="dxa"/>
                  <w:vMerge w:val="restart"/>
                  <w:tcBorders>
                    <w:top w:val="nil"/>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ascii="宋体" w:hAnsi="宋体"/>
                      <w:sz w:val="18"/>
                      <w:szCs w:val="18"/>
                    </w:rPr>
                    <w:t>固废</w:t>
                  </w:r>
                </w:p>
                <w:p>
                  <w:pPr>
                    <w:spacing w:line="300" w:lineRule="exact"/>
                    <w:jc w:val="center"/>
                    <w:rPr>
                      <w:sz w:val="18"/>
                      <w:szCs w:val="18"/>
                    </w:rPr>
                  </w:pPr>
                  <w:r>
                    <w:rPr>
                      <w:rFonts w:ascii="宋体" w:hAnsi="宋体"/>
                      <w:sz w:val="18"/>
                      <w:szCs w:val="18"/>
                    </w:rPr>
                    <w:t>处置</w:t>
                  </w:r>
                </w:p>
              </w:tc>
              <w:tc>
                <w:tcPr>
                  <w:tcW w:w="3402" w:type="dxa"/>
                  <w:tcBorders>
                    <w:top w:val="single" w:color="auto" w:sz="4" w:space="0"/>
                    <w:left w:val="single" w:color="auto" w:sz="4" w:space="0"/>
                    <w:bottom w:val="single" w:color="auto" w:sz="4" w:space="0"/>
                    <w:right w:val="single" w:color="auto" w:sz="4" w:space="0"/>
                  </w:tcBorders>
                  <w:vAlign w:val="center"/>
                </w:tcPr>
                <w:p>
                  <w:pPr>
                    <w:spacing w:line="300" w:lineRule="exact"/>
                    <w:ind w:left="-53" w:leftChars="-25" w:right="-53" w:rightChars="-25"/>
                    <w:jc w:val="left"/>
                    <w:rPr>
                      <w:rFonts w:ascii="宋体" w:hAnsi="宋体"/>
                      <w:sz w:val="18"/>
                      <w:szCs w:val="18"/>
                    </w:rPr>
                  </w:pPr>
                  <w:r>
                    <w:rPr>
                      <w:rFonts w:hint="eastAsia" w:ascii="宋体" w:hAnsi="宋体"/>
                      <w:sz w:val="18"/>
                      <w:szCs w:val="18"/>
                    </w:rPr>
                    <w:t xml:space="preserve">煤泥：产生于废水沉淀池，定期清理后混入煤炭产品外售 </w:t>
                  </w:r>
                </w:p>
              </w:tc>
              <w:tc>
                <w:tcPr>
                  <w:tcW w:w="936"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sz w:val="18"/>
                      <w:szCs w:val="18"/>
                    </w:rPr>
                  </w:pPr>
                </w:p>
              </w:tc>
              <w:tc>
                <w:tcPr>
                  <w:tcW w:w="113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w:t>
                  </w:r>
                </w:p>
              </w:tc>
              <w:tc>
                <w:tcPr>
                  <w:tcW w:w="693"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rFonts w:ascii="宋体" w:hAnsi="宋体"/>
                      <w:sz w:val="18"/>
                      <w:szCs w:val="18"/>
                    </w:rPr>
                  </w:pPr>
                  <w:r>
                    <w:rPr>
                      <w:rFonts w:ascii="宋体" w:hAnsi="宋体"/>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jc w:val="center"/>
              </w:trPr>
              <w:tc>
                <w:tcPr>
                  <w:tcW w:w="854"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sz w:val="18"/>
                      <w:szCs w:val="18"/>
                    </w:rPr>
                  </w:pPr>
                </w:p>
              </w:tc>
              <w:tc>
                <w:tcPr>
                  <w:tcW w:w="851"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sz w:val="18"/>
                      <w:szCs w:val="18"/>
                    </w:rPr>
                  </w:pPr>
                </w:p>
              </w:tc>
              <w:tc>
                <w:tcPr>
                  <w:tcW w:w="3402" w:type="dxa"/>
                  <w:tcBorders>
                    <w:top w:val="single" w:color="auto" w:sz="4" w:space="0"/>
                    <w:left w:val="single" w:color="auto" w:sz="4" w:space="0"/>
                    <w:bottom w:val="nil"/>
                    <w:right w:val="single" w:color="auto" w:sz="4" w:space="0"/>
                  </w:tcBorders>
                  <w:vAlign w:val="center"/>
                </w:tcPr>
                <w:p>
                  <w:pPr>
                    <w:spacing w:line="300" w:lineRule="exact"/>
                    <w:jc w:val="left"/>
                    <w:rPr>
                      <w:rFonts w:ascii="宋体" w:hAnsi="宋体"/>
                      <w:sz w:val="18"/>
                      <w:szCs w:val="18"/>
                    </w:rPr>
                  </w:pPr>
                  <w:r>
                    <w:rPr>
                      <w:rFonts w:hint="eastAsia" w:ascii="宋体" w:hAnsi="宋体"/>
                      <w:sz w:val="18"/>
                      <w:szCs w:val="18"/>
                    </w:rPr>
                    <w:t>生活垃圾：设垃圾桶收集，外运至场镇生活垃圾收集点</w:t>
                  </w:r>
                </w:p>
              </w:tc>
              <w:tc>
                <w:tcPr>
                  <w:tcW w:w="936"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sz w:val="18"/>
                      <w:szCs w:val="18"/>
                    </w:rPr>
                  </w:pPr>
                </w:p>
              </w:tc>
              <w:tc>
                <w:tcPr>
                  <w:tcW w:w="113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hint="eastAsia" w:ascii="宋体" w:hAnsi="宋体"/>
                      <w:sz w:val="18"/>
                      <w:szCs w:val="18"/>
                    </w:rPr>
                    <w:t>恶臭</w:t>
                  </w:r>
                </w:p>
              </w:tc>
              <w:tc>
                <w:tcPr>
                  <w:tcW w:w="693"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rFonts w:ascii="宋体" w:hAnsi="宋体"/>
                      <w:sz w:val="18"/>
                      <w:szCs w:val="18"/>
                    </w:rPr>
                  </w:pPr>
                  <w:r>
                    <w:rPr>
                      <w:rFonts w:ascii="宋体" w:hAnsi="宋体"/>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jc w:val="center"/>
              </w:trPr>
              <w:tc>
                <w:tcPr>
                  <w:tcW w:w="85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hint="eastAsia" w:ascii="宋体" w:hAnsi="宋体"/>
                      <w:sz w:val="18"/>
                      <w:szCs w:val="18"/>
                    </w:rPr>
                    <w:t>办公及生活</w:t>
                  </w:r>
                </w:p>
              </w:tc>
              <w:tc>
                <w:tcPr>
                  <w:tcW w:w="4253"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sz w:val="18"/>
                      <w:szCs w:val="18"/>
                    </w:rPr>
                  </w:pPr>
                  <w:r>
                    <w:rPr>
                      <w:rFonts w:hint="eastAsia" w:ascii="宋体" w:hAnsi="宋体"/>
                      <w:sz w:val="18"/>
                      <w:szCs w:val="18"/>
                    </w:rPr>
                    <w:t>租用场地内已建的办公生活用房，总建筑面积</w:t>
                  </w:r>
                  <w:r>
                    <w:rPr>
                      <w:rFonts w:hint="eastAsia"/>
                      <w:bCs/>
                      <w:kern w:val="0"/>
                      <w:sz w:val="18"/>
                      <w:szCs w:val="18"/>
                    </w:rPr>
                    <w:t>20m</w:t>
                  </w:r>
                  <w:r>
                    <w:rPr>
                      <w:rFonts w:hint="eastAsia"/>
                      <w:bCs/>
                      <w:kern w:val="0"/>
                      <w:sz w:val="18"/>
                      <w:szCs w:val="18"/>
                      <w:vertAlign w:val="superscript"/>
                    </w:rPr>
                    <w:t>2</w:t>
                  </w:r>
                  <w:r>
                    <w:rPr>
                      <w:rFonts w:hint="eastAsia"/>
                      <w:bCs/>
                      <w:kern w:val="0"/>
                      <w:sz w:val="18"/>
                      <w:szCs w:val="18"/>
                    </w:rPr>
                    <w:t>。项目办公区不设食宿。</w:t>
                  </w:r>
                </w:p>
              </w:tc>
              <w:tc>
                <w:tcPr>
                  <w:tcW w:w="936"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sz w:val="18"/>
                      <w:szCs w:val="18"/>
                    </w:rPr>
                  </w:pPr>
                </w:p>
              </w:tc>
              <w:tc>
                <w:tcPr>
                  <w:tcW w:w="113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hint="eastAsia" w:ascii="宋体" w:hAnsi="宋体"/>
                      <w:sz w:val="18"/>
                      <w:szCs w:val="18"/>
                    </w:rPr>
                    <w:t>生活垃圾、生活污水</w:t>
                  </w:r>
                </w:p>
              </w:tc>
              <w:tc>
                <w:tcPr>
                  <w:tcW w:w="69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ascii="宋体" w:hAnsi="宋体"/>
                      <w:sz w:val="18"/>
                      <w:szCs w:val="18"/>
                    </w:rPr>
                    <w:t>已建</w:t>
                  </w:r>
                </w:p>
              </w:tc>
            </w:tr>
          </w:tbl>
          <w:p>
            <w:pPr>
              <w:adjustRightInd w:val="0"/>
              <w:snapToGrid w:val="0"/>
              <w:spacing w:line="400" w:lineRule="exact"/>
              <w:ind w:left="-53" w:leftChars="-25" w:right="-53" w:rightChars="-25"/>
              <w:jc w:val="left"/>
              <w:rPr>
                <w:rFonts w:eastAsia="黑体"/>
                <w:bCs/>
                <w:sz w:val="22"/>
                <w:szCs w:val="22"/>
              </w:rPr>
            </w:pPr>
            <w:r>
              <w:rPr>
                <w:rFonts w:hint="eastAsia" w:eastAsia="黑体"/>
                <w:bCs/>
                <w:sz w:val="22"/>
                <w:szCs w:val="22"/>
              </w:rPr>
              <w:t>3</w:t>
            </w:r>
            <w:r>
              <w:rPr>
                <w:rFonts w:eastAsia="黑体"/>
                <w:bCs/>
                <w:sz w:val="22"/>
                <w:szCs w:val="22"/>
              </w:rPr>
              <w:t>、产品方案及产能</w:t>
            </w:r>
          </w:p>
          <w:p>
            <w:pPr>
              <w:spacing w:line="400" w:lineRule="exact"/>
              <w:ind w:firstLine="420" w:firstLineChars="200"/>
              <w:rPr>
                <w:szCs w:val="21"/>
              </w:rPr>
            </w:pPr>
            <w:r>
              <w:rPr>
                <w:rFonts w:hint="eastAsia"/>
                <w:szCs w:val="21"/>
              </w:rPr>
              <w:t>本项目储煤棚主要堆存动力煤（主要是电煤），交付东岳电厂发电使用，储煤棚最大库容8800吨。储煤棚基本情况见下表。</w:t>
            </w:r>
          </w:p>
          <w:p>
            <w:pPr>
              <w:spacing w:line="400" w:lineRule="exact"/>
              <w:jc w:val="center"/>
              <w:rPr>
                <w:rFonts w:ascii="黑体" w:hAnsi="黑体" w:eastAsia="黑体"/>
                <w:sz w:val="18"/>
                <w:szCs w:val="18"/>
              </w:rPr>
            </w:pPr>
            <w:r>
              <w:rPr>
                <w:rFonts w:ascii="黑体" w:hAnsi="黑体" w:eastAsia="黑体"/>
                <w:sz w:val="18"/>
                <w:szCs w:val="18"/>
              </w:rPr>
              <w:t>表</w:t>
            </w:r>
            <w:r>
              <w:rPr>
                <w:rFonts w:hint="eastAsia" w:eastAsia="黑体"/>
                <w:sz w:val="18"/>
                <w:szCs w:val="18"/>
              </w:rPr>
              <w:t>2-2   储煤棚基本情况</w:t>
            </w:r>
          </w:p>
          <w:tbl>
            <w:tblPr>
              <w:tblStyle w:val="21"/>
              <w:tblW w:w="75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919"/>
              <w:gridCol w:w="992"/>
              <w:gridCol w:w="1559"/>
              <w:gridCol w:w="1276"/>
              <w:gridCol w:w="1388"/>
              <w:gridCol w:w="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64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b/>
                      <w:bCs/>
                      <w:sz w:val="18"/>
                      <w:szCs w:val="18"/>
                    </w:rPr>
                  </w:pPr>
                  <w:r>
                    <w:rPr>
                      <w:rFonts w:ascii="宋体" w:hAnsi="宋体"/>
                      <w:b/>
                      <w:bCs/>
                      <w:sz w:val="18"/>
                      <w:szCs w:val="18"/>
                    </w:rPr>
                    <w:t>序号</w:t>
                  </w:r>
                </w:p>
              </w:tc>
              <w:tc>
                <w:tcPr>
                  <w:tcW w:w="91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b/>
                      <w:bCs/>
                      <w:sz w:val="18"/>
                      <w:szCs w:val="18"/>
                    </w:rPr>
                  </w:pPr>
                  <w:r>
                    <w:rPr>
                      <w:rFonts w:ascii="宋体" w:hAnsi="宋体"/>
                      <w:b/>
                      <w:bCs/>
                      <w:sz w:val="18"/>
                      <w:szCs w:val="18"/>
                    </w:rPr>
                    <w:t>名称</w:t>
                  </w:r>
                </w:p>
              </w:tc>
              <w:tc>
                <w:tcPr>
                  <w:tcW w:w="99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b/>
                      <w:bCs/>
                      <w:sz w:val="18"/>
                      <w:szCs w:val="18"/>
                    </w:rPr>
                  </w:pPr>
                  <w:r>
                    <w:rPr>
                      <w:rFonts w:hint="eastAsia" w:ascii="宋体" w:hAnsi="宋体"/>
                      <w:b/>
                      <w:bCs/>
                      <w:sz w:val="18"/>
                      <w:szCs w:val="18"/>
                    </w:rPr>
                    <w:t>储煤种类</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b/>
                      <w:bCs/>
                      <w:sz w:val="18"/>
                      <w:szCs w:val="18"/>
                    </w:rPr>
                  </w:pPr>
                  <w:r>
                    <w:rPr>
                      <w:rFonts w:ascii="宋体" w:hAnsi="宋体"/>
                      <w:b/>
                      <w:bCs/>
                      <w:sz w:val="18"/>
                      <w:szCs w:val="18"/>
                    </w:rPr>
                    <w:t>棚高</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b/>
                      <w:bCs/>
                      <w:sz w:val="18"/>
                      <w:szCs w:val="18"/>
                    </w:rPr>
                  </w:pPr>
                  <w:r>
                    <w:rPr>
                      <w:rFonts w:hint="eastAsia" w:ascii="宋体" w:hAnsi="宋体"/>
                      <w:b/>
                      <w:bCs/>
                      <w:sz w:val="18"/>
                      <w:szCs w:val="18"/>
                    </w:rPr>
                    <w:t>建筑面积</w:t>
                  </w:r>
                </w:p>
              </w:tc>
              <w:tc>
                <w:tcPr>
                  <w:tcW w:w="138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b/>
                      <w:bCs/>
                      <w:sz w:val="18"/>
                      <w:szCs w:val="18"/>
                    </w:rPr>
                  </w:pPr>
                  <w:r>
                    <w:rPr>
                      <w:rFonts w:ascii="宋体" w:hAnsi="宋体"/>
                      <w:b/>
                      <w:bCs/>
                      <w:sz w:val="18"/>
                      <w:szCs w:val="18"/>
                    </w:rPr>
                    <w:t>最大库容</w:t>
                  </w:r>
                </w:p>
              </w:tc>
              <w:tc>
                <w:tcPr>
                  <w:tcW w:w="80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b/>
                      <w:bCs/>
                      <w:sz w:val="18"/>
                      <w:szCs w:val="18"/>
                    </w:rPr>
                  </w:pPr>
                  <w:r>
                    <w:rPr>
                      <w:rFonts w:ascii="宋体" w:hAnsi="宋体"/>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64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 w:val="18"/>
                      <w:szCs w:val="18"/>
                    </w:rPr>
                  </w:pPr>
                  <w:r>
                    <w:rPr>
                      <w:sz w:val="18"/>
                      <w:szCs w:val="18"/>
                    </w:rPr>
                    <w:t>1</w:t>
                  </w:r>
                </w:p>
              </w:tc>
              <w:tc>
                <w:tcPr>
                  <w:tcW w:w="91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18"/>
                      <w:szCs w:val="18"/>
                    </w:rPr>
                  </w:pPr>
                  <w:r>
                    <w:rPr>
                      <w:rFonts w:ascii="宋体" w:hAnsi="宋体"/>
                      <w:sz w:val="18"/>
                      <w:szCs w:val="18"/>
                    </w:rPr>
                    <w:t>储煤棚</w:t>
                  </w:r>
                </w:p>
              </w:tc>
              <w:tc>
                <w:tcPr>
                  <w:tcW w:w="99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18"/>
                      <w:szCs w:val="18"/>
                    </w:rPr>
                  </w:pPr>
                  <w:r>
                    <w:rPr>
                      <w:rFonts w:ascii="宋体" w:hAnsi="宋体"/>
                      <w:sz w:val="18"/>
                      <w:szCs w:val="18"/>
                    </w:rPr>
                    <w:t>动力煤</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 w:val="18"/>
                      <w:szCs w:val="18"/>
                    </w:rPr>
                  </w:pPr>
                  <w:r>
                    <w:rPr>
                      <w:rFonts w:hint="eastAsia"/>
                      <w:sz w:val="18"/>
                      <w:szCs w:val="18"/>
                    </w:rPr>
                    <w:t>13m（中心高度）</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 w:val="18"/>
                      <w:szCs w:val="18"/>
                      <w:vertAlign w:val="superscript"/>
                    </w:rPr>
                  </w:pPr>
                  <w:r>
                    <w:rPr>
                      <w:rFonts w:hint="eastAsia"/>
                      <w:sz w:val="18"/>
                      <w:szCs w:val="18"/>
                    </w:rPr>
                    <w:t>2200m</w:t>
                  </w:r>
                  <w:r>
                    <w:rPr>
                      <w:rFonts w:hint="eastAsia"/>
                      <w:sz w:val="18"/>
                      <w:szCs w:val="18"/>
                      <w:vertAlign w:val="superscript"/>
                    </w:rPr>
                    <w:t>2</w:t>
                  </w:r>
                </w:p>
              </w:tc>
              <w:tc>
                <w:tcPr>
                  <w:tcW w:w="138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18"/>
                      <w:szCs w:val="18"/>
                    </w:rPr>
                  </w:pPr>
                  <w:r>
                    <w:rPr>
                      <w:rFonts w:hint="eastAsia"/>
                      <w:sz w:val="18"/>
                      <w:szCs w:val="18"/>
                    </w:rPr>
                    <w:t>8800</w:t>
                  </w:r>
                  <w:r>
                    <w:rPr>
                      <w:rFonts w:hint="eastAsia" w:ascii="宋体" w:hAnsi="宋体"/>
                      <w:sz w:val="18"/>
                      <w:szCs w:val="18"/>
                    </w:rPr>
                    <w:t>吨</w:t>
                  </w:r>
                </w:p>
              </w:tc>
              <w:tc>
                <w:tcPr>
                  <w:tcW w:w="80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18"/>
                      <w:szCs w:val="18"/>
                    </w:rPr>
                  </w:pPr>
                  <w:r>
                    <w:rPr>
                      <w:rFonts w:hint="eastAsia"/>
                      <w:sz w:val="18"/>
                      <w:szCs w:val="18"/>
                    </w:rPr>
                    <w:t>/</w:t>
                  </w:r>
                </w:p>
              </w:tc>
            </w:tr>
          </w:tbl>
          <w:p>
            <w:pPr>
              <w:adjustRightInd w:val="0"/>
              <w:snapToGrid w:val="0"/>
              <w:spacing w:line="400" w:lineRule="exact"/>
              <w:jc w:val="left"/>
              <w:rPr>
                <w:rFonts w:eastAsia="黑体"/>
                <w:bCs/>
                <w:sz w:val="22"/>
                <w:szCs w:val="22"/>
              </w:rPr>
            </w:pPr>
            <w:r>
              <w:rPr>
                <w:rFonts w:hint="eastAsia" w:eastAsia="黑体"/>
                <w:bCs/>
                <w:sz w:val="22"/>
                <w:szCs w:val="22"/>
              </w:rPr>
              <w:t xml:space="preserve"> 4</w:t>
            </w:r>
            <w:r>
              <w:rPr>
                <w:rFonts w:eastAsia="黑体"/>
                <w:bCs/>
                <w:sz w:val="22"/>
                <w:szCs w:val="22"/>
              </w:rPr>
              <w:t>、原辅材料及能源消耗</w:t>
            </w:r>
          </w:p>
          <w:p>
            <w:pPr>
              <w:autoSpaceDE w:val="0"/>
              <w:autoSpaceDN w:val="0"/>
              <w:adjustRightInd w:val="0"/>
              <w:snapToGrid w:val="0"/>
              <w:spacing w:line="400" w:lineRule="exact"/>
              <w:ind w:firstLine="420" w:firstLineChars="200"/>
              <w:jc w:val="left"/>
              <w:rPr>
                <w:kern w:val="0"/>
                <w:szCs w:val="21"/>
              </w:rPr>
            </w:pPr>
            <w:r>
              <w:rPr>
                <w:kern w:val="0"/>
                <w:szCs w:val="21"/>
              </w:rPr>
              <w:t>本项目主要原、辅材料及能源消耗见下表。</w:t>
            </w:r>
          </w:p>
          <w:p>
            <w:pPr>
              <w:spacing w:line="400" w:lineRule="exact"/>
              <w:jc w:val="center"/>
              <w:rPr>
                <w:rFonts w:eastAsia="黑体"/>
                <w:sz w:val="18"/>
                <w:szCs w:val="18"/>
              </w:rPr>
            </w:pPr>
            <w:r>
              <w:rPr>
                <w:rFonts w:eastAsia="黑体"/>
                <w:sz w:val="18"/>
                <w:szCs w:val="18"/>
              </w:rPr>
              <w:t>表</w:t>
            </w:r>
            <w:r>
              <w:rPr>
                <w:rFonts w:hint="eastAsia" w:eastAsia="黑体"/>
                <w:sz w:val="18"/>
                <w:szCs w:val="18"/>
              </w:rPr>
              <w:t xml:space="preserve">2-3 </w:t>
            </w:r>
            <w:r>
              <w:rPr>
                <w:rFonts w:eastAsia="黑体"/>
                <w:sz w:val="18"/>
                <w:szCs w:val="18"/>
              </w:rPr>
              <w:t xml:space="preserve">   主要原、辅材料及能源消耗表</w:t>
            </w:r>
          </w:p>
          <w:tbl>
            <w:tblPr>
              <w:tblStyle w:val="21"/>
              <w:tblW w:w="0" w:type="auto"/>
              <w:tblInd w:w="1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5"/>
              <w:gridCol w:w="1276"/>
              <w:gridCol w:w="1134"/>
              <w:gridCol w:w="1275"/>
              <w:gridCol w:w="2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995" w:type="dxa"/>
                  <w:vAlign w:val="center"/>
                </w:tcPr>
                <w:p>
                  <w:pPr>
                    <w:widowControl/>
                    <w:adjustRightInd w:val="0"/>
                    <w:snapToGrid w:val="0"/>
                    <w:spacing w:line="300" w:lineRule="exact"/>
                    <w:jc w:val="center"/>
                    <w:rPr>
                      <w:kern w:val="0"/>
                      <w:sz w:val="18"/>
                      <w:szCs w:val="18"/>
                    </w:rPr>
                  </w:pPr>
                  <w:r>
                    <w:rPr>
                      <w:kern w:val="0"/>
                      <w:sz w:val="18"/>
                      <w:szCs w:val="18"/>
                    </w:rPr>
                    <w:t>名称</w:t>
                  </w:r>
                </w:p>
              </w:tc>
              <w:tc>
                <w:tcPr>
                  <w:tcW w:w="1276" w:type="dxa"/>
                  <w:vAlign w:val="center"/>
                </w:tcPr>
                <w:p>
                  <w:pPr>
                    <w:adjustRightInd w:val="0"/>
                    <w:snapToGrid w:val="0"/>
                    <w:spacing w:line="300" w:lineRule="exact"/>
                    <w:jc w:val="center"/>
                    <w:rPr>
                      <w:kern w:val="0"/>
                      <w:sz w:val="18"/>
                      <w:szCs w:val="18"/>
                    </w:rPr>
                  </w:pPr>
                  <w:r>
                    <w:rPr>
                      <w:kern w:val="0"/>
                      <w:sz w:val="18"/>
                      <w:szCs w:val="18"/>
                    </w:rPr>
                    <w:t>名称</w:t>
                  </w:r>
                </w:p>
              </w:tc>
              <w:tc>
                <w:tcPr>
                  <w:tcW w:w="1134" w:type="dxa"/>
                  <w:vAlign w:val="center"/>
                </w:tcPr>
                <w:p>
                  <w:pPr>
                    <w:widowControl/>
                    <w:adjustRightInd w:val="0"/>
                    <w:snapToGrid w:val="0"/>
                    <w:spacing w:line="300" w:lineRule="exact"/>
                    <w:jc w:val="center"/>
                    <w:rPr>
                      <w:kern w:val="0"/>
                      <w:sz w:val="18"/>
                      <w:szCs w:val="18"/>
                    </w:rPr>
                  </w:pPr>
                  <w:r>
                    <w:rPr>
                      <w:kern w:val="0"/>
                      <w:sz w:val="18"/>
                      <w:szCs w:val="18"/>
                    </w:rPr>
                    <w:t>单位</w:t>
                  </w:r>
                </w:p>
              </w:tc>
              <w:tc>
                <w:tcPr>
                  <w:tcW w:w="1275" w:type="dxa"/>
                  <w:vAlign w:val="center"/>
                </w:tcPr>
                <w:p>
                  <w:pPr>
                    <w:widowControl/>
                    <w:adjustRightInd w:val="0"/>
                    <w:snapToGrid w:val="0"/>
                    <w:spacing w:line="300" w:lineRule="exact"/>
                    <w:jc w:val="center"/>
                    <w:rPr>
                      <w:kern w:val="0"/>
                      <w:sz w:val="18"/>
                      <w:szCs w:val="18"/>
                    </w:rPr>
                  </w:pPr>
                  <w:r>
                    <w:rPr>
                      <w:kern w:val="0"/>
                      <w:sz w:val="18"/>
                      <w:szCs w:val="18"/>
                    </w:rPr>
                    <w:t>数量</w:t>
                  </w:r>
                </w:p>
              </w:tc>
              <w:tc>
                <w:tcPr>
                  <w:tcW w:w="2876" w:type="dxa"/>
                  <w:vAlign w:val="center"/>
                </w:tcPr>
                <w:p>
                  <w:pPr>
                    <w:widowControl/>
                    <w:adjustRightInd w:val="0"/>
                    <w:snapToGrid w:val="0"/>
                    <w:spacing w:line="300" w:lineRule="exact"/>
                    <w:jc w:val="center"/>
                    <w:rPr>
                      <w:kern w:val="0"/>
                      <w:sz w:val="18"/>
                      <w:szCs w:val="18"/>
                    </w:rPr>
                  </w:pPr>
                  <w:r>
                    <w:rPr>
                      <w:kern w:val="0"/>
                      <w:sz w:val="18"/>
                      <w:szCs w:val="18"/>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995" w:type="dxa"/>
                  <w:vAlign w:val="center"/>
                </w:tcPr>
                <w:p>
                  <w:pPr>
                    <w:widowControl/>
                    <w:adjustRightInd w:val="0"/>
                    <w:snapToGrid w:val="0"/>
                    <w:spacing w:line="300" w:lineRule="exact"/>
                    <w:jc w:val="center"/>
                    <w:rPr>
                      <w:kern w:val="0"/>
                      <w:sz w:val="18"/>
                      <w:szCs w:val="18"/>
                    </w:rPr>
                  </w:pPr>
                  <w:r>
                    <w:rPr>
                      <w:kern w:val="0"/>
                      <w:sz w:val="18"/>
                      <w:szCs w:val="18"/>
                    </w:rPr>
                    <w:t>原辅材料</w:t>
                  </w:r>
                </w:p>
              </w:tc>
              <w:tc>
                <w:tcPr>
                  <w:tcW w:w="1276" w:type="dxa"/>
                  <w:vAlign w:val="center"/>
                </w:tcPr>
                <w:p>
                  <w:pPr>
                    <w:adjustRightInd w:val="0"/>
                    <w:snapToGrid w:val="0"/>
                    <w:spacing w:line="300" w:lineRule="exact"/>
                    <w:jc w:val="center"/>
                    <w:rPr>
                      <w:kern w:val="0"/>
                      <w:sz w:val="18"/>
                      <w:szCs w:val="18"/>
                    </w:rPr>
                  </w:pPr>
                  <w:r>
                    <w:rPr>
                      <w:kern w:val="0"/>
                      <w:sz w:val="18"/>
                      <w:szCs w:val="18"/>
                    </w:rPr>
                    <w:t>动力煤</w:t>
                  </w:r>
                </w:p>
              </w:tc>
              <w:tc>
                <w:tcPr>
                  <w:tcW w:w="1134" w:type="dxa"/>
                  <w:vAlign w:val="center"/>
                </w:tcPr>
                <w:p>
                  <w:pPr>
                    <w:widowControl/>
                    <w:adjustRightInd w:val="0"/>
                    <w:snapToGrid w:val="0"/>
                    <w:spacing w:line="300" w:lineRule="exact"/>
                    <w:jc w:val="center"/>
                    <w:rPr>
                      <w:kern w:val="0"/>
                      <w:sz w:val="18"/>
                      <w:szCs w:val="18"/>
                    </w:rPr>
                  </w:pPr>
                  <w:r>
                    <w:rPr>
                      <w:kern w:val="0"/>
                      <w:sz w:val="18"/>
                      <w:szCs w:val="18"/>
                    </w:rPr>
                    <w:t>万t/a</w:t>
                  </w:r>
                </w:p>
              </w:tc>
              <w:tc>
                <w:tcPr>
                  <w:tcW w:w="1275" w:type="dxa"/>
                  <w:vAlign w:val="center"/>
                </w:tcPr>
                <w:p>
                  <w:pPr>
                    <w:widowControl/>
                    <w:adjustRightInd w:val="0"/>
                    <w:snapToGrid w:val="0"/>
                    <w:spacing w:line="300" w:lineRule="exact"/>
                    <w:jc w:val="center"/>
                    <w:rPr>
                      <w:kern w:val="0"/>
                      <w:sz w:val="18"/>
                      <w:szCs w:val="18"/>
                    </w:rPr>
                  </w:pPr>
                  <w:r>
                    <w:rPr>
                      <w:rFonts w:hint="eastAsia"/>
                      <w:kern w:val="0"/>
                      <w:sz w:val="18"/>
                      <w:szCs w:val="18"/>
                    </w:rPr>
                    <w:t>6.0万吨</w:t>
                  </w:r>
                </w:p>
              </w:tc>
              <w:tc>
                <w:tcPr>
                  <w:tcW w:w="2876" w:type="dxa"/>
                  <w:vAlign w:val="center"/>
                </w:tcPr>
                <w:p>
                  <w:pPr>
                    <w:widowControl/>
                    <w:adjustRightInd w:val="0"/>
                    <w:snapToGrid w:val="0"/>
                    <w:spacing w:line="300" w:lineRule="exact"/>
                    <w:jc w:val="center"/>
                    <w:rPr>
                      <w:kern w:val="0"/>
                      <w:sz w:val="18"/>
                      <w:szCs w:val="18"/>
                    </w:rPr>
                  </w:pPr>
                  <w:r>
                    <w:rPr>
                      <w:rFonts w:hint="eastAsia"/>
                      <w:kern w:val="0"/>
                      <w:sz w:val="18"/>
                      <w:szCs w:val="18"/>
                    </w:rPr>
                    <w:t>煤炭主要来自达州市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995" w:type="dxa"/>
                  <w:vMerge w:val="restart"/>
                  <w:vAlign w:val="center"/>
                </w:tcPr>
                <w:p>
                  <w:pPr>
                    <w:widowControl/>
                    <w:adjustRightInd w:val="0"/>
                    <w:snapToGrid w:val="0"/>
                    <w:spacing w:line="300" w:lineRule="exact"/>
                    <w:jc w:val="center"/>
                    <w:rPr>
                      <w:kern w:val="0"/>
                      <w:sz w:val="18"/>
                      <w:szCs w:val="18"/>
                    </w:rPr>
                  </w:pPr>
                  <w:r>
                    <w:rPr>
                      <w:kern w:val="0"/>
                      <w:sz w:val="18"/>
                      <w:szCs w:val="18"/>
                    </w:rPr>
                    <w:t>能源</w:t>
                  </w:r>
                </w:p>
              </w:tc>
              <w:tc>
                <w:tcPr>
                  <w:tcW w:w="1276" w:type="dxa"/>
                  <w:vAlign w:val="center"/>
                </w:tcPr>
                <w:p>
                  <w:pPr>
                    <w:adjustRightInd w:val="0"/>
                    <w:snapToGrid w:val="0"/>
                    <w:spacing w:line="300" w:lineRule="exact"/>
                    <w:jc w:val="center"/>
                    <w:rPr>
                      <w:kern w:val="0"/>
                      <w:sz w:val="18"/>
                      <w:szCs w:val="18"/>
                    </w:rPr>
                  </w:pPr>
                  <w:r>
                    <w:rPr>
                      <w:kern w:val="0"/>
                      <w:sz w:val="18"/>
                      <w:szCs w:val="18"/>
                    </w:rPr>
                    <w:t>水</w:t>
                  </w:r>
                </w:p>
              </w:tc>
              <w:tc>
                <w:tcPr>
                  <w:tcW w:w="1134" w:type="dxa"/>
                  <w:vAlign w:val="center"/>
                </w:tcPr>
                <w:p>
                  <w:pPr>
                    <w:widowControl/>
                    <w:adjustRightInd w:val="0"/>
                    <w:snapToGrid w:val="0"/>
                    <w:spacing w:line="300" w:lineRule="exact"/>
                    <w:jc w:val="center"/>
                    <w:rPr>
                      <w:kern w:val="0"/>
                      <w:sz w:val="18"/>
                      <w:szCs w:val="18"/>
                    </w:rPr>
                  </w:pPr>
                  <w:r>
                    <w:rPr>
                      <w:kern w:val="0"/>
                      <w:sz w:val="18"/>
                      <w:szCs w:val="18"/>
                    </w:rPr>
                    <w:t>m</w:t>
                  </w:r>
                  <w:r>
                    <w:rPr>
                      <w:kern w:val="0"/>
                      <w:sz w:val="18"/>
                      <w:szCs w:val="18"/>
                      <w:vertAlign w:val="superscript"/>
                    </w:rPr>
                    <w:t>3</w:t>
                  </w:r>
                  <w:r>
                    <w:rPr>
                      <w:kern w:val="0"/>
                      <w:sz w:val="18"/>
                      <w:szCs w:val="18"/>
                    </w:rPr>
                    <w:t>/a</w:t>
                  </w:r>
                </w:p>
              </w:tc>
              <w:tc>
                <w:tcPr>
                  <w:tcW w:w="1275" w:type="dxa"/>
                  <w:vAlign w:val="center"/>
                </w:tcPr>
                <w:p>
                  <w:pPr>
                    <w:widowControl/>
                    <w:adjustRightInd w:val="0"/>
                    <w:snapToGrid w:val="0"/>
                    <w:spacing w:line="300" w:lineRule="exact"/>
                    <w:jc w:val="center"/>
                    <w:rPr>
                      <w:kern w:val="0"/>
                      <w:sz w:val="18"/>
                      <w:szCs w:val="18"/>
                    </w:rPr>
                  </w:pPr>
                  <w:r>
                    <w:rPr>
                      <w:rFonts w:hint="eastAsia"/>
                      <w:sz w:val="18"/>
                      <w:szCs w:val="18"/>
                    </w:rPr>
                    <w:t>3078</w:t>
                  </w:r>
                </w:p>
              </w:tc>
              <w:tc>
                <w:tcPr>
                  <w:tcW w:w="2876" w:type="dxa"/>
                  <w:vAlign w:val="center"/>
                </w:tcPr>
                <w:p>
                  <w:pPr>
                    <w:widowControl/>
                    <w:adjustRightInd w:val="0"/>
                    <w:snapToGrid w:val="0"/>
                    <w:spacing w:line="300" w:lineRule="exact"/>
                    <w:jc w:val="center"/>
                    <w:rPr>
                      <w:kern w:val="0"/>
                      <w:sz w:val="18"/>
                      <w:szCs w:val="18"/>
                    </w:rPr>
                  </w:pPr>
                  <w:r>
                    <w:rPr>
                      <w:kern w:val="0"/>
                      <w:sz w:val="18"/>
                      <w:szCs w:val="18"/>
                    </w:rPr>
                    <w:t>市政供水管网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995" w:type="dxa"/>
                  <w:vMerge w:val="continue"/>
                  <w:vAlign w:val="center"/>
                </w:tcPr>
                <w:p>
                  <w:pPr>
                    <w:widowControl/>
                    <w:adjustRightInd w:val="0"/>
                    <w:snapToGrid w:val="0"/>
                    <w:spacing w:line="300" w:lineRule="exact"/>
                    <w:jc w:val="center"/>
                    <w:rPr>
                      <w:kern w:val="0"/>
                      <w:sz w:val="18"/>
                      <w:szCs w:val="18"/>
                    </w:rPr>
                  </w:pPr>
                </w:p>
              </w:tc>
              <w:tc>
                <w:tcPr>
                  <w:tcW w:w="1276" w:type="dxa"/>
                  <w:vAlign w:val="center"/>
                </w:tcPr>
                <w:p>
                  <w:pPr>
                    <w:adjustRightInd w:val="0"/>
                    <w:snapToGrid w:val="0"/>
                    <w:spacing w:line="300" w:lineRule="exact"/>
                    <w:jc w:val="center"/>
                    <w:rPr>
                      <w:kern w:val="0"/>
                      <w:sz w:val="18"/>
                      <w:szCs w:val="18"/>
                    </w:rPr>
                  </w:pPr>
                  <w:r>
                    <w:rPr>
                      <w:kern w:val="0"/>
                      <w:sz w:val="18"/>
                      <w:szCs w:val="18"/>
                    </w:rPr>
                    <w:t>电</w:t>
                  </w:r>
                </w:p>
              </w:tc>
              <w:tc>
                <w:tcPr>
                  <w:tcW w:w="1134" w:type="dxa"/>
                  <w:vAlign w:val="center"/>
                </w:tcPr>
                <w:p>
                  <w:pPr>
                    <w:widowControl/>
                    <w:adjustRightInd w:val="0"/>
                    <w:snapToGrid w:val="0"/>
                    <w:spacing w:line="300" w:lineRule="exact"/>
                    <w:jc w:val="center"/>
                    <w:rPr>
                      <w:kern w:val="0"/>
                      <w:sz w:val="18"/>
                      <w:szCs w:val="18"/>
                    </w:rPr>
                  </w:pPr>
                  <w:r>
                    <w:rPr>
                      <w:kern w:val="0"/>
                      <w:sz w:val="18"/>
                      <w:szCs w:val="18"/>
                    </w:rPr>
                    <w:t>万kWh/a</w:t>
                  </w:r>
                </w:p>
              </w:tc>
              <w:tc>
                <w:tcPr>
                  <w:tcW w:w="1275" w:type="dxa"/>
                  <w:vAlign w:val="center"/>
                </w:tcPr>
                <w:p>
                  <w:pPr>
                    <w:widowControl/>
                    <w:adjustRightInd w:val="0"/>
                    <w:snapToGrid w:val="0"/>
                    <w:spacing w:line="300" w:lineRule="exact"/>
                    <w:jc w:val="center"/>
                    <w:rPr>
                      <w:kern w:val="0"/>
                      <w:sz w:val="18"/>
                      <w:szCs w:val="18"/>
                    </w:rPr>
                  </w:pPr>
                  <w:r>
                    <w:rPr>
                      <w:rFonts w:hint="eastAsia"/>
                      <w:kern w:val="0"/>
                      <w:sz w:val="18"/>
                      <w:szCs w:val="18"/>
                    </w:rPr>
                    <w:t>3.0</w:t>
                  </w:r>
                </w:p>
              </w:tc>
              <w:tc>
                <w:tcPr>
                  <w:tcW w:w="2876" w:type="dxa"/>
                  <w:vAlign w:val="center"/>
                </w:tcPr>
                <w:p>
                  <w:pPr>
                    <w:widowControl/>
                    <w:adjustRightInd w:val="0"/>
                    <w:snapToGrid w:val="0"/>
                    <w:spacing w:line="300" w:lineRule="exact"/>
                    <w:jc w:val="center"/>
                    <w:rPr>
                      <w:kern w:val="0"/>
                      <w:sz w:val="18"/>
                      <w:szCs w:val="18"/>
                    </w:rPr>
                  </w:pPr>
                  <w:r>
                    <w:rPr>
                      <w:kern w:val="0"/>
                      <w:sz w:val="18"/>
                      <w:szCs w:val="18"/>
                    </w:rPr>
                    <w:t>场镇电网</w:t>
                  </w:r>
                </w:p>
              </w:tc>
            </w:tr>
          </w:tbl>
          <w:p>
            <w:pPr>
              <w:autoSpaceDE w:val="0"/>
              <w:autoSpaceDN w:val="0"/>
              <w:adjustRightInd w:val="0"/>
              <w:snapToGrid w:val="0"/>
              <w:spacing w:line="400" w:lineRule="exact"/>
              <w:jc w:val="left"/>
              <w:rPr>
                <w:rFonts w:eastAsia="黑体"/>
                <w:bCs/>
                <w:sz w:val="22"/>
                <w:szCs w:val="22"/>
              </w:rPr>
            </w:pPr>
            <w:r>
              <w:rPr>
                <w:rFonts w:hint="eastAsia" w:eastAsia="黑体"/>
                <w:bCs/>
                <w:sz w:val="22"/>
                <w:szCs w:val="22"/>
              </w:rPr>
              <w:t>5</w:t>
            </w:r>
            <w:r>
              <w:rPr>
                <w:rFonts w:eastAsia="黑体"/>
                <w:bCs/>
                <w:sz w:val="22"/>
                <w:szCs w:val="22"/>
              </w:rPr>
              <w:t>、主要生产单元及工艺</w:t>
            </w:r>
          </w:p>
          <w:p>
            <w:pPr>
              <w:autoSpaceDE w:val="0"/>
              <w:autoSpaceDN w:val="0"/>
              <w:adjustRightInd w:val="0"/>
              <w:snapToGrid w:val="0"/>
              <w:spacing w:line="400" w:lineRule="exact"/>
              <w:ind w:firstLine="420" w:firstLineChars="200"/>
              <w:jc w:val="left"/>
              <w:rPr>
                <w:kern w:val="0"/>
                <w:szCs w:val="21"/>
              </w:rPr>
            </w:pPr>
            <w:r>
              <w:rPr>
                <w:kern w:val="0"/>
                <w:szCs w:val="21"/>
              </w:rPr>
              <w:t>本项目生产单元主要煤炭的储存及转运。工艺为：车辆运输来煤→卸煤→铲装成堆→储煤→铲车装车→汽车</w:t>
            </w:r>
            <w:r>
              <w:rPr>
                <w:rFonts w:hint="eastAsia"/>
                <w:kern w:val="0"/>
                <w:szCs w:val="21"/>
              </w:rPr>
              <w:t>外运。</w:t>
            </w:r>
          </w:p>
          <w:p>
            <w:pPr>
              <w:adjustRightInd w:val="0"/>
              <w:snapToGrid w:val="0"/>
              <w:spacing w:line="400" w:lineRule="exact"/>
              <w:ind w:left="-53" w:leftChars="-25" w:right="-53" w:rightChars="-25"/>
              <w:jc w:val="left"/>
              <w:rPr>
                <w:rFonts w:eastAsia="黑体"/>
                <w:bCs/>
                <w:sz w:val="22"/>
                <w:szCs w:val="22"/>
              </w:rPr>
            </w:pPr>
            <w:r>
              <w:rPr>
                <w:rFonts w:hint="eastAsia" w:eastAsia="黑体"/>
                <w:bCs/>
                <w:sz w:val="22"/>
                <w:szCs w:val="22"/>
              </w:rPr>
              <w:t>6</w:t>
            </w:r>
            <w:r>
              <w:rPr>
                <w:rFonts w:eastAsia="黑体"/>
                <w:bCs/>
                <w:sz w:val="22"/>
                <w:szCs w:val="22"/>
              </w:rPr>
              <w:t>、主要生产设备及参数</w:t>
            </w:r>
          </w:p>
          <w:p>
            <w:pPr>
              <w:spacing w:line="400" w:lineRule="exact"/>
              <w:jc w:val="center"/>
              <w:rPr>
                <w:rFonts w:eastAsia="黑体"/>
                <w:bCs/>
                <w:sz w:val="18"/>
                <w:szCs w:val="18"/>
              </w:rPr>
            </w:pPr>
            <w:r>
              <w:rPr>
                <w:rFonts w:eastAsia="黑体"/>
                <w:bCs/>
                <w:sz w:val="18"/>
                <w:szCs w:val="18"/>
              </w:rPr>
              <w:t>表</w:t>
            </w:r>
            <w:r>
              <w:rPr>
                <w:rFonts w:hint="eastAsia" w:eastAsia="黑体"/>
                <w:bCs/>
                <w:sz w:val="18"/>
                <w:szCs w:val="18"/>
              </w:rPr>
              <w:t>2-4</w:t>
            </w:r>
            <w:r>
              <w:rPr>
                <w:rFonts w:eastAsia="黑体"/>
                <w:bCs/>
                <w:sz w:val="18"/>
                <w:szCs w:val="18"/>
              </w:rPr>
              <w:t xml:space="preserve">   主要生产设备清单</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
              <w:gridCol w:w="2153"/>
              <w:gridCol w:w="1275"/>
              <w:gridCol w:w="1985"/>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79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
                      <w:bCs/>
                      <w:sz w:val="18"/>
                      <w:szCs w:val="18"/>
                    </w:rPr>
                  </w:pPr>
                  <w:r>
                    <w:rPr>
                      <w:rFonts w:ascii="宋体" w:hAnsi="宋体"/>
                      <w:b/>
                      <w:bCs/>
                      <w:sz w:val="18"/>
                      <w:szCs w:val="18"/>
                    </w:rPr>
                    <w:t>序号</w:t>
                  </w:r>
                </w:p>
              </w:tc>
              <w:tc>
                <w:tcPr>
                  <w:tcW w:w="215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
                      <w:bCs/>
                      <w:sz w:val="18"/>
                      <w:szCs w:val="18"/>
                    </w:rPr>
                  </w:pPr>
                  <w:r>
                    <w:rPr>
                      <w:rFonts w:ascii="宋体" w:hAnsi="宋体"/>
                      <w:b/>
                      <w:bCs/>
                      <w:sz w:val="18"/>
                      <w:szCs w:val="18"/>
                    </w:rPr>
                    <w:t>设备名称</w:t>
                  </w:r>
                </w:p>
              </w:tc>
              <w:tc>
                <w:tcPr>
                  <w:tcW w:w="1275"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
                      <w:bCs/>
                      <w:sz w:val="18"/>
                      <w:szCs w:val="18"/>
                    </w:rPr>
                  </w:pPr>
                  <w:r>
                    <w:rPr>
                      <w:rFonts w:ascii="宋体" w:hAnsi="宋体"/>
                      <w:b/>
                      <w:bCs/>
                      <w:sz w:val="18"/>
                      <w:szCs w:val="18"/>
                    </w:rPr>
                    <w:t>数量</w:t>
                  </w:r>
                </w:p>
              </w:tc>
              <w:tc>
                <w:tcPr>
                  <w:tcW w:w="1985"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
                      <w:bCs/>
                      <w:sz w:val="18"/>
                      <w:szCs w:val="18"/>
                    </w:rPr>
                  </w:pPr>
                  <w:r>
                    <w:rPr>
                      <w:rFonts w:ascii="宋体" w:hAnsi="宋体"/>
                      <w:b/>
                      <w:bCs/>
                      <w:sz w:val="18"/>
                      <w:szCs w:val="18"/>
                    </w:rPr>
                    <w:t>型号</w:t>
                  </w:r>
                </w:p>
              </w:tc>
              <w:tc>
                <w:tcPr>
                  <w:tcW w:w="159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
                      <w:bCs/>
                      <w:sz w:val="18"/>
                      <w:szCs w:val="18"/>
                    </w:rPr>
                  </w:pPr>
                  <w:r>
                    <w:rPr>
                      <w:rFonts w:ascii="宋体" w:hAnsi="宋体"/>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79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sz w:val="18"/>
                      <w:szCs w:val="18"/>
                    </w:rPr>
                    <w:t>1</w:t>
                  </w:r>
                </w:p>
              </w:tc>
              <w:tc>
                <w:tcPr>
                  <w:tcW w:w="215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宋体" w:hAnsi="宋体"/>
                      <w:sz w:val="18"/>
                      <w:szCs w:val="18"/>
                    </w:rPr>
                  </w:pPr>
                  <w:r>
                    <w:rPr>
                      <w:rFonts w:ascii="宋体" w:hAnsi="宋体"/>
                      <w:sz w:val="18"/>
                      <w:szCs w:val="18"/>
                    </w:rPr>
                    <w:t>装载机</w:t>
                  </w:r>
                </w:p>
              </w:tc>
              <w:tc>
                <w:tcPr>
                  <w:tcW w:w="1275"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rFonts w:hint="eastAsia"/>
                      <w:sz w:val="18"/>
                      <w:szCs w:val="18"/>
                    </w:rPr>
                    <w:t>2台</w:t>
                  </w:r>
                </w:p>
              </w:tc>
              <w:tc>
                <w:tcPr>
                  <w:tcW w:w="1985"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宋体" w:hAnsi="宋体"/>
                      <w:sz w:val="18"/>
                      <w:szCs w:val="18"/>
                    </w:rPr>
                  </w:pPr>
                  <w:r>
                    <w:rPr>
                      <w:rFonts w:ascii="宋体" w:hAnsi="宋体"/>
                      <w:sz w:val="18"/>
                      <w:szCs w:val="18"/>
                    </w:rPr>
                    <w:t>ZWY-60</w:t>
                  </w:r>
                </w:p>
              </w:tc>
              <w:tc>
                <w:tcPr>
                  <w:tcW w:w="159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宋体" w:hAnsi="宋体"/>
                      <w:sz w:val="18"/>
                      <w:szCs w:val="18"/>
                    </w:rPr>
                  </w:pPr>
                  <w:r>
                    <w:rPr>
                      <w:rFonts w:ascii="宋体" w:hAnsi="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79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sz w:val="18"/>
                      <w:szCs w:val="18"/>
                    </w:rPr>
                    <w:t>2</w:t>
                  </w:r>
                </w:p>
              </w:tc>
              <w:tc>
                <w:tcPr>
                  <w:tcW w:w="215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宋体" w:hAnsi="宋体"/>
                      <w:sz w:val="18"/>
                      <w:szCs w:val="18"/>
                    </w:rPr>
                  </w:pPr>
                  <w:r>
                    <w:rPr>
                      <w:rFonts w:hint="eastAsia" w:ascii="宋体" w:hAnsi="宋体"/>
                      <w:sz w:val="18"/>
                      <w:szCs w:val="18"/>
                    </w:rPr>
                    <w:t>地</w:t>
                  </w:r>
                  <w:r>
                    <w:rPr>
                      <w:rFonts w:hint="eastAsia" w:ascii="宋体" w:hAnsi="宋体"/>
                      <w:sz w:val="18"/>
                      <w:szCs w:val="18"/>
                      <w:lang w:eastAsia="zh-CN"/>
                    </w:rPr>
                    <w:t>磅秤</w:t>
                  </w:r>
                </w:p>
              </w:tc>
              <w:tc>
                <w:tcPr>
                  <w:tcW w:w="1275"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rFonts w:hint="eastAsia"/>
                      <w:sz w:val="18"/>
                      <w:szCs w:val="18"/>
                    </w:rPr>
                    <w:t>1个</w:t>
                  </w:r>
                </w:p>
              </w:tc>
              <w:tc>
                <w:tcPr>
                  <w:tcW w:w="1985"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宋体" w:hAnsi="宋体"/>
                      <w:sz w:val="18"/>
                      <w:szCs w:val="18"/>
                    </w:rPr>
                  </w:pPr>
                  <w:r>
                    <w:rPr>
                      <w:rFonts w:hint="eastAsia" w:ascii="宋体" w:hAnsi="宋体"/>
                      <w:sz w:val="18"/>
                      <w:szCs w:val="18"/>
                    </w:rPr>
                    <w:t>/</w:t>
                  </w:r>
                </w:p>
              </w:tc>
              <w:tc>
                <w:tcPr>
                  <w:tcW w:w="159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sz w:val="18"/>
                      <w:szCs w:val="18"/>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79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sz w:val="18"/>
                      <w:szCs w:val="18"/>
                    </w:rPr>
                    <w:t>3</w:t>
                  </w:r>
                </w:p>
              </w:tc>
              <w:tc>
                <w:tcPr>
                  <w:tcW w:w="215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宋体" w:hAnsi="宋体"/>
                      <w:sz w:val="18"/>
                      <w:szCs w:val="18"/>
                    </w:rPr>
                  </w:pPr>
                  <w:r>
                    <w:rPr>
                      <w:rFonts w:hint="eastAsia" w:ascii="宋体" w:hAnsi="宋体"/>
                      <w:sz w:val="18"/>
                      <w:szCs w:val="18"/>
                    </w:rPr>
                    <w:t>潜水泵</w:t>
                  </w:r>
                </w:p>
              </w:tc>
              <w:tc>
                <w:tcPr>
                  <w:tcW w:w="1275"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rFonts w:hint="eastAsia"/>
                      <w:sz w:val="18"/>
                      <w:szCs w:val="18"/>
                    </w:rPr>
                    <w:t>2台</w:t>
                  </w:r>
                </w:p>
              </w:tc>
              <w:tc>
                <w:tcPr>
                  <w:tcW w:w="1985"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宋体" w:hAnsi="宋体"/>
                      <w:sz w:val="18"/>
                      <w:szCs w:val="18"/>
                    </w:rPr>
                  </w:pPr>
                  <w:r>
                    <w:rPr>
                      <w:rFonts w:hint="eastAsia"/>
                      <w:sz w:val="18"/>
                      <w:szCs w:val="18"/>
                    </w:rPr>
                    <w:t>/</w:t>
                  </w:r>
                </w:p>
              </w:tc>
              <w:tc>
                <w:tcPr>
                  <w:tcW w:w="159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宋体" w:hAnsi="宋体"/>
                      <w:sz w:val="18"/>
                      <w:szCs w:val="18"/>
                    </w:rPr>
                  </w:pPr>
                  <w:r>
                    <w:rPr>
                      <w:rFonts w:ascii="宋体" w:hAnsi="宋体"/>
                      <w:sz w:val="18"/>
                      <w:szCs w:val="18"/>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79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sz w:val="18"/>
                      <w:szCs w:val="18"/>
                    </w:rPr>
                    <w:t>4</w:t>
                  </w:r>
                </w:p>
              </w:tc>
              <w:tc>
                <w:tcPr>
                  <w:tcW w:w="215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宋体" w:hAnsi="宋体"/>
                      <w:sz w:val="18"/>
                      <w:szCs w:val="18"/>
                    </w:rPr>
                  </w:pPr>
                  <w:r>
                    <w:rPr>
                      <w:rFonts w:ascii="宋体" w:hAnsi="宋体"/>
                      <w:sz w:val="18"/>
                      <w:szCs w:val="18"/>
                    </w:rPr>
                    <w:t>防尘喷雾装置</w:t>
                  </w:r>
                </w:p>
              </w:tc>
              <w:tc>
                <w:tcPr>
                  <w:tcW w:w="1275"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rFonts w:hint="eastAsia"/>
                      <w:sz w:val="18"/>
                      <w:szCs w:val="18"/>
                    </w:rPr>
                    <w:t>24个</w:t>
                  </w:r>
                </w:p>
              </w:tc>
              <w:tc>
                <w:tcPr>
                  <w:tcW w:w="1985"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宋体" w:hAnsi="宋体"/>
                      <w:sz w:val="18"/>
                      <w:szCs w:val="18"/>
                    </w:rPr>
                  </w:pPr>
                  <w:r>
                    <w:rPr>
                      <w:rFonts w:hint="eastAsia"/>
                      <w:sz w:val="18"/>
                      <w:szCs w:val="18"/>
                    </w:rPr>
                    <w:t>/</w:t>
                  </w:r>
                </w:p>
              </w:tc>
              <w:tc>
                <w:tcPr>
                  <w:tcW w:w="159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宋体" w:hAnsi="宋体"/>
                      <w:sz w:val="18"/>
                      <w:szCs w:val="18"/>
                    </w:rPr>
                  </w:pPr>
                  <w:r>
                    <w:rPr>
                      <w:rFonts w:ascii="宋体" w:hAnsi="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79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宋体" w:hAnsi="宋体"/>
                      <w:sz w:val="18"/>
                      <w:szCs w:val="18"/>
                    </w:rPr>
                  </w:pPr>
                  <w:r>
                    <w:rPr>
                      <w:rFonts w:hint="eastAsia"/>
                      <w:sz w:val="18"/>
                      <w:szCs w:val="18"/>
                    </w:rPr>
                    <w:t>5</w:t>
                  </w:r>
                </w:p>
              </w:tc>
              <w:tc>
                <w:tcPr>
                  <w:tcW w:w="215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宋体" w:hAnsi="宋体"/>
                      <w:sz w:val="18"/>
                      <w:szCs w:val="18"/>
                    </w:rPr>
                  </w:pPr>
                  <w:r>
                    <w:rPr>
                      <w:rFonts w:ascii="宋体" w:hAnsi="宋体"/>
                      <w:sz w:val="18"/>
                      <w:szCs w:val="18"/>
                    </w:rPr>
                    <w:t>防烟防火报警装置</w:t>
                  </w:r>
                </w:p>
              </w:tc>
              <w:tc>
                <w:tcPr>
                  <w:tcW w:w="1275"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rFonts w:hint="eastAsia"/>
                      <w:sz w:val="18"/>
                      <w:szCs w:val="18"/>
                    </w:rPr>
                    <w:t>1套</w:t>
                  </w:r>
                </w:p>
              </w:tc>
              <w:tc>
                <w:tcPr>
                  <w:tcW w:w="1985"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宋体" w:hAnsi="宋体"/>
                      <w:sz w:val="18"/>
                      <w:szCs w:val="18"/>
                    </w:rPr>
                  </w:pPr>
                  <w:r>
                    <w:rPr>
                      <w:rFonts w:hint="eastAsia"/>
                      <w:sz w:val="18"/>
                      <w:szCs w:val="18"/>
                    </w:rPr>
                    <w:t>/</w:t>
                  </w:r>
                </w:p>
              </w:tc>
              <w:tc>
                <w:tcPr>
                  <w:tcW w:w="159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宋体" w:hAnsi="宋体"/>
                      <w:sz w:val="18"/>
                      <w:szCs w:val="18"/>
                    </w:rPr>
                  </w:pPr>
                  <w:r>
                    <w:rPr>
                      <w:rFonts w:ascii="宋体" w:hAnsi="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79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rFonts w:hint="eastAsia"/>
                      <w:sz w:val="18"/>
                      <w:szCs w:val="18"/>
                    </w:rPr>
                    <w:t>6</w:t>
                  </w:r>
                </w:p>
              </w:tc>
              <w:tc>
                <w:tcPr>
                  <w:tcW w:w="215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宋体" w:hAnsi="宋体"/>
                      <w:sz w:val="18"/>
                      <w:szCs w:val="18"/>
                    </w:rPr>
                  </w:pPr>
                  <w:r>
                    <w:rPr>
                      <w:rFonts w:ascii="宋体" w:hAnsi="宋体"/>
                      <w:sz w:val="18"/>
                      <w:szCs w:val="18"/>
                    </w:rPr>
                    <w:t>雾炮机</w:t>
                  </w:r>
                </w:p>
              </w:tc>
              <w:tc>
                <w:tcPr>
                  <w:tcW w:w="1275"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rFonts w:hint="eastAsia"/>
                      <w:sz w:val="18"/>
                      <w:szCs w:val="18"/>
                    </w:rPr>
                    <w:t>1台</w:t>
                  </w:r>
                </w:p>
              </w:tc>
              <w:tc>
                <w:tcPr>
                  <w:tcW w:w="1985"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rFonts w:hint="eastAsia"/>
                      <w:sz w:val="18"/>
                      <w:szCs w:val="18"/>
                    </w:rPr>
                    <w:t>30m射程</w:t>
                  </w:r>
                </w:p>
              </w:tc>
              <w:tc>
                <w:tcPr>
                  <w:tcW w:w="159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宋体" w:hAnsi="宋体"/>
                      <w:sz w:val="18"/>
                      <w:szCs w:val="18"/>
                    </w:rPr>
                  </w:pPr>
                  <w:r>
                    <w:rPr>
                      <w:rFonts w:ascii="宋体" w:hAnsi="宋体"/>
                      <w:sz w:val="18"/>
                      <w:szCs w:val="18"/>
                    </w:rPr>
                    <w:t>新建</w:t>
                  </w:r>
                </w:p>
              </w:tc>
            </w:tr>
          </w:tbl>
          <w:p>
            <w:pPr>
              <w:adjustRightInd w:val="0"/>
              <w:snapToGrid w:val="0"/>
              <w:spacing w:line="400" w:lineRule="exact"/>
              <w:ind w:left="-53" w:leftChars="-25" w:right="-53" w:rightChars="-25"/>
              <w:jc w:val="left"/>
              <w:rPr>
                <w:rFonts w:eastAsia="黑体"/>
                <w:bCs/>
                <w:szCs w:val="21"/>
              </w:rPr>
            </w:pPr>
            <w:r>
              <w:rPr>
                <w:rFonts w:hint="eastAsia" w:eastAsia="黑体"/>
                <w:bCs/>
                <w:sz w:val="22"/>
                <w:szCs w:val="22"/>
              </w:rPr>
              <w:t>7</w:t>
            </w:r>
            <w:r>
              <w:rPr>
                <w:rFonts w:eastAsia="黑体"/>
                <w:bCs/>
                <w:sz w:val="22"/>
                <w:szCs w:val="22"/>
              </w:rPr>
              <w:t>、物料平衡及用</w:t>
            </w:r>
            <w:r>
              <w:rPr>
                <w:rFonts w:eastAsia="黑体"/>
                <w:bCs/>
                <w:szCs w:val="21"/>
              </w:rPr>
              <w:t>水分析</w:t>
            </w:r>
          </w:p>
          <w:p>
            <w:pPr>
              <w:autoSpaceDE w:val="0"/>
              <w:autoSpaceDN w:val="0"/>
              <w:adjustRightInd w:val="0"/>
              <w:snapToGrid w:val="0"/>
              <w:spacing w:line="400" w:lineRule="exact"/>
              <w:ind w:firstLine="422" w:firstLineChars="200"/>
              <w:jc w:val="left"/>
              <w:rPr>
                <w:b/>
                <w:kern w:val="0"/>
              </w:rPr>
            </w:pPr>
            <w:r>
              <w:rPr>
                <w:rFonts w:ascii="宋体" w:hAnsi="宋体"/>
                <w:b/>
                <w:kern w:val="0"/>
              </w:rPr>
              <w:t>（</w:t>
            </w:r>
            <w:r>
              <w:rPr>
                <w:rFonts w:hint="eastAsia" w:ascii="宋体" w:hAnsi="宋体"/>
                <w:b/>
                <w:kern w:val="0"/>
              </w:rPr>
              <w:t>1</w:t>
            </w:r>
            <w:r>
              <w:rPr>
                <w:rFonts w:ascii="宋体" w:hAnsi="宋体"/>
                <w:b/>
                <w:kern w:val="0"/>
              </w:rPr>
              <w:t>）营运期物料平衡见下表。</w:t>
            </w:r>
          </w:p>
          <w:p>
            <w:pPr>
              <w:spacing w:line="400" w:lineRule="exact"/>
              <w:jc w:val="center"/>
              <w:rPr>
                <w:rFonts w:eastAsia="黑体"/>
                <w:bCs/>
                <w:sz w:val="18"/>
                <w:szCs w:val="18"/>
              </w:rPr>
            </w:pPr>
            <w:r>
              <w:rPr>
                <w:rFonts w:hint="eastAsia" w:eastAsia="黑体"/>
                <w:bCs/>
                <w:sz w:val="18"/>
                <w:szCs w:val="18"/>
              </w:rPr>
              <w:t xml:space="preserve">表2-5    </w:t>
            </w:r>
            <w:r>
              <w:rPr>
                <w:rFonts w:eastAsia="黑体"/>
                <w:bCs/>
                <w:sz w:val="18"/>
                <w:szCs w:val="18"/>
              </w:rPr>
              <w:t>营运期物料平衡表</w:t>
            </w:r>
          </w:p>
          <w:tbl>
            <w:tblPr>
              <w:tblStyle w:val="21"/>
              <w:tblW w:w="76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4"/>
              <w:gridCol w:w="1532"/>
              <w:gridCol w:w="1524"/>
              <w:gridCol w:w="1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4166" w:type="dxa"/>
                  <w:gridSpan w:val="2"/>
                  <w:tcBorders>
                    <w:top w:val="single" w:color="auto" w:sz="4" w:space="0"/>
                    <w:left w:val="single" w:color="auto" w:sz="4" w:space="0"/>
                    <w:bottom w:val="single" w:color="auto" w:sz="4" w:space="0"/>
                    <w:right w:val="single" w:color="auto" w:sz="4" w:space="0"/>
                  </w:tcBorders>
                  <w:vAlign w:val="center"/>
                </w:tcPr>
                <w:p>
                  <w:pPr>
                    <w:spacing w:line="280" w:lineRule="exact"/>
                    <w:jc w:val="center"/>
                    <w:rPr>
                      <w:b/>
                      <w:bCs/>
                      <w:sz w:val="18"/>
                      <w:szCs w:val="18"/>
                    </w:rPr>
                  </w:pPr>
                  <w:r>
                    <w:rPr>
                      <w:rFonts w:ascii="宋体" w:hAnsi="宋体"/>
                      <w:b/>
                      <w:bCs/>
                      <w:sz w:val="18"/>
                      <w:szCs w:val="18"/>
                    </w:rPr>
                    <w:t>投</w:t>
                  </w:r>
                  <w:r>
                    <w:rPr>
                      <w:b/>
                      <w:bCs/>
                      <w:sz w:val="18"/>
                      <w:szCs w:val="18"/>
                    </w:rPr>
                    <w:t xml:space="preserve"> </w:t>
                  </w:r>
                  <w:r>
                    <w:rPr>
                      <w:rFonts w:ascii="宋体" w:hAnsi="宋体"/>
                      <w:b/>
                      <w:bCs/>
                      <w:sz w:val="18"/>
                      <w:szCs w:val="18"/>
                    </w:rPr>
                    <w:t>入</w:t>
                  </w:r>
                </w:p>
              </w:tc>
              <w:tc>
                <w:tcPr>
                  <w:tcW w:w="3455" w:type="dxa"/>
                  <w:gridSpan w:val="2"/>
                  <w:tcBorders>
                    <w:top w:val="single" w:color="auto" w:sz="4" w:space="0"/>
                    <w:left w:val="single" w:color="auto" w:sz="4" w:space="0"/>
                    <w:bottom w:val="single" w:color="auto" w:sz="4" w:space="0"/>
                    <w:right w:val="single" w:color="auto" w:sz="4" w:space="0"/>
                  </w:tcBorders>
                  <w:vAlign w:val="center"/>
                </w:tcPr>
                <w:p>
                  <w:pPr>
                    <w:spacing w:line="280" w:lineRule="exact"/>
                    <w:jc w:val="center"/>
                    <w:rPr>
                      <w:b/>
                      <w:bCs/>
                      <w:sz w:val="18"/>
                      <w:szCs w:val="18"/>
                    </w:rPr>
                  </w:pPr>
                  <w:r>
                    <w:rPr>
                      <w:rFonts w:ascii="宋体" w:hAnsi="宋体"/>
                      <w:b/>
                      <w:bCs/>
                      <w:sz w:val="18"/>
                      <w:szCs w:val="18"/>
                    </w:rPr>
                    <w:t>产</w:t>
                  </w:r>
                  <w:r>
                    <w:rPr>
                      <w:b/>
                      <w:bCs/>
                      <w:sz w:val="18"/>
                      <w:szCs w:val="18"/>
                    </w:rPr>
                    <w:t xml:space="preserve"> </w:t>
                  </w:r>
                  <w:r>
                    <w:rPr>
                      <w:rFonts w:ascii="宋体" w:hAnsi="宋体"/>
                      <w:b/>
                      <w:bCs/>
                      <w:sz w:val="18"/>
                      <w:szCs w:val="18"/>
                    </w:rPr>
                    <w:t>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
                      <w:bCs/>
                      <w:sz w:val="18"/>
                      <w:szCs w:val="18"/>
                    </w:rPr>
                  </w:pPr>
                  <w:r>
                    <w:rPr>
                      <w:rFonts w:ascii="宋体" w:hAnsi="宋体"/>
                      <w:b/>
                      <w:bCs/>
                      <w:sz w:val="18"/>
                      <w:szCs w:val="18"/>
                    </w:rPr>
                    <w:t>名称</w:t>
                  </w:r>
                </w:p>
              </w:tc>
              <w:tc>
                <w:tcPr>
                  <w:tcW w:w="153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
                      <w:bCs/>
                      <w:sz w:val="18"/>
                      <w:szCs w:val="18"/>
                    </w:rPr>
                  </w:pPr>
                  <w:r>
                    <w:rPr>
                      <w:rFonts w:ascii="宋体" w:hAnsi="宋体"/>
                      <w:b/>
                      <w:bCs/>
                      <w:sz w:val="18"/>
                      <w:szCs w:val="18"/>
                    </w:rPr>
                    <w:t>年用量（</w:t>
                  </w:r>
                  <w:r>
                    <w:rPr>
                      <w:b/>
                      <w:bCs/>
                      <w:sz w:val="18"/>
                      <w:szCs w:val="18"/>
                    </w:rPr>
                    <w:t>t</w:t>
                  </w:r>
                  <w:r>
                    <w:rPr>
                      <w:rFonts w:ascii="宋体" w:hAnsi="宋体"/>
                      <w:b/>
                      <w:bCs/>
                      <w:sz w:val="18"/>
                      <w:szCs w:val="18"/>
                    </w:rPr>
                    <w:t>）</w:t>
                  </w:r>
                </w:p>
              </w:tc>
              <w:tc>
                <w:tcPr>
                  <w:tcW w:w="152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
                      <w:bCs/>
                      <w:sz w:val="18"/>
                      <w:szCs w:val="18"/>
                    </w:rPr>
                  </w:pPr>
                  <w:r>
                    <w:rPr>
                      <w:rFonts w:ascii="宋体" w:hAnsi="宋体"/>
                      <w:b/>
                      <w:bCs/>
                      <w:sz w:val="18"/>
                      <w:szCs w:val="18"/>
                    </w:rPr>
                    <w:t>名称</w:t>
                  </w:r>
                </w:p>
              </w:tc>
              <w:tc>
                <w:tcPr>
                  <w:tcW w:w="193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
                      <w:bCs/>
                      <w:sz w:val="18"/>
                      <w:szCs w:val="18"/>
                    </w:rPr>
                  </w:pPr>
                  <w:r>
                    <w:rPr>
                      <w:rFonts w:ascii="宋体" w:hAnsi="宋体"/>
                      <w:b/>
                      <w:bCs/>
                      <w:sz w:val="18"/>
                      <w:szCs w:val="18"/>
                    </w:rPr>
                    <w:t>年产生量（</w:t>
                  </w:r>
                  <w:r>
                    <w:rPr>
                      <w:b/>
                      <w:bCs/>
                      <w:sz w:val="18"/>
                      <w:szCs w:val="18"/>
                    </w:rPr>
                    <w:t>t</w:t>
                  </w:r>
                  <w:r>
                    <w:rPr>
                      <w:rFonts w:ascii="宋体" w:hAnsi="宋体"/>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pPr>
                    <w:pStyle w:val="32"/>
                    <w:spacing w:line="280" w:lineRule="exact"/>
                    <w:ind w:firstLine="0" w:firstLineChars="0"/>
                    <w:jc w:val="center"/>
                    <w:rPr>
                      <w:sz w:val="18"/>
                      <w:szCs w:val="18"/>
                    </w:rPr>
                  </w:pPr>
                  <w:bookmarkStart w:id="2" w:name="_Hlk458022497"/>
                  <w:r>
                    <w:rPr>
                      <w:rFonts w:hint="eastAsia" w:ascii="宋体" w:hAnsi="宋体"/>
                      <w:sz w:val="18"/>
                      <w:szCs w:val="18"/>
                    </w:rPr>
                    <w:t>煤炭</w:t>
                  </w:r>
                  <w:bookmarkEnd w:id="2"/>
                </w:p>
              </w:tc>
              <w:tc>
                <w:tcPr>
                  <w:tcW w:w="1532"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80" w:lineRule="exact"/>
                    <w:jc w:val="center"/>
                    <w:rPr>
                      <w:sz w:val="18"/>
                      <w:szCs w:val="18"/>
                    </w:rPr>
                  </w:pPr>
                  <w:r>
                    <w:rPr>
                      <w:rFonts w:hint="eastAsia"/>
                      <w:sz w:val="18"/>
                      <w:szCs w:val="18"/>
                    </w:rPr>
                    <w:t>60003.05</w:t>
                  </w:r>
                </w:p>
              </w:tc>
              <w:tc>
                <w:tcPr>
                  <w:tcW w:w="1524" w:type="dxa"/>
                  <w:tcBorders>
                    <w:top w:val="single" w:color="auto" w:sz="4" w:space="0"/>
                    <w:left w:val="single" w:color="auto" w:sz="4" w:space="0"/>
                    <w:bottom w:val="single" w:color="auto" w:sz="4" w:space="0"/>
                    <w:right w:val="single" w:color="auto" w:sz="4" w:space="0"/>
                  </w:tcBorders>
                  <w:vAlign w:val="center"/>
                </w:tcPr>
                <w:p>
                  <w:pPr>
                    <w:pStyle w:val="32"/>
                    <w:spacing w:line="280" w:lineRule="exact"/>
                    <w:ind w:firstLine="0" w:firstLineChars="0"/>
                    <w:jc w:val="center"/>
                    <w:rPr>
                      <w:sz w:val="18"/>
                      <w:szCs w:val="18"/>
                    </w:rPr>
                  </w:pPr>
                  <w:r>
                    <w:rPr>
                      <w:rFonts w:hint="eastAsia" w:ascii="宋体" w:hAnsi="宋体"/>
                      <w:sz w:val="18"/>
                      <w:szCs w:val="18"/>
                    </w:rPr>
                    <w:t>煤炭</w:t>
                  </w:r>
                </w:p>
              </w:tc>
              <w:tc>
                <w:tcPr>
                  <w:tcW w:w="1932"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80" w:lineRule="exact"/>
                    <w:jc w:val="center"/>
                    <w:rPr>
                      <w:sz w:val="18"/>
                      <w:szCs w:val="18"/>
                    </w:rPr>
                  </w:pPr>
                  <w:r>
                    <w:rPr>
                      <w:rFonts w:hint="eastAsia"/>
                      <w:sz w:val="18"/>
                      <w:szCs w:val="18"/>
                    </w:rPr>
                    <w:t>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pPr>
                    <w:pStyle w:val="32"/>
                    <w:spacing w:line="280" w:lineRule="exact"/>
                    <w:ind w:firstLine="0" w:firstLineChars="0"/>
                    <w:jc w:val="center"/>
                    <w:rPr>
                      <w:sz w:val="18"/>
                      <w:szCs w:val="18"/>
                    </w:rPr>
                  </w:pPr>
                </w:p>
              </w:tc>
              <w:tc>
                <w:tcPr>
                  <w:tcW w:w="1532"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80" w:lineRule="exact"/>
                    <w:jc w:val="center"/>
                    <w:rPr>
                      <w:sz w:val="18"/>
                      <w:szCs w:val="18"/>
                    </w:rPr>
                  </w:pPr>
                </w:p>
              </w:tc>
              <w:tc>
                <w:tcPr>
                  <w:tcW w:w="1524" w:type="dxa"/>
                  <w:tcBorders>
                    <w:top w:val="single" w:color="auto" w:sz="4" w:space="0"/>
                    <w:left w:val="single" w:color="auto" w:sz="4" w:space="0"/>
                    <w:bottom w:val="single" w:color="auto" w:sz="4" w:space="0"/>
                    <w:right w:val="single" w:color="auto" w:sz="4" w:space="0"/>
                  </w:tcBorders>
                  <w:vAlign w:val="center"/>
                </w:tcPr>
                <w:p>
                  <w:pPr>
                    <w:pStyle w:val="32"/>
                    <w:spacing w:line="280" w:lineRule="exact"/>
                    <w:ind w:firstLine="0" w:firstLineChars="0"/>
                    <w:jc w:val="center"/>
                    <w:rPr>
                      <w:sz w:val="18"/>
                      <w:szCs w:val="18"/>
                    </w:rPr>
                  </w:pPr>
                  <w:r>
                    <w:rPr>
                      <w:rFonts w:hint="eastAsia" w:ascii="宋体" w:hAnsi="宋体"/>
                      <w:sz w:val="18"/>
                      <w:szCs w:val="18"/>
                    </w:rPr>
                    <w:t>煤泥</w:t>
                  </w:r>
                </w:p>
              </w:tc>
              <w:tc>
                <w:tcPr>
                  <w:tcW w:w="1932"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80" w:lineRule="exact"/>
                    <w:jc w:val="center"/>
                    <w:rPr>
                      <w:sz w:val="18"/>
                      <w:szCs w:val="18"/>
                    </w:rPr>
                  </w:pPr>
                  <w:r>
                    <w:rPr>
                      <w:rFonts w:hint="eastAsia"/>
                      <w:sz w:val="18"/>
                      <w:szCs w:val="18"/>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pPr>
                    <w:pStyle w:val="32"/>
                    <w:spacing w:line="280" w:lineRule="exact"/>
                    <w:ind w:firstLine="0" w:firstLineChars="0"/>
                    <w:jc w:val="center"/>
                    <w:rPr>
                      <w:sz w:val="18"/>
                      <w:szCs w:val="18"/>
                    </w:rPr>
                  </w:pPr>
                </w:p>
              </w:tc>
              <w:tc>
                <w:tcPr>
                  <w:tcW w:w="1532"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80" w:lineRule="exact"/>
                    <w:jc w:val="center"/>
                    <w:rPr>
                      <w:sz w:val="18"/>
                      <w:szCs w:val="18"/>
                    </w:rPr>
                  </w:pPr>
                </w:p>
              </w:tc>
              <w:tc>
                <w:tcPr>
                  <w:tcW w:w="152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rFonts w:ascii="宋体" w:hAnsi="宋体"/>
                      <w:sz w:val="18"/>
                      <w:szCs w:val="18"/>
                    </w:rPr>
                    <w:t>无组织粉尘</w:t>
                  </w:r>
                </w:p>
              </w:tc>
              <w:tc>
                <w:tcPr>
                  <w:tcW w:w="193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rFonts w:hint="eastAsia"/>
                      <w:sz w:val="18"/>
                      <w:szCs w:val="18"/>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80" w:lineRule="exact"/>
                    <w:jc w:val="center"/>
                    <w:rPr>
                      <w:spacing w:val="22"/>
                      <w:sz w:val="18"/>
                      <w:szCs w:val="18"/>
                    </w:rPr>
                  </w:pPr>
                  <w:r>
                    <w:rPr>
                      <w:rFonts w:ascii="宋体" w:hAnsi="宋体"/>
                      <w:sz w:val="18"/>
                      <w:szCs w:val="18"/>
                    </w:rPr>
                    <w:t>合</w:t>
                  </w:r>
                  <w:r>
                    <w:rPr>
                      <w:sz w:val="18"/>
                      <w:szCs w:val="18"/>
                    </w:rPr>
                    <w:t xml:space="preserve">  </w:t>
                  </w:r>
                  <w:r>
                    <w:rPr>
                      <w:rFonts w:ascii="宋体" w:hAnsi="宋体"/>
                      <w:sz w:val="18"/>
                      <w:szCs w:val="18"/>
                    </w:rPr>
                    <w:t>计</w:t>
                  </w:r>
                </w:p>
              </w:tc>
              <w:tc>
                <w:tcPr>
                  <w:tcW w:w="1532" w:type="dxa"/>
                  <w:tcBorders>
                    <w:top w:val="single" w:color="auto" w:sz="4" w:space="0"/>
                    <w:left w:val="nil"/>
                    <w:bottom w:val="single" w:color="auto" w:sz="4" w:space="0"/>
                    <w:right w:val="single" w:color="auto" w:sz="4" w:space="0"/>
                  </w:tcBorders>
                  <w:vAlign w:val="center"/>
                </w:tcPr>
                <w:p>
                  <w:pPr>
                    <w:spacing w:line="280" w:lineRule="exact"/>
                    <w:jc w:val="center"/>
                    <w:rPr>
                      <w:sz w:val="18"/>
                      <w:szCs w:val="18"/>
                    </w:rPr>
                  </w:pPr>
                  <w:r>
                    <w:rPr>
                      <w:rFonts w:hint="eastAsia"/>
                      <w:sz w:val="18"/>
                      <w:szCs w:val="18"/>
                    </w:rPr>
                    <w:t>60003.05</w:t>
                  </w:r>
                </w:p>
              </w:tc>
              <w:tc>
                <w:tcPr>
                  <w:tcW w:w="1524" w:type="dxa"/>
                  <w:tcBorders>
                    <w:top w:val="single" w:color="auto" w:sz="4" w:space="0"/>
                    <w:left w:val="nil"/>
                    <w:bottom w:val="single" w:color="auto" w:sz="4" w:space="0"/>
                    <w:right w:val="single" w:color="auto" w:sz="4" w:space="0"/>
                  </w:tcBorders>
                  <w:vAlign w:val="center"/>
                </w:tcPr>
                <w:p>
                  <w:pPr>
                    <w:spacing w:line="280" w:lineRule="exact"/>
                    <w:jc w:val="center"/>
                    <w:rPr>
                      <w:sz w:val="18"/>
                      <w:szCs w:val="18"/>
                    </w:rPr>
                  </w:pPr>
                  <w:r>
                    <w:rPr>
                      <w:rFonts w:ascii="宋体" w:hAnsi="宋体"/>
                      <w:sz w:val="18"/>
                      <w:szCs w:val="18"/>
                    </w:rPr>
                    <w:t>合</w:t>
                  </w:r>
                  <w:r>
                    <w:rPr>
                      <w:sz w:val="18"/>
                      <w:szCs w:val="18"/>
                    </w:rPr>
                    <w:t xml:space="preserve">  </w:t>
                  </w:r>
                  <w:r>
                    <w:rPr>
                      <w:rFonts w:ascii="宋体" w:hAnsi="宋体"/>
                      <w:sz w:val="18"/>
                      <w:szCs w:val="18"/>
                    </w:rPr>
                    <w:t>计</w:t>
                  </w:r>
                </w:p>
              </w:tc>
              <w:tc>
                <w:tcPr>
                  <w:tcW w:w="1932" w:type="dxa"/>
                  <w:tcBorders>
                    <w:top w:val="single" w:color="auto" w:sz="4" w:space="0"/>
                    <w:left w:val="nil"/>
                    <w:bottom w:val="single" w:color="auto" w:sz="4" w:space="0"/>
                    <w:right w:val="single" w:color="auto" w:sz="4" w:space="0"/>
                  </w:tcBorders>
                  <w:vAlign w:val="center"/>
                </w:tcPr>
                <w:p>
                  <w:pPr>
                    <w:spacing w:line="280" w:lineRule="exact"/>
                    <w:jc w:val="center"/>
                    <w:rPr>
                      <w:sz w:val="18"/>
                      <w:szCs w:val="18"/>
                    </w:rPr>
                  </w:pPr>
                  <w:r>
                    <w:rPr>
                      <w:rFonts w:hint="eastAsia"/>
                      <w:sz w:val="18"/>
                      <w:szCs w:val="18"/>
                    </w:rPr>
                    <w:t>60003.05</w:t>
                  </w:r>
                </w:p>
              </w:tc>
            </w:tr>
          </w:tbl>
          <w:p>
            <w:pPr>
              <w:autoSpaceDE w:val="0"/>
              <w:autoSpaceDN w:val="0"/>
              <w:adjustRightInd w:val="0"/>
              <w:snapToGrid w:val="0"/>
              <w:spacing w:line="406" w:lineRule="exact"/>
              <w:ind w:firstLine="420" w:firstLineChars="200"/>
              <w:jc w:val="left"/>
              <w:rPr>
                <w:kern w:val="0"/>
                <w:szCs w:val="21"/>
              </w:rPr>
            </w:pPr>
            <w:r>
              <w:rPr>
                <w:rFonts w:hint="eastAsia"/>
                <w:kern w:val="0"/>
                <w:szCs w:val="21"/>
              </w:rPr>
              <w:t>（2）营运期水平衡分析</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喷雾降尘用水：为降低煤炭装卸作业、煤棚储存等环节的粉尘污染影响，项目采取喷雾降尘措施；主要是在储煤棚内设雾喷雾装置降尘。储煤棚喷雾降尘用水按1.0L·m</w:t>
            </w:r>
            <w:r>
              <w:rPr>
                <w:rFonts w:hint="eastAsia"/>
                <w:kern w:val="0"/>
                <w:szCs w:val="21"/>
                <w:vertAlign w:val="superscript"/>
              </w:rPr>
              <w:t>2</w:t>
            </w:r>
            <w:r>
              <w:rPr>
                <w:rFonts w:hint="eastAsia"/>
                <w:kern w:val="0"/>
                <w:szCs w:val="21"/>
              </w:rPr>
              <w:t>/d计，则喷雾降尘用水量为2.2m</w:t>
            </w:r>
            <w:r>
              <w:rPr>
                <w:rFonts w:hint="eastAsia"/>
                <w:kern w:val="0"/>
                <w:szCs w:val="21"/>
                <w:vertAlign w:val="superscript"/>
              </w:rPr>
              <w:t>3</w:t>
            </w:r>
            <w:r>
              <w:rPr>
                <w:rFonts w:hint="eastAsia"/>
                <w:kern w:val="0"/>
                <w:szCs w:val="21"/>
              </w:rPr>
              <w:t>/d。喷雾洒水主要作用于煤堆表面，不会对同一位置进行大量冲水，喷雾水随产品附着、自然蒸发消耗，不会形成废水。储棚内设雾炮机一台，仅在装卸作业时开启。30m射程雾炮机用水量约1.8m</w:t>
            </w:r>
            <w:r>
              <w:rPr>
                <w:rFonts w:hint="eastAsia"/>
                <w:kern w:val="0"/>
                <w:szCs w:val="21"/>
                <w:vertAlign w:val="superscript"/>
              </w:rPr>
              <w:t>3</w:t>
            </w:r>
            <w:r>
              <w:rPr>
                <w:rFonts w:hint="eastAsia"/>
                <w:kern w:val="0"/>
                <w:szCs w:val="21"/>
              </w:rPr>
              <w:t>/h（30L/min），项目年吞</w:t>
            </w:r>
            <w:r>
              <w:rPr>
                <w:kern w:val="0"/>
                <w:szCs w:val="21"/>
              </w:rPr>
              <w:t>吐煤炭12万吨，单车载重30吨则年装卸次数为4000次/a（14次/d）。单次装卸作业取15分钟，则雾炮机年运行时长3.5小时，则雾炮机用水量6.3m</w:t>
            </w:r>
            <w:r>
              <w:rPr>
                <w:kern w:val="0"/>
                <w:szCs w:val="21"/>
                <w:vertAlign w:val="superscript"/>
              </w:rPr>
              <w:t>3</w:t>
            </w:r>
            <w:r>
              <w:rPr>
                <w:kern w:val="0"/>
                <w:szCs w:val="21"/>
              </w:rPr>
              <w:t>/d。</w:t>
            </w:r>
          </w:p>
          <w:p>
            <w:pPr>
              <w:spacing w:line="400" w:lineRule="exact"/>
              <w:ind w:firstLine="420"/>
              <w:rPr>
                <w:rFonts w:ascii="宋体" w:hAnsi="宋体"/>
                <w:szCs w:val="28"/>
              </w:rPr>
            </w:pPr>
            <w:r>
              <w:rPr>
                <w:szCs w:val="28"/>
              </w:rPr>
              <w:t>车辆冲洗用水：为防止运输车辆将煤粉尘带出厂区，造成污染影响。项目在厂区进出大门设有车辆冲洗平台，对出厂车辆的轮胎及车身进行冲洗。根据上文核算，项目运输车辆进出次数为14次/d。车辆</w:t>
            </w:r>
            <w:r>
              <w:rPr>
                <w:bCs/>
                <w:szCs w:val="28"/>
              </w:rPr>
              <w:t>冲洗用水按100L/辆·次计算，则车辆冲洗耗水量为1.4m</w:t>
            </w:r>
            <w:r>
              <w:rPr>
                <w:bCs/>
                <w:szCs w:val="28"/>
                <w:vertAlign w:val="superscript"/>
              </w:rPr>
              <w:t>3</w:t>
            </w:r>
            <w:r>
              <w:rPr>
                <w:bCs/>
                <w:szCs w:val="28"/>
              </w:rPr>
              <w:t>/d。冲洗水产污系数取0.8，则车辆冲洗废水</w:t>
            </w:r>
            <w:r>
              <w:rPr>
                <w:rFonts w:hint="eastAsia"/>
                <w:bCs/>
                <w:szCs w:val="28"/>
              </w:rPr>
              <w:t>产生量约1.12</w:t>
            </w:r>
            <w:r>
              <w:rPr>
                <w:bCs/>
                <w:szCs w:val="28"/>
              </w:rPr>
              <w:t>m</w:t>
            </w:r>
            <w:r>
              <w:rPr>
                <w:bCs/>
                <w:szCs w:val="28"/>
                <w:vertAlign w:val="superscript"/>
              </w:rPr>
              <w:t>3</w:t>
            </w:r>
            <w:r>
              <w:rPr>
                <w:bCs/>
                <w:szCs w:val="28"/>
              </w:rPr>
              <w:t>/d。</w:t>
            </w:r>
          </w:p>
          <w:p>
            <w:pPr>
              <w:spacing w:line="400" w:lineRule="exact"/>
              <w:ind w:firstLine="420" w:firstLineChars="200"/>
              <w:rPr>
                <w:rFonts w:ascii="宋体" w:hAnsi="宋体"/>
                <w:kern w:val="0"/>
              </w:rPr>
            </w:pPr>
            <w:r>
              <w:rPr>
                <w:rFonts w:hint="eastAsia" w:ascii="宋体" w:hAnsi="宋体"/>
                <w:bCs/>
                <w:szCs w:val="28"/>
              </w:rPr>
              <w:t>场地冲洗用水：</w:t>
            </w:r>
            <w:r>
              <w:rPr>
                <w:rFonts w:hint="eastAsia"/>
                <w:kern w:val="0"/>
                <w:szCs w:val="21"/>
              </w:rPr>
              <w:t>本项目煤棚内的煤炭始终处于一个动态状态，很难出现完全空仓或完全满仓的情形，因此本项目不涉及煤棚内的地面冲洗。但厂区内除储煤棚以外车辆行驶及回车区域会采取冲洗的方式保持整洁。经计算，本项目厂区需要冲洗的空坝面积约1000m</w:t>
            </w:r>
            <w:r>
              <w:rPr>
                <w:rFonts w:hint="eastAsia"/>
                <w:kern w:val="0"/>
                <w:szCs w:val="21"/>
                <w:vertAlign w:val="superscript"/>
              </w:rPr>
              <w:t>2</w:t>
            </w:r>
            <w:r>
              <w:rPr>
                <w:rFonts w:hint="eastAsia"/>
                <w:kern w:val="0"/>
                <w:szCs w:val="21"/>
              </w:rPr>
              <w:t>，</w:t>
            </w:r>
            <w:r>
              <w:rPr>
                <w:rFonts w:hint="eastAsia" w:ascii="宋体" w:hAnsi="宋体"/>
                <w:kern w:val="0"/>
              </w:rPr>
              <w:t>单次冲洗用水按</w:t>
            </w:r>
            <w:r>
              <w:rPr>
                <w:rFonts w:hint="eastAsia"/>
                <w:kern w:val="0"/>
              </w:rPr>
              <w:t>3L</w:t>
            </w:r>
            <w:r>
              <w:rPr>
                <w:rFonts w:hint="eastAsia" w:ascii="宋体" w:hAnsi="宋体"/>
                <w:kern w:val="0"/>
              </w:rPr>
              <w:t>·</w:t>
            </w:r>
            <w:r>
              <w:rPr>
                <w:rFonts w:hint="eastAsia"/>
                <w:kern w:val="0"/>
              </w:rPr>
              <w:t>m</w:t>
            </w:r>
            <w:r>
              <w:rPr>
                <w:rFonts w:hint="eastAsia"/>
                <w:kern w:val="0"/>
                <w:vertAlign w:val="superscript"/>
              </w:rPr>
              <w:t>2</w:t>
            </w:r>
            <w:r>
              <w:rPr>
                <w:rFonts w:hint="eastAsia"/>
                <w:kern w:val="0"/>
              </w:rPr>
              <w:t>/</w:t>
            </w:r>
            <w:r>
              <w:rPr>
                <w:rFonts w:hint="eastAsia" w:ascii="宋体" w:hAnsi="宋体"/>
                <w:kern w:val="0"/>
              </w:rPr>
              <w:t>次，则单次冲洗用水约</w:t>
            </w:r>
            <w:r>
              <w:rPr>
                <w:rFonts w:hint="eastAsia"/>
                <w:kern w:val="0"/>
              </w:rPr>
              <w:t>3m</w:t>
            </w:r>
            <w:r>
              <w:rPr>
                <w:rFonts w:hint="eastAsia"/>
                <w:kern w:val="0"/>
                <w:vertAlign w:val="superscript"/>
              </w:rPr>
              <w:t>3</w:t>
            </w:r>
            <w:r>
              <w:rPr>
                <w:rFonts w:hint="eastAsia"/>
                <w:kern w:val="0"/>
              </w:rPr>
              <w:t>/</w:t>
            </w:r>
            <w:r>
              <w:rPr>
                <w:rFonts w:hint="eastAsia" w:ascii="宋体" w:hAnsi="宋体"/>
                <w:kern w:val="0"/>
              </w:rPr>
              <w:t>次。项目每天下班前进行场地冲洗，冲洗水产污系数</w:t>
            </w:r>
            <w:r>
              <w:rPr>
                <w:kern w:val="0"/>
              </w:rPr>
              <w:t>0.9</w:t>
            </w:r>
            <w:r>
              <w:rPr>
                <w:rFonts w:hint="eastAsia" w:ascii="宋体" w:hAnsi="宋体"/>
                <w:kern w:val="0"/>
              </w:rPr>
              <w:t>，则场地冲洗废水为</w:t>
            </w:r>
            <w:r>
              <w:rPr>
                <w:rFonts w:hint="eastAsia"/>
                <w:kern w:val="0"/>
              </w:rPr>
              <w:t>2.7m</w:t>
            </w:r>
            <w:r>
              <w:rPr>
                <w:rFonts w:hint="eastAsia"/>
                <w:kern w:val="0"/>
                <w:vertAlign w:val="superscript"/>
              </w:rPr>
              <w:t>3</w:t>
            </w:r>
            <w:r>
              <w:rPr>
                <w:rFonts w:hint="eastAsia"/>
                <w:kern w:val="0"/>
              </w:rPr>
              <w:t>/d</w:t>
            </w:r>
            <w:r>
              <w:rPr>
                <w:rFonts w:hint="eastAsia" w:ascii="宋体" w:hAnsi="宋体"/>
                <w:kern w:val="0"/>
              </w:rPr>
              <w:t>。</w:t>
            </w:r>
          </w:p>
          <w:p>
            <w:pPr>
              <w:spacing w:line="400" w:lineRule="exact"/>
              <w:ind w:firstLine="420" w:firstLineChars="200"/>
              <w:rPr>
                <w:rFonts w:ascii="宋体" w:hAnsi="宋体"/>
                <w:szCs w:val="28"/>
              </w:rPr>
            </w:pPr>
            <w:r>
              <w:rPr>
                <w:rFonts w:ascii="宋体" w:hAnsi="宋体"/>
                <w:bCs/>
                <w:szCs w:val="28"/>
              </w:rPr>
              <w:t>生活用水：根据《四川省用水定额》（</w:t>
            </w:r>
            <w:r>
              <w:rPr>
                <w:bCs/>
                <w:szCs w:val="28"/>
              </w:rPr>
              <w:t>DB51/T 2138-2016</w:t>
            </w:r>
            <w:r>
              <w:rPr>
                <w:rFonts w:ascii="宋体" w:hAnsi="宋体"/>
                <w:bCs/>
                <w:szCs w:val="28"/>
              </w:rPr>
              <w:t>），本项目厂区不设食堂和浴室，工作人员生活用水取</w:t>
            </w:r>
            <w:r>
              <w:rPr>
                <w:rFonts w:hint="eastAsia"/>
                <w:bCs/>
                <w:szCs w:val="28"/>
              </w:rPr>
              <w:t>50</w:t>
            </w:r>
            <w:r>
              <w:rPr>
                <w:bCs/>
                <w:szCs w:val="28"/>
              </w:rPr>
              <w:t>L/</w:t>
            </w:r>
            <w:r>
              <w:rPr>
                <w:rFonts w:ascii="宋体" w:hAnsi="宋体"/>
                <w:bCs/>
                <w:szCs w:val="28"/>
              </w:rPr>
              <w:t>人</w:t>
            </w:r>
            <w:r>
              <w:rPr>
                <w:rFonts w:hint="eastAsia" w:ascii="宋体" w:hAnsi="宋体"/>
                <w:bCs/>
                <w:szCs w:val="28"/>
              </w:rPr>
              <w:t>·</w:t>
            </w:r>
            <w:r>
              <w:rPr>
                <w:bCs/>
                <w:szCs w:val="28"/>
              </w:rPr>
              <w:t>d</w:t>
            </w:r>
            <w:r>
              <w:rPr>
                <w:rFonts w:ascii="宋体" w:hAnsi="宋体"/>
                <w:bCs/>
                <w:szCs w:val="28"/>
              </w:rPr>
              <w:t>计算，</w:t>
            </w:r>
            <w:r>
              <w:rPr>
                <w:rFonts w:hint="eastAsia" w:ascii="宋体" w:hAnsi="宋体"/>
                <w:bCs/>
                <w:szCs w:val="28"/>
              </w:rPr>
              <w:t>劳动定员</w:t>
            </w:r>
            <w:r>
              <w:rPr>
                <w:rFonts w:hint="eastAsia"/>
                <w:bCs/>
                <w:szCs w:val="28"/>
              </w:rPr>
              <w:t>6</w:t>
            </w:r>
            <w:r>
              <w:rPr>
                <w:rFonts w:ascii="宋体" w:hAnsi="宋体"/>
                <w:bCs/>
                <w:szCs w:val="28"/>
              </w:rPr>
              <w:t>人，则生活用水量为</w:t>
            </w:r>
            <w:r>
              <w:rPr>
                <w:rFonts w:hint="eastAsia"/>
                <w:bCs/>
                <w:szCs w:val="28"/>
              </w:rPr>
              <w:t>0.3</w:t>
            </w:r>
            <w:r>
              <w:rPr>
                <w:bCs/>
                <w:szCs w:val="28"/>
              </w:rPr>
              <w:t>m</w:t>
            </w:r>
            <w:r>
              <w:rPr>
                <w:bCs/>
                <w:szCs w:val="28"/>
                <w:vertAlign w:val="superscript"/>
              </w:rPr>
              <w:t>3</w:t>
            </w:r>
            <w:r>
              <w:rPr>
                <w:bCs/>
                <w:szCs w:val="28"/>
              </w:rPr>
              <w:t>/d</w:t>
            </w:r>
            <w:r>
              <w:rPr>
                <w:rFonts w:ascii="宋体" w:hAnsi="宋体"/>
                <w:szCs w:val="28"/>
              </w:rPr>
              <w:t>（</w:t>
            </w:r>
            <w:r>
              <w:rPr>
                <w:rFonts w:hint="eastAsia"/>
                <w:szCs w:val="28"/>
              </w:rPr>
              <w:t>90</w:t>
            </w:r>
            <w:r>
              <w:rPr>
                <w:szCs w:val="28"/>
              </w:rPr>
              <w:t>m</w:t>
            </w:r>
            <w:r>
              <w:rPr>
                <w:szCs w:val="28"/>
                <w:vertAlign w:val="superscript"/>
              </w:rPr>
              <w:t>3</w:t>
            </w:r>
            <w:r>
              <w:rPr>
                <w:szCs w:val="28"/>
              </w:rPr>
              <w:t>/a</w:t>
            </w:r>
            <w:r>
              <w:rPr>
                <w:rFonts w:ascii="宋体" w:hAnsi="宋体"/>
                <w:szCs w:val="28"/>
              </w:rPr>
              <w:t>）</w:t>
            </w:r>
            <w:r>
              <w:rPr>
                <w:rFonts w:ascii="宋体" w:hAnsi="宋体"/>
                <w:bCs/>
                <w:szCs w:val="28"/>
              </w:rPr>
              <w:t>，排污系数按</w:t>
            </w:r>
            <w:r>
              <w:rPr>
                <w:bCs/>
                <w:szCs w:val="28"/>
              </w:rPr>
              <w:t>0.9</w:t>
            </w:r>
            <w:r>
              <w:rPr>
                <w:rFonts w:ascii="宋体" w:hAnsi="宋体"/>
                <w:bCs/>
                <w:szCs w:val="28"/>
              </w:rPr>
              <w:t>计，则生活污水产生量为</w:t>
            </w:r>
            <w:r>
              <w:rPr>
                <w:rFonts w:hint="eastAsia"/>
                <w:bCs/>
                <w:szCs w:val="28"/>
              </w:rPr>
              <w:t>0.27</w:t>
            </w:r>
            <w:r>
              <w:rPr>
                <w:bCs/>
                <w:szCs w:val="28"/>
              </w:rPr>
              <w:t>m</w:t>
            </w:r>
            <w:r>
              <w:rPr>
                <w:bCs/>
                <w:szCs w:val="28"/>
                <w:vertAlign w:val="superscript"/>
              </w:rPr>
              <w:t>3</w:t>
            </w:r>
            <w:r>
              <w:rPr>
                <w:bCs/>
                <w:szCs w:val="28"/>
              </w:rPr>
              <w:t>/d</w:t>
            </w:r>
            <w:r>
              <w:rPr>
                <w:rFonts w:ascii="宋体" w:hAnsi="宋体"/>
                <w:szCs w:val="28"/>
              </w:rPr>
              <w:t>（</w:t>
            </w:r>
            <w:r>
              <w:rPr>
                <w:rFonts w:hint="eastAsia"/>
                <w:szCs w:val="28"/>
              </w:rPr>
              <w:t>81</w:t>
            </w:r>
            <w:r>
              <w:rPr>
                <w:szCs w:val="28"/>
              </w:rPr>
              <w:t>m</w:t>
            </w:r>
            <w:r>
              <w:rPr>
                <w:szCs w:val="28"/>
                <w:vertAlign w:val="superscript"/>
              </w:rPr>
              <w:t>3</w:t>
            </w:r>
            <w:r>
              <w:rPr>
                <w:szCs w:val="28"/>
              </w:rPr>
              <w:t>/a</w:t>
            </w:r>
            <w:r>
              <w:rPr>
                <w:rFonts w:ascii="宋体" w:hAnsi="宋体"/>
                <w:szCs w:val="28"/>
              </w:rPr>
              <w:t>）。</w:t>
            </w:r>
          </w:p>
          <w:p>
            <w:pPr>
              <w:autoSpaceDE w:val="0"/>
              <w:autoSpaceDN w:val="0"/>
              <w:adjustRightInd w:val="0"/>
              <w:snapToGrid w:val="0"/>
              <w:spacing w:line="406" w:lineRule="exact"/>
              <w:ind w:firstLine="420" w:firstLineChars="200"/>
              <w:jc w:val="left"/>
            </w:pPr>
            <w:r>
              <mc:AlternateContent>
                <mc:Choice Requires="wps">
                  <w:drawing>
                    <wp:anchor distT="0" distB="0" distL="114300" distR="114300" simplePos="0" relativeHeight="251667456" behindDoc="0" locked="0" layoutInCell="1" allowOverlap="1">
                      <wp:simplePos x="0" y="0"/>
                      <wp:positionH relativeFrom="column">
                        <wp:posOffset>862965</wp:posOffset>
                      </wp:positionH>
                      <wp:positionV relativeFrom="paragraph">
                        <wp:posOffset>139065</wp:posOffset>
                      </wp:positionV>
                      <wp:extent cx="342900" cy="270510"/>
                      <wp:effectExtent l="0" t="0" r="0" b="0"/>
                      <wp:wrapNone/>
                      <wp:docPr id="329" name="文本框 610"/>
                      <wp:cNvGraphicFramePr/>
                      <a:graphic xmlns:a="http://schemas.openxmlformats.org/drawingml/2006/main">
                        <a:graphicData uri="http://schemas.microsoft.com/office/word/2010/wordprocessingShape">
                          <wps:wsp>
                            <wps:cNvSpPr txBox="1"/>
                            <wps:spPr>
                              <a:xfrm>
                                <a:off x="0" y="0"/>
                                <a:ext cx="413385" cy="270510"/>
                              </a:xfrm>
                              <a:prstGeom prst="rect">
                                <a:avLst/>
                              </a:prstGeom>
                              <a:noFill/>
                              <a:ln>
                                <a:noFill/>
                              </a:ln>
                              <a:effectLst/>
                            </wps:spPr>
                            <wps:txbx>
                              <w:txbxContent>
                                <w:p>
                                  <w:pPr>
                                    <w:jc w:val="center"/>
                                    <w:rPr>
                                      <w:sz w:val="18"/>
                                      <w:szCs w:val="18"/>
                                    </w:rPr>
                                  </w:pPr>
                                  <w:r>
                                    <w:rPr>
                                      <w:rFonts w:hint="eastAsia" w:ascii="Calibri" w:hAnsi="Calibri"/>
                                      <w:sz w:val="18"/>
                                      <w:szCs w:val="18"/>
                                    </w:rPr>
                                    <w:t>8.5</w:t>
                                  </w:r>
                                </w:p>
                              </w:txbxContent>
                            </wps:txbx>
                            <wps:bodyPr upright="1"/>
                          </wps:wsp>
                        </a:graphicData>
                      </a:graphic>
                    </wp:anchor>
                  </w:drawing>
                </mc:Choice>
                <mc:Fallback>
                  <w:pict>
                    <v:shape id="文本框 610" o:spid="_x0000_s1026" o:spt="202" type="#_x0000_t202" style="position:absolute;left:0pt;margin-left:67.95pt;margin-top:10.95pt;height:21.3pt;width:27pt;z-index:251667456;mso-width-relative:page;mso-height-relative:page;" filled="f" stroked="f" coordsize="21600,21600" o:gfxdata="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0&#10;Vsu41gAAAAkBAAAPAAAAAAAAAAEAIAAAACIAAABkcnMvZG93bnJldi54bWxQSwECFAAUAAAACACH&#10;TuJAFgb1HrQBAABfAwAADgAAAAAAAAABACAAAAAlAQAAZHJzL2Uyb0RvYy54bWxQSwUGAAAAAAYA&#10;BgBZAQAASwUAAAAA&#10;">
                      <v:fill on="f" focussize="0,0"/>
                      <v:stroke on="f"/>
                      <v:imagedata o:title=""/>
                      <o:lock v:ext="edit" aspectratio="f"/>
                      <v:textbox>
                        <w:txbxContent>
                          <w:p>
                            <w:pPr>
                              <w:jc w:val="center"/>
                              <w:rPr>
                                <w:sz w:val="18"/>
                                <w:szCs w:val="18"/>
                              </w:rPr>
                            </w:pPr>
                            <w:r>
                              <w:rPr>
                                <w:rFonts w:hint="eastAsia" w:ascii="Calibri" w:hAnsi="Calibri"/>
                                <w:sz w:val="18"/>
                                <w:szCs w:val="18"/>
                              </w:rPr>
                              <w:t>8.5</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3498850</wp:posOffset>
                      </wp:positionH>
                      <wp:positionV relativeFrom="paragraph">
                        <wp:posOffset>153670</wp:posOffset>
                      </wp:positionV>
                      <wp:extent cx="939165" cy="270510"/>
                      <wp:effectExtent l="0" t="0" r="0" b="0"/>
                      <wp:wrapNone/>
                      <wp:docPr id="330" name="文本框 611"/>
                      <wp:cNvGraphicFramePr/>
                      <a:graphic xmlns:a="http://schemas.openxmlformats.org/drawingml/2006/main">
                        <a:graphicData uri="http://schemas.microsoft.com/office/word/2010/wordprocessingShape">
                          <wps:wsp>
                            <wps:cNvSpPr txBox="1"/>
                            <wps:spPr>
                              <a:xfrm>
                                <a:off x="0" y="0"/>
                                <a:ext cx="669290" cy="270510"/>
                              </a:xfrm>
                              <a:prstGeom prst="rect">
                                <a:avLst/>
                              </a:prstGeom>
                              <a:noFill/>
                              <a:ln>
                                <a:noFill/>
                              </a:ln>
                              <a:effectLst/>
                            </wps:spPr>
                            <wps:txbx>
                              <w:txbxContent>
                                <w:p>
                                  <w:pPr>
                                    <w:rPr>
                                      <w:sz w:val="18"/>
                                      <w:szCs w:val="18"/>
                                    </w:rPr>
                                  </w:pPr>
                                  <w:r>
                                    <w:rPr>
                                      <w:sz w:val="18"/>
                                      <w:szCs w:val="18"/>
                                    </w:rPr>
                                    <w:t>随产品带走</w:t>
                                  </w:r>
                                  <w:r>
                                    <w:rPr>
                                      <w:rFonts w:hint="eastAsia"/>
                                      <w:sz w:val="18"/>
                                      <w:szCs w:val="18"/>
                                    </w:rPr>
                                    <w:t>8.5</w:t>
                                  </w:r>
                                </w:p>
                              </w:txbxContent>
                            </wps:txbx>
                            <wps:bodyPr wrap="square" upright="1"/>
                          </wps:wsp>
                        </a:graphicData>
                      </a:graphic>
                    </wp:anchor>
                  </w:drawing>
                </mc:Choice>
                <mc:Fallback>
                  <w:pict>
                    <v:shape id="文本框 611" o:spid="_x0000_s1026" o:spt="202" type="#_x0000_t202" style="position:absolute;left:0pt;margin-left:275.5pt;margin-top:12.1pt;height:21.3pt;width:73.95pt;z-index:251668480;mso-width-relative:page;mso-height-relative:page;" filled="f" stroked="f" coordsize="21600,21600" o:gfxdata="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SJTfjtcAAAAJAQAADwAAAAAAAAABACAAAAAiAAAAZHJzL2Rvd25yZXYueG1sUEsB&#10;AhQAFAAAAAgAh07iQFfLqoi9AQAAbQMAAA4AAAAAAAAAAQAgAAAAJgEAAGRycy9lMm9Eb2MueG1s&#10;UEsFBgAAAAAGAAYAWQEAAFUFAAAAAA==&#10;">
                      <v:fill on="f" focussize="0,0"/>
                      <v:stroke on="f"/>
                      <v:imagedata o:title=""/>
                      <o:lock v:ext="edit" aspectratio="f"/>
                      <v:textbox>
                        <w:txbxContent>
                          <w:p>
                            <w:pPr>
                              <w:rPr>
                                <w:sz w:val="18"/>
                                <w:szCs w:val="18"/>
                              </w:rPr>
                            </w:pPr>
                            <w:r>
                              <w:rPr>
                                <w:sz w:val="18"/>
                                <w:szCs w:val="18"/>
                              </w:rPr>
                              <w:t>随产品带走</w:t>
                            </w:r>
                            <w:r>
                              <w:rPr>
                                <w:rFonts w:hint="eastAsia"/>
                                <w:sz w:val="18"/>
                                <w:szCs w:val="18"/>
                              </w:rPr>
                              <w:t>8.5</w:t>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2629535</wp:posOffset>
                      </wp:positionH>
                      <wp:positionV relativeFrom="paragraph">
                        <wp:posOffset>189230</wp:posOffset>
                      </wp:positionV>
                      <wp:extent cx="633730" cy="234950"/>
                      <wp:effectExtent l="5080" t="4445" r="8890" b="8255"/>
                      <wp:wrapNone/>
                      <wp:docPr id="332" name="文本框 605"/>
                      <wp:cNvGraphicFramePr/>
                      <a:graphic xmlns:a="http://schemas.openxmlformats.org/drawingml/2006/main">
                        <a:graphicData uri="http://schemas.microsoft.com/office/word/2010/wordprocessingShape">
                          <wps:wsp>
                            <wps:cNvSpPr txBox="1"/>
                            <wps:spPr>
                              <a:xfrm>
                                <a:off x="0" y="0"/>
                                <a:ext cx="633730" cy="2349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left="-53" w:leftChars="-25" w:right="-53" w:rightChars="-25"/>
                                    <w:jc w:val="center"/>
                                    <w:rPr>
                                      <w:sz w:val="18"/>
                                      <w:szCs w:val="18"/>
                                    </w:rPr>
                                  </w:pPr>
                                  <w:r>
                                    <w:rPr>
                                      <w:rFonts w:hint="eastAsia" w:ascii="Calibri" w:hAnsi="Calibri" w:cs="宋体"/>
                                      <w:sz w:val="18"/>
                                      <w:szCs w:val="18"/>
                                    </w:rPr>
                                    <w:t>进入煤堆</w:t>
                                  </w:r>
                                </w:p>
                              </w:txbxContent>
                            </wps:txbx>
                            <wps:bodyPr wrap="square" upright="1"/>
                          </wps:wsp>
                        </a:graphicData>
                      </a:graphic>
                    </wp:anchor>
                  </w:drawing>
                </mc:Choice>
                <mc:Fallback>
                  <w:pict>
                    <v:shape id="文本框 605" o:spid="_x0000_s1026" o:spt="202" type="#_x0000_t202" style="position:absolute;left:0pt;margin-left:207.05pt;margin-top:14.9pt;height:18.5pt;width:49.9pt;z-index:251670528;mso-width-relative:page;mso-height-relative:page;" fillcolor="#FFFFFF" filled="t" stroked="t" coordsize="21600,21600" o:gfxdata="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H1ol1&#10;2QAAAAkBAAAPAAAAAAAAAAEAIAAAACIAAABkcnMvZG93bnJldi54bWxQSwECFAAUAAAACACHTuJA&#10;Uu+DDyACAABVBAAADgAAAAAAAAABACAAAAAoAQAAZHJzL2Uyb0RvYy54bWxQSwUGAAAAAAYABgBZ&#10;AQAAugUAAAAA&#10;">
                      <v:fill on="t" focussize="0,0"/>
                      <v:stroke color="#000000" joinstyle="miter"/>
                      <v:imagedata o:title=""/>
                      <o:lock v:ext="edit" aspectratio="f"/>
                      <v:textbox>
                        <w:txbxContent>
                          <w:p>
                            <w:pPr>
                              <w:ind w:left="-53" w:leftChars="-25" w:right="-53" w:rightChars="-25"/>
                              <w:jc w:val="center"/>
                              <w:rPr>
                                <w:sz w:val="18"/>
                                <w:szCs w:val="18"/>
                              </w:rPr>
                            </w:pPr>
                            <w:r>
                              <w:rPr>
                                <w:rFonts w:hint="eastAsia" w:ascii="Calibri" w:hAnsi="Calibri" w:cs="宋体"/>
                                <w:sz w:val="18"/>
                                <w:szCs w:val="18"/>
                              </w:rPr>
                              <w:t>进入煤堆</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2169795</wp:posOffset>
                      </wp:positionH>
                      <wp:positionV relativeFrom="paragraph">
                        <wp:posOffset>139065</wp:posOffset>
                      </wp:positionV>
                      <wp:extent cx="459740" cy="212725"/>
                      <wp:effectExtent l="0" t="0" r="0" b="0"/>
                      <wp:wrapNone/>
                      <wp:docPr id="333" name="文本框 610"/>
                      <wp:cNvGraphicFramePr/>
                      <a:graphic xmlns:a="http://schemas.openxmlformats.org/drawingml/2006/main">
                        <a:graphicData uri="http://schemas.microsoft.com/office/word/2010/wordprocessingShape">
                          <wps:wsp>
                            <wps:cNvSpPr txBox="1"/>
                            <wps:spPr>
                              <a:xfrm>
                                <a:off x="0" y="0"/>
                                <a:ext cx="459464" cy="212725"/>
                              </a:xfrm>
                              <a:prstGeom prst="rect">
                                <a:avLst/>
                              </a:prstGeom>
                              <a:noFill/>
                              <a:ln>
                                <a:noFill/>
                              </a:ln>
                              <a:effectLst/>
                            </wps:spPr>
                            <wps:txbx>
                              <w:txbxContent>
                                <w:p>
                                  <w:pPr>
                                    <w:jc w:val="center"/>
                                    <w:rPr>
                                      <w:sz w:val="18"/>
                                      <w:szCs w:val="18"/>
                                    </w:rPr>
                                  </w:pPr>
                                  <w:r>
                                    <w:rPr>
                                      <w:rFonts w:hint="eastAsia" w:ascii="Calibri" w:hAnsi="Calibri"/>
                                      <w:sz w:val="18"/>
                                      <w:szCs w:val="18"/>
                                    </w:rPr>
                                    <w:t>8.5</w:t>
                                  </w:r>
                                </w:p>
                              </w:txbxContent>
                            </wps:txbx>
                            <wps:bodyPr wrap="square" upright="1"/>
                          </wps:wsp>
                        </a:graphicData>
                      </a:graphic>
                    </wp:anchor>
                  </w:drawing>
                </mc:Choice>
                <mc:Fallback>
                  <w:pict>
                    <v:shape id="文本框 610" o:spid="_x0000_s1026" o:spt="202" type="#_x0000_t202" style="position:absolute;left:0pt;margin-left:170.85pt;margin-top:10.95pt;height:16.75pt;width:36.2pt;z-index:251671552;mso-width-relative:page;mso-height-relative:page;" filled="f" stroked="f" coordsize="21600,21600" o:gfxdata="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AbTWtYAAAAJAQAADwAAAAAAAAABACAAAAAiAAAAZHJzL2Rvd25yZXYueG1sUEsB&#10;AhQAFAAAAAgAh07iQKK2HAK+AQAAbQMAAA4AAAAAAAAAAQAgAAAAJQEAAGRycy9lMm9Eb2MueG1s&#10;UEsFBgAAAAAGAAYAWQEAAFUFAAAAAA==&#10;">
                      <v:fill on="f" focussize="0,0"/>
                      <v:stroke on="f"/>
                      <v:imagedata o:title=""/>
                      <o:lock v:ext="edit" aspectratio="f"/>
                      <v:textbox>
                        <w:txbxContent>
                          <w:p>
                            <w:pPr>
                              <w:jc w:val="center"/>
                              <w:rPr>
                                <w:sz w:val="18"/>
                                <w:szCs w:val="18"/>
                              </w:rPr>
                            </w:pPr>
                            <w:r>
                              <w:rPr>
                                <w:rFonts w:hint="eastAsia" w:ascii="Calibri" w:hAnsi="Calibri"/>
                                <w:sz w:val="18"/>
                                <w:szCs w:val="18"/>
                              </w:rPr>
                              <w:t>8.5</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1270635</wp:posOffset>
                      </wp:positionH>
                      <wp:positionV relativeFrom="paragraph">
                        <wp:posOffset>213995</wp:posOffset>
                      </wp:positionV>
                      <wp:extent cx="944880" cy="234950"/>
                      <wp:effectExtent l="5080" t="4445" r="21590" b="8255"/>
                      <wp:wrapNone/>
                      <wp:docPr id="326" name="文本框 605"/>
                      <wp:cNvGraphicFramePr/>
                      <a:graphic xmlns:a="http://schemas.openxmlformats.org/drawingml/2006/main">
                        <a:graphicData uri="http://schemas.microsoft.com/office/word/2010/wordprocessingShape">
                          <wps:wsp>
                            <wps:cNvSpPr txBox="1"/>
                            <wps:spPr>
                              <a:xfrm>
                                <a:off x="0" y="0"/>
                                <a:ext cx="944880" cy="2349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left="-53" w:leftChars="-25" w:right="-53" w:rightChars="-25"/>
                                    <w:jc w:val="center"/>
                                    <w:rPr>
                                      <w:sz w:val="18"/>
                                      <w:szCs w:val="18"/>
                                    </w:rPr>
                                  </w:pPr>
                                  <w:r>
                                    <w:rPr>
                                      <w:rFonts w:hint="eastAsia" w:ascii="Calibri" w:hAnsi="Calibri" w:cs="宋体"/>
                                      <w:sz w:val="18"/>
                                      <w:szCs w:val="18"/>
                                    </w:rPr>
                                    <w:t>喷雾降尘用水</w:t>
                                  </w:r>
                                </w:p>
                              </w:txbxContent>
                            </wps:txbx>
                            <wps:bodyPr upright="1"/>
                          </wps:wsp>
                        </a:graphicData>
                      </a:graphic>
                    </wp:anchor>
                  </w:drawing>
                </mc:Choice>
                <mc:Fallback>
                  <w:pict>
                    <v:shape id="文本框 605" o:spid="_x0000_s1026" o:spt="202" type="#_x0000_t202" style="position:absolute;left:0pt;margin-left:100.05pt;margin-top:16.85pt;height:18.5pt;width:74.4pt;z-index:251664384;mso-width-relative:page;mso-height-relative:page;" fillcolor="#FFFFFF" filled="t" stroked="t" coordsize="21600,21600" o:gfxdata="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OnfwjXAAAACQEAAA8AAAAA&#10;AAAAAQAgAAAAIgAAAGRycy9kb3ducmV2LnhtbFBLAQIUABQAAAAIAIdO4kD4+pM3FQIAAEcEAAAO&#10;AAAAAAAAAAEAIAAAACYBAABkcnMvZTJvRG9jLnhtbFBLBQYAAAAABgAGAFkBAACtBQAAAAA=&#10;">
                      <v:fill on="t" focussize="0,0"/>
                      <v:stroke color="#000000" joinstyle="miter"/>
                      <v:imagedata o:title=""/>
                      <o:lock v:ext="edit" aspectratio="f"/>
                      <v:textbox>
                        <w:txbxContent>
                          <w:p>
                            <w:pPr>
                              <w:ind w:left="-53" w:leftChars="-25" w:right="-53" w:rightChars="-25"/>
                              <w:jc w:val="center"/>
                              <w:rPr>
                                <w:sz w:val="18"/>
                                <w:szCs w:val="18"/>
                              </w:rPr>
                            </w:pPr>
                            <w:r>
                              <w:rPr>
                                <w:rFonts w:hint="eastAsia" w:ascii="Calibri" w:hAnsi="Calibri" w:cs="宋体"/>
                                <w:sz w:val="18"/>
                                <w:szCs w:val="18"/>
                              </w:rPr>
                              <w:t>喷雾降尘用水</w:t>
                            </w:r>
                          </w:p>
                        </w:txbxContent>
                      </v:textbox>
                    </v:shape>
                  </w:pict>
                </mc:Fallback>
              </mc:AlternateContent>
            </w:r>
          </w:p>
          <w:p>
            <w:pPr>
              <w:autoSpaceDE w:val="0"/>
              <w:autoSpaceDN w:val="0"/>
              <w:adjustRightInd w:val="0"/>
              <w:snapToGrid w:val="0"/>
              <w:spacing w:line="406" w:lineRule="exact"/>
              <w:ind w:firstLine="420" w:firstLineChars="200"/>
              <w:jc w:val="left"/>
            </w:pPr>
            <w:r>
              <mc:AlternateContent>
                <mc:Choice Requires="wps">
                  <w:drawing>
                    <wp:anchor distT="0" distB="0" distL="114300" distR="114300" simplePos="0" relativeHeight="251662336" behindDoc="0" locked="0" layoutInCell="1" allowOverlap="1">
                      <wp:simplePos x="0" y="0"/>
                      <wp:positionH relativeFrom="column">
                        <wp:posOffset>763270</wp:posOffset>
                      </wp:positionH>
                      <wp:positionV relativeFrom="paragraph">
                        <wp:posOffset>62230</wp:posOffset>
                      </wp:positionV>
                      <wp:extent cx="635" cy="2334895"/>
                      <wp:effectExtent l="6350" t="0" r="12065" b="8255"/>
                      <wp:wrapNone/>
                      <wp:docPr id="33" name="直线 60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0" cy="2640437"/>
                              </a:xfrm>
                              <a:prstGeom prst="line">
                                <a:avLst/>
                              </a:prstGeom>
                              <a:ln w="12700" cap="flat" cmpd="sng">
                                <a:solidFill>
                                  <a:srgbClr val="000000"/>
                                </a:solidFill>
                                <a:prstDash val="solid"/>
                                <a:headEnd type="none" w="med" len="med"/>
                                <a:tailEnd type="none" w="med" len="med"/>
                              </a:ln>
                              <a:effectLst/>
                            </wps:spPr>
                            <wps:bodyPr/>
                          </wps:wsp>
                        </a:graphicData>
                      </a:graphic>
                    </wp:anchor>
                  </w:drawing>
                </mc:Choice>
                <mc:Fallback>
                  <w:pict>
                    <v:line id="直线 609" o:spid="_x0000_s1026" o:spt="20" style="position:absolute;left:0pt;margin-left:60.1pt;margin-top:4.9pt;height:183.85pt;width:0.05pt;z-index:251662336;mso-width-relative:page;mso-height-relative:page;" filled="f" stroked="t" coordsize="21600,21600" o:gfxdata="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ZbhhfYAAAACQEAAA8AAAAAAAAAAQAgAAAAIgAAAGRycy9kb3du&#10;cmV2LnhtbFBLAQIUABQAAAAIAIdO4kACQwUa/wEAABAEAAAOAAAAAAAAAAEAIAAAACcBAABkcnMv&#10;ZTJvRG9jLnhtbFBLBQYAAAAABgAGAFkBAACYBQAAAAA=&#10;">
                      <v:fill on="f" focussize="0,0"/>
                      <v:stroke weight="1pt" color="#000000" joinstyle="round"/>
                      <v:imagedata o:title=""/>
                      <o:lock v:ext="edit" aspectratio="t"/>
                    </v:lin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3263265</wp:posOffset>
                      </wp:positionH>
                      <wp:positionV relativeFrom="paragraph">
                        <wp:posOffset>33020</wp:posOffset>
                      </wp:positionV>
                      <wp:extent cx="320675" cy="635"/>
                      <wp:effectExtent l="0" t="37465" r="3175" b="38100"/>
                      <wp:wrapNone/>
                      <wp:docPr id="9" name="直线 11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320675" cy="63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111" o:spid="_x0000_s1026" o:spt="20" style="position:absolute;left:0pt;margin-left:256.95pt;margin-top:2.6pt;height:0.05pt;width:25.25pt;z-index:251683840;mso-width-relative:page;mso-height-relative:page;" filled="f" stroked="t" coordsize="21600,21600" o:gfxdata="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67/R/1QAAAAcBAAAPAAAAAAAAAAEAIAAAACIAAABk&#10;cnMvZG93bnJldi54bWxQSwECFAAUAAAACACHTuJA/y3NcwkCAAASBAAADgAAAAAAAAABACAAAAAk&#10;AQAAZHJzL2Uyb0RvYy54bWxQSwUGAAAAAAYABgBZAQAAnwUAAAAA&#10;">
                      <v:fill on="f" focussize="0,0"/>
                      <v:stroke weight="1pt" color="#000000" joinstyle="round" endarrow="block"/>
                      <v:imagedata o:title=""/>
                      <o:lock v:ext="edit" aspectratio="t"/>
                    </v:lin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2215515</wp:posOffset>
                      </wp:positionH>
                      <wp:positionV relativeFrom="paragraph">
                        <wp:posOffset>62865</wp:posOffset>
                      </wp:positionV>
                      <wp:extent cx="412750" cy="0"/>
                      <wp:effectExtent l="0" t="38100" r="6350" b="38100"/>
                      <wp:wrapNone/>
                      <wp:docPr id="331" name="直线 60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412750" cy="0"/>
                              </a:xfrm>
                              <a:prstGeom prst="line">
                                <a:avLst/>
                              </a:prstGeom>
                              <a:ln w="12700" cap="flat" cmpd="sng">
                                <a:solidFill>
                                  <a:srgbClr val="000000"/>
                                </a:solidFill>
                                <a:prstDash val="solid"/>
                                <a:headEnd type="none" w="med" len="med"/>
                                <a:tailEnd type="triangle" w="med" len="med"/>
                              </a:ln>
                              <a:effectLst/>
                            </wps:spPr>
                            <wps:bodyPr/>
                          </wps:wsp>
                        </a:graphicData>
                      </a:graphic>
                    </wp:anchor>
                  </w:drawing>
                </mc:Choice>
                <mc:Fallback>
                  <w:pict>
                    <v:line id="直线 607" o:spid="_x0000_s1026" o:spt="20" style="position:absolute;left:0pt;margin-left:174.45pt;margin-top:4.95pt;height:0pt;width:32.5pt;z-index:251669504;mso-width-relative:page;mso-height-relative:page;" filled="f" stroked="t" coordsize="21600,21600" o:gfxdata="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STOyU1QAAAAcBAAAPAAAAAAAAAAEAIAAAACIAAABkcnMv&#10;ZG93bnJldi54bWxQSwECFAAUAAAACACHTuJAZ+SO0wYCAAAUBAAADgAAAAAAAAABACAAAAAkAQAA&#10;ZHJzL2Uyb0RvYy54bWxQSwUGAAAAAAYABgBZAQAAnAUAAAAA&#10;">
                      <v:fill on="f" focussize="0,0"/>
                      <v:stroke weight="1pt" color="#000000" joinstyle="round" endarrow="block"/>
                      <v:imagedata o:title=""/>
                      <o:lock v:ext="edit" aspectratio="t"/>
                    </v:lin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769620</wp:posOffset>
                      </wp:positionH>
                      <wp:positionV relativeFrom="paragraph">
                        <wp:posOffset>62230</wp:posOffset>
                      </wp:positionV>
                      <wp:extent cx="493395" cy="635"/>
                      <wp:effectExtent l="0" t="0" r="0" b="0"/>
                      <wp:wrapNone/>
                      <wp:docPr id="327" name="直线 60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493395" cy="635"/>
                              </a:xfrm>
                              <a:prstGeom prst="line">
                                <a:avLst/>
                              </a:prstGeom>
                              <a:ln w="12700" cap="flat" cmpd="sng">
                                <a:solidFill>
                                  <a:srgbClr val="000000"/>
                                </a:solidFill>
                                <a:prstDash val="solid"/>
                                <a:headEnd type="none" w="med" len="med"/>
                                <a:tailEnd type="none" w="med" len="med"/>
                              </a:ln>
                              <a:effectLst/>
                            </wps:spPr>
                            <wps:bodyPr/>
                          </wps:wsp>
                        </a:graphicData>
                      </a:graphic>
                    </wp:anchor>
                  </w:drawing>
                </mc:Choice>
                <mc:Fallback>
                  <w:pict>
                    <v:line id="直线 606" o:spid="_x0000_s1026" o:spt="20" style="position:absolute;left:0pt;margin-left:60.6pt;margin-top:4.9pt;height:0.05pt;width:38.85pt;z-index:251665408;mso-width-relative:page;mso-height-relative:page;" filled="f" stroked="t" coordsize="21600,21600" o:gfxdata="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TmVRy1QAAAAcBAAAPAAAAAAAAAAEAIAAAACIAAABkcnMvZG93&#10;bnJldi54bWxQSwECFAAUAAAACACHTuJAYpw/OAMCAAASBAAADgAAAAAAAAABACAAAAAkAQAAZHJz&#10;L2Uyb0RvYy54bWxQSwUGAAAAAAYABgBZAQAAmQUAAAAA&#10;">
                      <v:fill on="f" focussize="0,0"/>
                      <v:stroke weight="1pt" color="#000000" joinstyle="round"/>
                      <v:imagedata o:title=""/>
                      <o:lock v:ext="edit" aspectratio="t"/>
                    </v:line>
                  </w:pict>
                </mc:Fallback>
              </mc:AlternateContent>
            </w:r>
          </w:p>
          <w:p>
            <w:pPr>
              <w:autoSpaceDE w:val="0"/>
              <w:autoSpaceDN w:val="0"/>
              <w:adjustRightInd w:val="0"/>
              <w:snapToGrid w:val="0"/>
              <w:spacing w:line="406" w:lineRule="exact"/>
              <w:ind w:firstLine="420" w:firstLineChars="200"/>
              <w:jc w:val="left"/>
            </w:pPr>
            <w:r>
              <mc:AlternateContent>
                <mc:Choice Requires="wps">
                  <w:drawing>
                    <wp:anchor distT="0" distB="0" distL="114300" distR="114300" simplePos="0" relativeHeight="251729920" behindDoc="0" locked="0" layoutInCell="1" allowOverlap="1">
                      <wp:simplePos x="0" y="0"/>
                      <wp:positionH relativeFrom="column">
                        <wp:posOffset>3205480</wp:posOffset>
                      </wp:positionH>
                      <wp:positionV relativeFrom="paragraph">
                        <wp:posOffset>105410</wp:posOffset>
                      </wp:positionV>
                      <wp:extent cx="461645" cy="377825"/>
                      <wp:effectExtent l="0" t="0" r="0" b="0"/>
                      <wp:wrapNone/>
                      <wp:docPr id="52" name="文本框 610"/>
                      <wp:cNvGraphicFramePr/>
                      <a:graphic xmlns:a="http://schemas.openxmlformats.org/drawingml/2006/main">
                        <a:graphicData uri="http://schemas.microsoft.com/office/word/2010/wordprocessingShape">
                          <wps:wsp>
                            <wps:cNvSpPr txBox="1"/>
                            <wps:spPr>
                              <a:xfrm>
                                <a:off x="0" y="0"/>
                                <a:ext cx="687705" cy="212725"/>
                              </a:xfrm>
                              <a:prstGeom prst="rect">
                                <a:avLst/>
                              </a:prstGeom>
                              <a:noFill/>
                              <a:ln>
                                <a:noFill/>
                              </a:ln>
                              <a:effectLst/>
                            </wps:spPr>
                            <wps:txbx>
                              <w:txbxContent>
                                <w:p>
                                  <w:pPr>
                                    <w:jc w:val="center"/>
                                    <w:rPr>
                                      <w:sz w:val="18"/>
                                      <w:szCs w:val="18"/>
                                    </w:rPr>
                                  </w:pPr>
                                  <w:r>
                                    <w:rPr>
                                      <w:rFonts w:hint="eastAsia" w:ascii="Calibri" w:hAnsi="Calibri"/>
                                      <w:sz w:val="18"/>
                                      <w:szCs w:val="18"/>
                                    </w:rPr>
                                    <w:t>回用2.7</w:t>
                                  </w:r>
                                </w:p>
                              </w:txbxContent>
                            </wps:txbx>
                            <wps:bodyPr wrap="square" upright="1"/>
                          </wps:wsp>
                        </a:graphicData>
                      </a:graphic>
                    </wp:anchor>
                  </w:drawing>
                </mc:Choice>
                <mc:Fallback>
                  <w:pict>
                    <v:shape id="文本框 610" o:spid="_x0000_s1026" o:spt="202" type="#_x0000_t202" style="position:absolute;left:0pt;margin-left:252.4pt;margin-top:8.3pt;height:29.75pt;width:36.35pt;z-index:251729920;mso-width-relative:page;mso-height-relative:page;" filled="f" stroked="f" coordsize="21600,21600" o:gfxdata="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j2eUg1gAAAAkBAAAPAAAAAAAAAAEAIAAAACIAAABkcnMvZG93bnJldi54bWxQSwEC&#10;FAAUAAAACACHTuJAd/Ah4L0BAABsAwAADgAAAAAAAAABACAAAAAlAQAAZHJzL2Uyb0RvYy54bWxQ&#10;SwUGAAAAAAYABgBZAQAAVAUAAAAA&#10;">
                      <v:fill on="f" focussize="0,0"/>
                      <v:stroke on="f"/>
                      <v:imagedata o:title=""/>
                      <o:lock v:ext="edit" aspectratio="f"/>
                      <v:textbox>
                        <w:txbxContent>
                          <w:p>
                            <w:pPr>
                              <w:jc w:val="center"/>
                              <w:rPr>
                                <w:sz w:val="18"/>
                                <w:szCs w:val="18"/>
                              </w:rPr>
                            </w:pPr>
                            <w:r>
                              <w:rPr>
                                <w:rFonts w:hint="eastAsia" w:ascii="Calibri" w:hAnsi="Calibri"/>
                                <w:sz w:val="18"/>
                                <w:szCs w:val="18"/>
                              </w:rPr>
                              <w:t>回用2.7</w:t>
                            </w:r>
                          </w:p>
                        </w:txbxContent>
                      </v:textbox>
                    </v:shape>
                  </w:pict>
                </mc:Fallback>
              </mc:AlternateContent>
            </w:r>
            <w:r>
              <mc:AlternateContent>
                <mc:Choice Requires="wps">
                  <w:drawing>
                    <wp:anchor distT="0" distB="0" distL="114300" distR="114300" simplePos="0" relativeHeight="251728896" behindDoc="0" locked="0" layoutInCell="1" allowOverlap="1">
                      <wp:simplePos x="0" y="0"/>
                      <wp:positionH relativeFrom="column">
                        <wp:posOffset>1478280</wp:posOffset>
                      </wp:positionH>
                      <wp:positionV relativeFrom="paragraph">
                        <wp:posOffset>36195</wp:posOffset>
                      </wp:positionV>
                      <wp:extent cx="635" cy="332740"/>
                      <wp:effectExtent l="38100" t="0" r="37465" b="10160"/>
                      <wp:wrapNone/>
                      <wp:docPr id="51" name="直线 15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635" cy="332740"/>
                              </a:xfrm>
                              <a:prstGeom prst="line">
                                <a:avLst/>
                              </a:prstGeom>
                              <a:ln w="12700" cap="flat" cmpd="sng">
                                <a:solidFill>
                                  <a:srgbClr val="000000"/>
                                </a:solidFill>
                                <a:prstDash val="solid"/>
                                <a:headEnd type="triangle" w="med" len="med"/>
                                <a:tailEnd type="none" w="med" len="med"/>
                              </a:ln>
                            </wps:spPr>
                            <wps:bodyPr upright="1"/>
                          </wps:wsp>
                        </a:graphicData>
                      </a:graphic>
                    </wp:anchor>
                  </w:drawing>
                </mc:Choice>
                <mc:Fallback>
                  <w:pict>
                    <v:line id="直线 158" o:spid="_x0000_s1026" o:spt="20" style="position:absolute;left:0pt;flip:y;margin-left:116.4pt;margin-top:2.85pt;height:26.2pt;width:0.05pt;z-index:251728896;mso-width-relative:page;mso-height-relative:page;" filled="f" stroked="t" coordsize="21600,21600" o:gfxdata="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HMN3NcAAAAIAQAADwAAAAAAAAAB&#10;ACAAAAAiAAAAZHJzL2Rvd25yZXYueG1sUEsBAhQAFAAAAAgAh07iQBkrf6URAgAAHQQAAA4AAAAA&#10;AAAAAQAgAAAAJgEAAGRycy9lMm9Eb2MueG1sUEsFBgAAAAAGAAYAWQEAAKkFAAAAAA==&#10;">
                      <v:fill on="f" focussize="0,0"/>
                      <v:stroke weight="1pt" color="#000000" joinstyle="round" startarrow="block"/>
                      <v:imagedata o:title=""/>
                      <o:lock v:ext="edit" aspectratio="t"/>
                    </v:line>
                  </w:pict>
                </mc:Fallback>
              </mc:AlternateContent>
            </w:r>
            <w:r>
              <mc:AlternateContent>
                <mc:Choice Requires="wps">
                  <w:drawing>
                    <wp:anchor distT="0" distB="0" distL="114300" distR="114300" simplePos="0" relativeHeight="251727872" behindDoc="0" locked="0" layoutInCell="1" allowOverlap="1">
                      <wp:simplePos x="0" y="0"/>
                      <wp:positionH relativeFrom="column">
                        <wp:posOffset>1470660</wp:posOffset>
                      </wp:positionH>
                      <wp:positionV relativeFrom="paragraph">
                        <wp:posOffset>42545</wp:posOffset>
                      </wp:positionV>
                      <wp:extent cx="2086610" cy="635"/>
                      <wp:effectExtent l="0" t="0" r="0" b="0"/>
                      <wp:wrapNone/>
                      <wp:docPr id="50" name="直线 15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2086610" cy="63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157" o:spid="_x0000_s1026" o:spt="20" style="position:absolute;left:0pt;margin-left:115.8pt;margin-top:3.35pt;height:0.05pt;width:164.3pt;z-index:251727872;mso-width-relative:page;mso-height-relative:page;" filled="f" stroked="t" coordsize="21600,21600" o:gfxdata="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sHl/vWAAAABwEAAA8AAAAAAAAAAQAgAAAAIgAAAGRycy9kb3du&#10;cmV2LnhtbFBLAQIUABQAAAAIAIdO4kCsUe4DAQIAABAEAAAOAAAAAAAAAAEAIAAAACUBAABkcnMv&#10;ZTJvRG9jLnhtbFBLBQYAAAAABgAGAFkBAACYBQAAAAA=&#10;">
                      <v:fill on="f" focussize="0,0"/>
                      <v:stroke weight="1pt" color="#000000" joinstyle="round"/>
                      <v:imagedata o:title=""/>
                      <o:lock v:ext="edit" aspectratio="t"/>
                    </v:line>
                  </w:pict>
                </mc:Fallback>
              </mc:AlternateContent>
            </w:r>
            <w:r>
              <mc:AlternateContent>
                <mc:Choice Requires="wps">
                  <w:drawing>
                    <wp:anchor distT="0" distB="0" distL="114300" distR="114300" simplePos="0" relativeHeight="251726848" behindDoc="0" locked="0" layoutInCell="1" allowOverlap="1">
                      <wp:simplePos x="0" y="0"/>
                      <wp:positionH relativeFrom="column">
                        <wp:posOffset>3547745</wp:posOffset>
                      </wp:positionH>
                      <wp:positionV relativeFrom="paragraph">
                        <wp:posOffset>48895</wp:posOffset>
                      </wp:positionV>
                      <wp:extent cx="635" cy="568960"/>
                      <wp:effectExtent l="6350" t="0" r="12065" b="2540"/>
                      <wp:wrapNone/>
                      <wp:docPr id="49" name="直线 67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0" cy="1240790"/>
                              </a:xfrm>
                              <a:prstGeom prst="line">
                                <a:avLst/>
                              </a:prstGeom>
                              <a:ln w="12700" cap="flat" cmpd="sng">
                                <a:solidFill>
                                  <a:srgbClr val="000000"/>
                                </a:solidFill>
                                <a:prstDash val="solid"/>
                                <a:headEnd type="none" w="med" len="med"/>
                                <a:tailEnd type="none" w="med" len="med"/>
                              </a:ln>
                              <a:effectLst/>
                            </wps:spPr>
                            <wps:bodyPr/>
                          </wps:wsp>
                        </a:graphicData>
                      </a:graphic>
                    </wp:anchor>
                  </w:drawing>
                </mc:Choice>
                <mc:Fallback>
                  <w:pict>
                    <v:line id="直线 673" o:spid="_x0000_s1026" o:spt="20" style="position:absolute;left:0pt;margin-left:279.35pt;margin-top:3.85pt;height:44.8pt;width:0.05pt;z-index:251726848;mso-width-relative:page;mso-height-relative:page;" filled="f" stroked="t" coordsize="21600,21600" o:gfxdata="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4wltzXAAAACAEAAA8AAAAAAAAAAQAgAAAAIgAAAGRycy9kb3du&#10;cmV2LnhtbFBLAQIUABQAAAAIAIdO4kB2ODpqAAIAABAEAAAOAAAAAAAAAAEAIAAAACYBAABkcnMv&#10;ZTJvRG9jLnhtbFBLBQYAAAAABgAGAFkBAACYBQAAAAA=&#10;">
                      <v:fill on="f" focussize="0,0"/>
                      <v:stroke weight="1pt" color="#000000" joinstyle="round"/>
                      <v:imagedata o:title=""/>
                      <o:lock v:ext="edit" aspectratio="t"/>
                    </v:line>
                  </w:pict>
                </mc:Fallback>
              </mc:AlternateContent>
            </w:r>
            <w:r>
              <mc:AlternateContent>
                <mc:Choice Requires="wps">
                  <w:drawing>
                    <wp:anchor distT="0" distB="0" distL="114300" distR="114300" simplePos="0" relativeHeight="251720704" behindDoc="0" locked="0" layoutInCell="1" allowOverlap="1">
                      <wp:simplePos x="0" y="0"/>
                      <wp:positionH relativeFrom="column">
                        <wp:posOffset>1514475</wp:posOffset>
                      </wp:positionH>
                      <wp:positionV relativeFrom="paragraph">
                        <wp:posOffset>27305</wp:posOffset>
                      </wp:positionV>
                      <wp:extent cx="765175" cy="270510"/>
                      <wp:effectExtent l="0" t="0" r="0" b="0"/>
                      <wp:wrapNone/>
                      <wp:docPr id="42" name="文本框 611"/>
                      <wp:cNvGraphicFramePr/>
                      <a:graphic xmlns:a="http://schemas.openxmlformats.org/drawingml/2006/main">
                        <a:graphicData uri="http://schemas.microsoft.com/office/word/2010/wordprocessingShape">
                          <wps:wsp>
                            <wps:cNvSpPr txBox="1"/>
                            <wps:spPr>
                              <a:xfrm>
                                <a:off x="0" y="0"/>
                                <a:ext cx="765017" cy="270510"/>
                              </a:xfrm>
                              <a:prstGeom prst="rect">
                                <a:avLst/>
                              </a:prstGeom>
                              <a:noFill/>
                              <a:ln>
                                <a:noFill/>
                              </a:ln>
                              <a:effectLst/>
                            </wps:spPr>
                            <wps:txbx>
                              <w:txbxContent>
                                <w:p>
                                  <w:pPr>
                                    <w:rPr>
                                      <w:sz w:val="18"/>
                                      <w:szCs w:val="18"/>
                                    </w:rPr>
                                  </w:pPr>
                                  <w:r>
                                    <w:rPr>
                                      <w:rFonts w:hint="eastAsia" w:ascii="Calibri" w:hAnsi="Calibri" w:cs="宋体"/>
                                      <w:sz w:val="18"/>
                                      <w:szCs w:val="18"/>
                                    </w:rPr>
                                    <w:t>损耗</w:t>
                                  </w:r>
                                  <w:r>
                                    <w:rPr>
                                      <w:rFonts w:hint="eastAsia" w:ascii="Calibri" w:hAnsi="Calibri"/>
                                      <w:sz w:val="18"/>
                                      <w:szCs w:val="18"/>
                                    </w:rPr>
                                    <w:t>0.3</w:t>
                                  </w:r>
                                </w:p>
                              </w:txbxContent>
                            </wps:txbx>
                            <wps:bodyPr wrap="square" upright="1"/>
                          </wps:wsp>
                        </a:graphicData>
                      </a:graphic>
                    </wp:anchor>
                  </w:drawing>
                </mc:Choice>
                <mc:Fallback>
                  <w:pict>
                    <v:shape id="文本框 611" o:spid="_x0000_s1026" o:spt="202" type="#_x0000_t202" style="position:absolute;left:0pt;margin-left:119.25pt;margin-top:2.15pt;height:21.3pt;width:60.25pt;z-index:251720704;mso-width-relative:page;mso-height-relative:page;" filled="f" stroked="f" coordsize="21600,21600" o:gfxdata="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Sx3wdYAAAAIAQAADwAAAAAAAAABACAAAAAiAAAAZHJzL2Rvd25yZXYueG1sUEsB&#10;AhQAFAAAAAgAh07iQARG2MW+AQAAbAMAAA4AAAAAAAAAAQAgAAAAJQEAAGRycy9lMm9Eb2MueG1s&#10;UEsFBgAAAAAGAAYAWQEAAFUFAAAAAA==&#10;">
                      <v:fill on="f" focussize="0,0"/>
                      <v:stroke on="f"/>
                      <v:imagedata o:title=""/>
                      <o:lock v:ext="edit" aspectratio="f"/>
                      <v:textbox>
                        <w:txbxContent>
                          <w:p>
                            <w:pPr>
                              <w:rPr>
                                <w:sz w:val="18"/>
                                <w:szCs w:val="18"/>
                              </w:rPr>
                            </w:pPr>
                            <w:r>
                              <w:rPr>
                                <w:rFonts w:hint="eastAsia" w:ascii="Calibri" w:hAnsi="Calibri" w:cs="宋体"/>
                                <w:sz w:val="18"/>
                                <w:szCs w:val="18"/>
                              </w:rPr>
                              <w:t>损耗</w:t>
                            </w:r>
                            <w:r>
                              <w:rPr>
                                <w:rFonts w:hint="eastAsia" w:ascii="Calibri" w:hAnsi="Calibri"/>
                                <w:sz w:val="18"/>
                                <w:szCs w:val="18"/>
                              </w:rPr>
                              <w:t>0.3</w:t>
                            </w:r>
                          </w:p>
                        </w:txbxContent>
                      </v:textbox>
                    </v:shape>
                  </w:pict>
                </mc:Fallback>
              </mc:AlternateContent>
            </w:r>
            <w:r>
              <mc:AlternateContent>
                <mc:Choice Requires="wps">
                  <w:drawing>
                    <wp:anchor distT="0" distB="0" distL="114300" distR="114300" simplePos="0" relativeHeight="251721728" behindDoc="0" locked="0" layoutInCell="1" allowOverlap="1">
                      <wp:simplePos x="0" y="0"/>
                      <wp:positionH relativeFrom="column">
                        <wp:posOffset>1610995</wp:posOffset>
                      </wp:positionH>
                      <wp:positionV relativeFrom="paragraph">
                        <wp:posOffset>203200</wp:posOffset>
                      </wp:positionV>
                      <wp:extent cx="228600" cy="182245"/>
                      <wp:effectExtent l="12700" t="0" r="25400" b="1270"/>
                      <wp:wrapNone/>
                      <wp:docPr id="43" name="自选图形 151"/>
                      <wp:cNvGraphicFramePr/>
                      <a:graphic xmlns:a="http://schemas.openxmlformats.org/drawingml/2006/main">
                        <a:graphicData uri="http://schemas.microsoft.com/office/word/2010/wordprocessingShape">
                          <wps:wsp>
                            <wps:cNvSpPr/>
                            <wps:spPr>
                              <a:xfrm rot="342657">
                                <a:off x="0" y="0"/>
                                <a:ext cx="228600" cy="182245"/>
                              </a:xfrm>
                              <a:custGeom>
                                <a:avLst/>
                                <a:gdLst>
                                  <a:gd name="A1" fmla="val 0"/>
                                  <a:gd name="A2" fmla="val 0"/>
                                  <a:gd name="A3" fmla="val 0"/>
                                  <a:gd name="txL" fmla="*/ 0 w 540"/>
                                  <a:gd name="txT" fmla="*/ 0 h 468"/>
                                  <a:gd name="txR" fmla="*/ 540 w 540"/>
                                  <a:gd name="txB" fmla="*/ 468 h 468"/>
                                </a:gdLst>
                                <a:ahLst/>
                                <a:cxnLst/>
                                <a:rect l="txL" t="txT" r="txR" b="txB"/>
                                <a:pathLst>
                                  <a:path w="540" h="468">
                                    <a:moveTo>
                                      <a:pt x="0" y="468"/>
                                    </a:moveTo>
                                    <a:cubicBezTo>
                                      <a:pt x="60" y="325"/>
                                      <a:pt x="120" y="182"/>
                                      <a:pt x="180" y="156"/>
                                    </a:cubicBezTo>
                                    <a:cubicBezTo>
                                      <a:pt x="240" y="130"/>
                                      <a:pt x="300" y="338"/>
                                      <a:pt x="360" y="312"/>
                                    </a:cubicBezTo>
                                    <a:cubicBezTo>
                                      <a:pt x="420" y="286"/>
                                      <a:pt x="510" y="52"/>
                                      <a:pt x="540" y="0"/>
                                    </a:cubicBezTo>
                                  </a:path>
                                </a:pathLst>
                              </a:custGeom>
                              <a:noFill/>
                              <a:ln w="9525" cap="flat" cmpd="sng">
                                <a:solidFill>
                                  <a:srgbClr val="000000"/>
                                </a:solidFill>
                                <a:prstDash val="dash"/>
                                <a:round/>
                                <a:headEnd type="none" w="med" len="med"/>
                                <a:tailEnd type="triangle" w="med" len="med"/>
                              </a:ln>
                            </wps:spPr>
                            <wps:bodyPr upright="1"/>
                          </wps:wsp>
                        </a:graphicData>
                      </a:graphic>
                    </wp:anchor>
                  </w:drawing>
                </mc:Choice>
                <mc:Fallback>
                  <w:pict>
                    <v:shape id="自选图形 151" o:spid="_x0000_s1026" o:spt="100" style="position:absolute;left:0pt;margin-left:126.85pt;margin-top:16pt;height:14.35pt;width:18pt;rotation:374273f;z-index:251721728;mso-width-relative:page;mso-height-relative:page;" filled="f" stroked="t" coordsize="540,468" o:gfxdata="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CY/p6h2QAA&#10;AAkBAAAPAAAAAAAAAAEAIAAAACIAAABkcnMvZG93bnJldi54bWxQSwECFAAUAAAACACHTuJAE3Kp&#10;WQEDAADEBgAADgAAAAAAAAABACAAAAAoAQAAZHJzL2Uyb0RvYy54bWxQSwUGAAAAAAYABgBZAQAA&#10;mwYAAAAA&#10;" path="m0,468c60,325,120,182,180,156c240,130,300,338,360,312c420,286,510,52,540,0e">
                      <v:fill on="f" focussize="0,0"/>
                      <v:stroke color="#000000" joinstyle="round" dashstyle="dash" endarrow="block"/>
                      <v:imagedata o:title=""/>
                      <o:lock v:ext="edit" aspectratio="f"/>
                    </v:shape>
                  </w:pict>
                </mc:Fallback>
              </mc:AlternateContent>
            </w:r>
          </w:p>
          <w:p>
            <w:pPr>
              <w:pStyle w:val="15"/>
            </w:pPr>
            <w:r>
              <mc:AlternateContent>
                <mc:Choice Requires="wps">
                  <w:drawing>
                    <wp:anchor distT="0" distB="0" distL="114300" distR="114300" simplePos="0" relativeHeight="251718656" behindDoc="0" locked="0" layoutInCell="1" allowOverlap="1">
                      <wp:simplePos x="0" y="0"/>
                      <wp:positionH relativeFrom="column">
                        <wp:posOffset>838835</wp:posOffset>
                      </wp:positionH>
                      <wp:positionV relativeFrom="paragraph">
                        <wp:posOffset>50800</wp:posOffset>
                      </wp:positionV>
                      <wp:extent cx="409575" cy="257175"/>
                      <wp:effectExtent l="0" t="0" r="0" b="0"/>
                      <wp:wrapNone/>
                      <wp:docPr id="40" name="文本框 148"/>
                      <wp:cNvGraphicFramePr/>
                      <a:graphic xmlns:a="http://schemas.openxmlformats.org/drawingml/2006/main">
                        <a:graphicData uri="http://schemas.microsoft.com/office/word/2010/wordprocessingShape">
                          <wps:wsp>
                            <wps:cNvSpPr txBox="1"/>
                            <wps:spPr>
                              <a:xfrm>
                                <a:off x="0" y="0"/>
                                <a:ext cx="409575" cy="257175"/>
                              </a:xfrm>
                              <a:prstGeom prst="rect">
                                <a:avLst/>
                              </a:prstGeom>
                              <a:noFill/>
                              <a:ln>
                                <a:noFill/>
                              </a:ln>
                            </wps:spPr>
                            <wps:txbx>
                              <w:txbxContent>
                                <w:p>
                                  <w:pPr>
                                    <w:rPr>
                                      <w:rFonts w:ascii="Calibri" w:hAnsi="Calibri"/>
                                      <w:sz w:val="18"/>
                                      <w:szCs w:val="18"/>
                                    </w:rPr>
                                  </w:pPr>
                                  <w:r>
                                    <w:rPr>
                                      <w:rFonts w:hint="eastAsia" w:ascii="Calibri" w:hAnsi="Calibri"/>
                                      <w:sz w:val="18"/>
                                      <w:szCs w:val="18"/>
                                    </w:rPr>
                                    <w:t>0.3</w:t>
                                  </w:r>
                                </w:p>
                              </w:txbxContent>
                            </wps:txbx>
                            <wps:bodyPr upright="1"/>
                          </wps:wsp>
                        </a:graphicData>
                      </a:graphic>
                    </wp:anchor>
                  </w:drawing>
                </mc:Choice>
                <mc:Fallback>
                  <w:pict>
                    <v:shape id="文本框 148" o:spid="_x0000_s1026" o:spt="202" type="#_x0000_t202" style="position:absolute;left:0pt;margin-left:66.05pt;margin-top:4pt;height:20.25pt;width:32.25pt;z-index:251718656;mso-width-relative:page;mso-height-relative:page;" filled="f" stroked="f" coordsize="21600,21600" o:gfxdata="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gFNtD1QAA&#10;AAgBAAAPAAAAAAAAAAEAIAAAACIAAABkcnMvZG93bnJldi54bWxQSwECFAAUAAAACACHTuJAe5RN&#10;jK8BAABQAwAADgAAAAAAAAABACAAAAAkAQAAZHJzL2Uyb0RvYy54bWxQSwUGAAAAAAYABgBZAQAA&#10;RQUAAAAA&#10;">
                      <v:fill on="f" focussize="0,0"/>
                      <v:stroke on="f"/>
                      <v:imagedata o:title=""/>
                      <o:lock v:ext="edit" aspectratio="f"/>
                      <v:textbox>
                        <w:txbxContent>
                          <w:p>
                            <w:pPr>
                              <w:rPr>
                                <w:rFonts w:ascii="Calibri" w:hAnsi="Calibri"/>
                                <w:sz w:val="18"/>
                                <w:szCs w:val="18"/>
                              </w:rPr>
                            </w:pPr>
                            <w:r>
                              <w:rPr>
                                <w:rFonts w:hint="eastAsia" w:ascii="Calibri" w:hAnsi="Calibri"/>
                                <w:sz w:val="18"/>
                                <w:szCs w:val="18"/>
                              </w:rPr>
                              <w:t>0.3</w:t>
                            </w:r>
                          </w:p>
                        </w:txbxContent>
                      </v:textbox>
                    </v:shap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222885</wp:posOffset>
                      </wp:positionH>
                      <wp:positionV relativeFrom="paragraph">
                        <wp:posOffset>368935</wp:posOffset>
                      </wp:positionV>
                      <wp:extent cx="615950" cy="234315"/>
                      <wp:effectExtent l="0" t="0" r="0" b="0"/>
                      <wp:wrapNone/>
                      <wp:docPr id="82" name="文本框 663"/>
                      <wp:cNvGraphicFramePr/>
                      <a:graphic xmlns:a="http://schemas.openxmlformats.org/drawingml/2006/main">
                        <a:graphicData uri="http://schemas.microsoft.com/office/word/2010/wordprocessingShape">
                          <wps:wsp>
                            <wps:cNvSpPr txBox="1"/>
                            <wps:spPr>
                              <a:xfrm>
                                <a:off x="0" y="0"/>
                                <a:ext cx="1059255" cy="234297"/>
                              </a:xfrm>
                              <a:prstGeom prst="rect">
                                <a:avLst/>
                              </a:prstGeom>
                              <a:noFill/>
                              <a:ln>
                                <a:noFill/>
                              </a:ln>
                              <a:effectLst/>
                            </wps:spPr>
                            <wps:txbx>
                              <w:txbxContent>
                                <w:p>
                                  <w:pPr>
                                    <w:jc w:val="center"/>
                                    <w:rPr>
                                      <w:sz w:val="18"/>
                                      <w:szCs w:val="18"/>
                                    </w:rPr>
                                  </w:pPr>
                                  <w:r>
                                    <w:rPr>
                                      <w:sz w:val="18"/>
                                      <w:szCs w:val="18"/>
                                    </w:rPr>
                                    <w:t>新鲜水</w:t>
                                  </w:r>
                                </w:p>
                              </w:txbxContent>
                            </wps:txbx>
                            <wps:bodyPr wrap="square" upright="1">
                              <a:noAutofit/>
                            </wps:bodyPr>
                          </wps:wsp>
                        </a:graphicData>
                      </a:graphic>
                    </wp:anchor>
                  </w:drawing>
                </mc:Choice>
                <mc:Fallback>
                  <w:pict>
                    <v:shape id="文本框 663" o:spid="_x0000_s1026" o:spt="202" type="#_x0000_t202" style="position:absolute;left:0pt;margin-left:17.55pt;margin-top:29.05pt;height:18.45pt;width:48.5pt;z-index:251694080;mso-width-relative:page;mso-height-relative:page;" filled="f" stroked="f" coordsize="21600,21600" o:gfxdata="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mq7audUAAAAIAQAADwAAAAAAAAABACAAAAAiAAAAZHJzL2Rv&#10;d25yZXYueG1sUEsBAhQAFAAAAAgAh07iQL4Lu/zLAQAAhwMAAA4AAAAAAAAAAQAgAAAAJAEAAGRy&#10;cy9lMm9Eb2MueG1sUEsFBgAAAAAGAAYAWQEAAGEFAAAAAA==&#10;">
                      <v:fill on="f" focussize="0,0"/>
                      <v:stroke on="f"/>
                      <v:imagedata o:title=""/>
                      <o:lock v:ext="edit" aspectratio="f"/>
                      <v:textbox>
                        <w:txbxContent>
                          <w:p>
                            <w:pPr>
                              <w:jc w:val="center"/>
                              <w:rPr>
                                <w:sz w:val="18"/>
                                <w:szCs w:val="18"/>
                              </w:rPr>
                            </w:pPr>
                            <w:r>
                              <w:rPr>
                                <w:sz w:val="18"/>
                                <w:szCs w:val="18"/>
                              </w:rPr>
                              <w:t>新鲜水</w:t>
                            </w:r>
                          </w:p>
                        </w:txbxContent>
                      </v:textbox>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299085</wp:posOffset>
                      </wp:positionH>
                      <wp:positionV relativeFrom="paragraph">
                        <wp:posOffset>209550</wp:posOffset>
                      </wp:positionV>
                      <wp:extent cx="461645" cy="270510"/>
                      <wp:effectExtent l="0" t="0" r="0" b="0"/>
                      <wp:wrapNone/>
                      <wp:docPr id="79" name="文本框 610"/>
                      <wp:cNvGraphicFramePr/>
                      <a:graphic xmlns:a="http://schemas.openxmlformats.org/drawingml/2006/main">
                        <a:graphicData uri="http://schemas.microsoft.com/office/word/2010/wordprocessingShape">
                          <wps:wsp>
                            <wps:cNvSpPr txBox="1"/>
                            <wps:spPr>
                              <a:xfrm>
                                <a:off x="0" y="0"/>
                                <a:ext cx="461645" cy="270510"/>
                              </a:xfrm>
                              <a:prstGeom prst="rect">
                                <a:avLst/>
                              </a:prstGeom>
                              <a:noFill/>
                              <a:ln>
                                <a:noFill/>
                              </a:ln>
                              <a:effectLst/>
                            </wps:spPr>
                            <wps:txbx>
                              <w:txbxContent>
                                <w:p>
                                  <w:pPr>
                                    <w:rPr>
                                      <w:sz w:val="18"/>
                                      <w:szCs w:val="18"/>
                                    </w:rPr>
                                  </w:pPr>
                                  <w:r>
                                    <w:rPr>
                                      <w:rFonts w:hint="eastAsia" w:ascii="Calibri" w:hAnsi="Calibri"/>
                                      <w:sz w:val="18"/>
                                      <w:szCs w:val="18"/>
                                    </w:rPr>
                                    <w:t>9.38</w:t>
                                  </w:r>
                                </w:p>
                              </w:txbxContent>
                            </wps:txbx>
                            <wps:bodyPr upright="1"/>
                          </wps:wsp>
                        </a:graphicData>
                      </a:graphic>
                    </wp:anchor>
                  </w:drawing>
                </mc:Choice>
                <mc:Fallback>
                  <w:pict>
                    <v:shape id="文本框 610" o:spid="_x0000_s1026" o:spt="202" type="#_x0000_t202" style="position:absolute;left:0pt;margin-left:23.55pt;margin-top:16.5pt;height:21.3pt;width:36.35pt;z-index:251693056;mso-width-relative:page;mso-height-relative:page;" filled="f" stroked="f" coordsize="21600,21600" o:gfxdata="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Ue2O&#10;ItUAAAAIAQAADwAAAAAAAAABACAAAAAiAAAAZHJzL2Rvd25yZXYueG1sUEsBAhQAFAAAAAgAh07i&#10;QJQqG6OzAQAAXgMAAA4AAAAAAAAAAQAgAAAAJAEAAGRycy9lMm9Eb2MueG1sUEsFBgAAAAAGAAYA&#10;WQEAAEkFAAAAAA==&#10;">
                      <v:fill on="f" focussize="0,0"/>
                      <v:stroke on="f"/>
                      <v:imagedata o:title=""/>
                      <o:lock v:ext="edit" aspectratio="f"/>
                      <v:textbox>
                        <w:txbxContent>
                          <w:p>
                            <w:pPr>
                              <w:rPr>
                                <w:sz w:val="18"/>
                                <w:szCs w:val="18"/>
                              </w:rPr>
                            </w:pPr>
                            <w:r>
                              <w:rPr>
                                <w:rFonts w:hint="eastAsia" w:ascii="Calibri" w:hAnsi="Calibri"/>
                                <w:sz w:val="18"/>
                                <w:szCs w:val="18"/>
                              </w:rPr>
                              <w:t>9.38</w:t>
                            </w:r>
                          </w:p>
                        </w:txbxContent>
                      </v:textbox>
                    </v:shape>
                  </w:pict>
                </mc:Fallback>
              </mc:AlternateContent>
            </w:r>
            <w:r>
              <mc:AlternateContent>
                <mc:Choice Requires="wps">
                  <w:drawing>
                    <wp:anchor distT="0" distB="0" distL="114300" distR="114300" simplePos="0" relativeHeight="251725824" behindDoc="0" locked="0" layoutInCell="1" allowOverlap="1">
                      <wp:simplePos x="0" y="0"/>
                      <wp:positionH relativeFrom="column">
                        <wp:posOffset>3232785</wp:posOffset>
                      </wp:positionH>
                      <wp:positionV relativeFrom="paragraph">
                        <wp:posOffset>356870</wp:posOffset>
                      </wp:positionV>
                      <wp:extent cx="311150" cy="0"/>
                      <wp:effectExtent l="0" t="0" r="0" b="0"/>
                      <wp:wrapNone/>
                      <wp:docPr id="48" name="直线 15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311150"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155" o:spid="_x0000_s1026" o:spt="20" style="position:absolute;left:0pt;margin-left:254.55pt;margin-top:28.1pt;height:0pt;width:24.5pt;z-index:251725824;mso-width-relative:page;mso-height-relative:page;" filled="f" stroked="t" coordsize="21600,21600" o:gfxdata="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feGrv1wAAAAkBAAAPAAAAAAAAAAEAIAAAACIAAABkcnMvZG93bnJl&#10;di54bWxQSwECFAAUAAAACACHTuJADyUVNf4BAAANBAAADgAAAAAAAAABACAAAAAmAQAAZHJzL2Uy&#10;b0RvYy54bWxQSwUGAAAAAAYABgBZAQAAlgUAAAAA&#10;">
                      <v:fill on="f" focussize="0,0"/>
                      <v:stroke weight="1pt" color="#000000" joinstyle="round"/>
                      <v:imagedata o:title=""/>
                      <o:lock v:ext="edit" aspectratio="t"/>
                    </v:line>
                  </w:pict>
                </mc:Fallback>
              </mc:AlternateContent>
            </w:r>
            <w:r>
              <mc:AlternateContent>
                <mc:Choice Requires="wps">
                  <w:drawing>
                    <wp:anchor distT="0" distB="0" distL="114300" distR="114300" simplePos="0" relativeHeight="251724800" behindDoc="0" locked="0" layoutInCell="1" allowOverlap="1">
                      <wp:simplePos x="0" y="0"/>
                      <wp:positionH relativeFrom="column">
                        <wp:posOffset>2818765</wp:posOffset>
                      </wp:positionH>
                      <wp:positionV relativeFrom="paragraph">
                        <wp:posOffset>135890</wp:posOffset>
                      </wp:positionV>
                      <wp:extent cx="400050" cy="897890"/>
                      <wp:effectExtent l="4445" t="5080" r="14605" b="11430"/>
                      <wp:wrapNone/>
                      <wp:docPr id="47" name="文本框 605"/>
                      <wp:cNvGraphicFramePr/>
                      <a:graphic xmlns:a="http://schemas.openxmlformats.org/drawingml/2006/main">
                        <a:graphicData uri="http://schemas.microsoft.com/office/word/2010/wordprocessingShape">
                          <wps:wsp>
                            <wps:cNvSpPr txBox="1"/>
                            <wps:spPr>
                              <a:xfrm>
                                <a:off x="0" y="0"/>
                                <a:ext cx="523698" cy="2349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20" w:lineRule="exact"/>
                                    <w:ind w:left="-53" w:leftChars="-25" w:right="-53" w:rightChars="-25"/>
                                    <w:jc w:val="center"/>
                                    <w:rPr>
                                      <w:szCs w:val="21"/>
                                    </w:rPr>
                                  </w:pPr>
                                  <w:r>
                                    <w:rPr>
                                      <w:szCs w:val="21"/>
                                    </w:rPr>
                                    <w:t>沉</w:t>
                                  </w:r>
                                </w:p>
                                <w:p>
                                  <w:pPr>
                                    <w:spacing w:line="320" w:lineRule="exact"/>
                                    <w:ind w:left="-53" w:leftChars="-25" w:right="-53" w:rightChars="-25"/>
                                    <w:jc w:val="center"/>
                                    <w:rPr>
                                      <w:szCs w:val="21"/>
                                    </w:rPr>
                                  </w:pPr>
                                  <w:r>
                                    <w:rPr>
                                      <w:szCs w:val="21"/>
                                    </w:rPr>
                                    <w:t>淀</w:t>
                                  </w:r>
                                </w:p>
                                <w:p>
                                  <w:pPr>
                                    <w:spacing w:line="320" w:lineRule="exact"/>
                                    <w:ind w:left="-53" w:leftChars="-25" w:right="-53" w:rightChars="-25"/>
                                    <w:jc w:val="center"/>
                                    <w:rPr>
                                      <w:szCs w:val="21"/>
                                    </w:rPr>
                                  </w:pPr>
                                  <w:r>
                                    <w:rPr>
                                      <w:szCs w:val="21"/>
                                    </w:rPr>
                                    <w:t>池</w:t>
                                  </w:r>
                                </w:p>
                              </w:txbxContent>
                            </wps:txbx>
                            <wps:bodyPr wrap="square" upright="1"/>
                          </wps:wsp>
                        </a:graphicData>
                      </a:graphic>
                    </wp:anchor>
                  </w:drawing>
                </mc:Choice>
                <mc:Fallback>
                  <w:pict>
                    <v:shape id="文本框 605" o:spid="_x0000_s1026" o:spt="202" type="#_x0000_t202" style="position:absolute;left:0pt;margin-left:221.95pt;margin-top:10.7pt;height:70.7pt;width:31.5pt;z-index:251724800;mso-width-relative:page;mso-height-relative:page;" fillcolor="#FFFFFF" filled="t" stroked="t" coordsize="21600,21600" o:gfxdata="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5Q92E&#10;2QAAAAoBAAAPAAAAAAAAAAEAIAAAACIAAABkcnMvZG93bnJldi54bWxQSwECFAAUAAAACACHTuJA&#10;vDLbJiACAABUBAAADgAAAAAAAAABACAAAAAoAQAAZHJzL2Uyb0RvYy54bWxQSwUGAAAAAAYABgBZ&#10;AQAAugUAAAAA&#10;">
                      <v:fill on="t" focussize="0,0"/>
                      <v:stroke color="#000000" joinstyle="miter"/>
                      <v:imagedata o:title=""/>
                      <o:lock v:ext="edit" aspectratio="f"/>
                      <v:textbox>
                        <w:txbxContent>
                          <w:p>
                            <w:pPr>
                              <w:spacing w:line="320" w:lineRule="exact"/>
                              <w:ind w:left="-53" w:leftChars="-25" w:right="-53" w:rightChars="-25"/>
                              <w:jc w:val="center"/>
                              <w:rPr>
                                <w:szCs w:val="21"/>
                              </w:rPr>
                            </w:pPr>
                            <w:r>
                              <w:rPr>
                                <w:szCs w:val="21"/>
                              </w:rPr>
                              <w:t>沉</w:t>
                            </w:r>
                          </w:p>
                          <w:p>
                            <w:pPr>
                              <w:spacing w:line="320" w:lineRule="exact"/>
                              <w:ind w:left="-53" w:leftChars="-25" w:right="-53" w:rightChars="-25"/>
                              <w:jc w:val="center"/>
                              <w:rPr>
                                <w:szCs w:val="21"/>
                              </w:rPr>
                            </w:pPr>
                            <w:r>
                              <w:rPr>
                                <w:szCs w:val="21"/>
                              </w:rPr>
                              <w:t>淀</w:t>
                            </w:r>
                          </w:p>
                          <w:p>
                            <w:pPr>
                              <w:spacing w:line="320" w:lineRule="exact"/>
                              <w:ind w:left="-53" w:leftChars="-25" w:right="-53" w:rightChars="-25"/>
                              <w:jc w:val="center"/>
                              <w:rPr>
                                <w:szCs w:val="21"/>
                              </w:rPr>
                            </w:pPr>
                            <w:r>
                              <w:rPr>
                                <w:szCs w:val="21"/>
                              </w:rPr>
                              <w:t>池</w:t>
                            </w:r>
                          </w:p>
                        </w:txbxContent>
                      </v:textbox>
                    </v:shape>
                  </w:pict>
                </mc:Fallback>
              </mc:AlternateContent>
            </w:r>
            <w:r>
              <mc:AlternateContent>
                <mc:Choice Requires="wps">
                  <w:drawing>
                    <wp:anchor distT="0" distB="0" distL="114300" distR="114300" simplePos="0" relativeHeight="251722752" behindDoc="0" locked="0" layoutInCell="1" allowOverlap="1">
                      <wp:simplePos x="0" y="0"/>
                      <wp:positionH relativeFrom="column">
                        <wp:posOffset>2309495</wp:posOffset>
                      </wp:positionH>
                      <wp:positionV relativeFrom="paragraph">
                        <wp:posOffset>32385</wp:posOffset>
                      </wp:positionV>
                      <wp:extent cx="461645" cy="212725"/>
                      <wp:effectExtent l="0" t="0" r="0" b="0"/>
                      <wp:wrapNone/>
                      <wp:docPr id="44" name="文本框 610"/>
                      <wp:cNvGraphicFramePr/>
                      <a:graphic xmlns:a="http://schemas.openxmlformats.org/drawingml/2006/main">
                        <a:graphicData uri="http://schemas.microsoft.com/office/word/2010/wordprocessingShape">
                          <wps:wsp>
                            <wps:cNvSpPr txBox="1"/>
                            <wps:spPr>
                              <a:xfrm>
                                <a:off x="0" y="0"/>
                                <a:ext cx="687705" cy="212725"/>
                              </a:xfrm>
                              <a:prstGeom prst="rect">
                                <a:avLst/>
                              </a:prstGeom>
                              <a:noFill/>
                              <a:ln>
                                <a:noFill/>
                              </a:ln>
                              <a:effectLst/>
                            </wps:spPr>
                            <wps:txbx>
                              <w:txbxContent>
                                <w:p>
                                  <w:pPr>
                                    <w:jc w:val="center"/>
                                    <w:rPr>
                                      <w:sz w:val="18"/>
                                      <w:szCs w:val="18"/>
                                    </w:rPr>
                                  </w:pPr>
                                  <w:r>
                                    <w:rPr>
                                      <w:rFonts w:hint="eastAsia" w:ascii="Calibri" w:hAnsi="Calibri"/>
                                      <w:sz w:val="18"/>
                                      <w:szCs w:val="18"/>
                                    </w:rPr>
                                    <w:t>2.7</w:t>
                                  </w:r>
                                </w:p>
                              </w:txbxContent>
                            </wps:txbx>
                            <wps:bodyPr wrap="square" upright="1"/>
                          </wps:wsp>
                        </a:graphicData>
                      </a:graphic>
                    </wp:anchor>
                  </w:drawing>
                </mc:Choice>
                <mc:Fallback>
                  <w:pict>
                    <v:shape id="文本框 610" o:spid="_x0000_s1026" o:spt="202" type="#_x0000_t202" style="position:absolute;left:0pt;margin-left:181.85pt;margin-top:2.55pt;height:16.75pt;width:36.35pt;z-index:251722752;mso-width-relative:page;mso-height-relative:page;" filled="f" stroked="f" coordsize="21600,21600" o:gfxdata="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6vsiK1gAAAAgBAAAPAAAAAAAAAAEAIAAAACIAAABkcnMvZG93bnJldi54bWxQSwEC&#10;FAAUAAAACACHTuJAijRJNr0BAABsAwAADgAAAAAAAAABACAAAAAlAQAAZHJzL2Uyb0RvYy54bWxQ&#10;SwUGAAAAAAYABgBZAQAAVAUAAAAA&#10;">
                      <v:fill on="f" focussize="0,0"/>
                      <v:stroke on="f"/>
                      <v:imagedata o:title=""/>
                      <o:lock v:ext="edit" aspectratio="f"/>
                      <v:textbox>
                        <w:txbxContent>
                          <w:p>
                            <w:pPr>
                              <w:jc w:val="center"/>
                              <w:rPr>
                                <w:sz w:val="18"/>
                                <w:szCs w:val="18"/>
                              </w:rPr>
                            </w:pPr>
                            <w:r>
                              <w:rPr>
                                <w:rFonts w:hint="eastAsia" w:ascii="Calibri" w:hAnsi="Calibri"/>
                                <w:sz w:val="18"/>
                                <w:szCs w:val="18"/>
                              </w:rPr>
                              <w:t>2.7</w:t>
                            </w:r>
                          </w:p>
                        </w:txbxContent>
                      </v:textbox>
                    </v:shape>
                  </w:pict>
                </mc:Fallback>
              </mc:AlternateContent>
            </w:r>
            <w:r>
              <mc:AlternateContent>
                <mc:Choice Requires="wps">
                  <w:drawing>
                    <wp:anchor distT="0" distB="0" distL="114300" distR="114300" simplePos="0" relativeHeight="251723776" behindDoc="0" locked="0" layoutInCell="1" allowOverlap="1">
                      <wp:simplePos x="0" y="0"/>
                      <wp:positionH relativeFrom="column">
                        <wp:posOffset>2294890</wp:posOffset>
                      </wp:positionH>
                      <wp:positionV relativeFrom="paragraph">
                        <wp:posOffset>224790</wp:posOffset>
                      </wp:positionV>
                      <wp:extent cx="525145" cy="635"/>
                      <wp:effectExtent l="0" t="37465" r="8255" b="38100"/>
                      <wp:wrapNone/>
                      <wp:docPr id="46" name="直线 15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25145" cy="63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153" o:spid="_x0000_s1026" o:spt="20" style="position:absolute;left:0pt;margin-left:180.7pt;margin-top:17.7pt;height:0.05pt;width:41.35pt;z-index:251723776;mso-width-relative:page;mso-height-relative:page;" filled="f" stroked="t" coordsize="21600,21600" o:gfxdata="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H+Vi1wAAAAkBAAAPAAAAAAAAAAEAIAAAACIA&#10;AABkcnMvZG93bnJldi54bWxQSwECFAAUAAAACACHTuJADa7x7woCAAATBAAADgAAAAAAAAABACAA&#10;AAAmAQAAZHJzL2Uyb0RvYy54bWxQSwUGAAAAAAYABgBZAQAAogUAAAAA&#10;">
                      <v:fill on="f" focussize="0,0"/>
                      <v:stroke weight="1pt" color="#000000" joinstyle="round" endarrow="block"/>
                      <v:imagedata o:title=""/>
                      <o:lock v:ext="edit" aspectratio="t"/>
                    </v:line>
                  </w:pict>
                </mc:Fallback>
              </mc:AlternateContent>
            </w:r>
            <w:r>
              <mc:AlternateContent>
                <mc:Choice Requires="wps">
                  <w:drawing>
                    <wp:anchor distT="0" distB="0" distL="114300" distR="114300" simplePos="0" relativeHeight="251719680" behindDoc="0" locked="0" layoutInCell="1" allowOverlap="1">
                      <wp:simplePos x="0" y="0"/>
                      <wp:positionH relativeFrom="column">
                        <wp:posOffset>1228090</wp:posOffset>
                      </wp:positionH>
                      <wp:positionV relativeFrom="paragraph">
                        <wp:posOffset>115570</wp:posOffset>
                      </wp:positionV>
                      <wp:extent cx="1062990" cy="234950"/>
                      <wp:effectExtent l="5080" t="4445" r="17780" b="8255"/>
                      <wp:wrapNone/>
                      <wp:docPr id="41" name="文本框 149"/>
                      <wp:cNvGraphicFramePr/>
                      <a:graphic xmlns:a="http://schemas.openxmlformats.org/drawingml/2006/main">
                        <a:graphicData uri="http://schemas.microsoft.com/office/word/2010/wordprocessingShape">
                          <wps:wsp>
                            <wps:cNvSpPr txBox="1"/>
                            <wps:spPr>
                              <a:xfrm>
                                <a:off x="0" y="0"/>
                                <a:ext cx="1062990" cy="2349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53" w:leftChars="-25" w:right="-53" w:rightChars="-25"/>
                                    <w:jc w:val="center"/>
                                    <w:rPr>
                                      <w:sz w:val="18"/>
                                      <w:szCs w:val="18"/>
                                    </w:rPr>
                                  </w:pPr>
                                  <w:r>
                                    <w:rPr>
                                      <w:rFonts w:hint="eastAsia"/>
                                      <w:sz w:val="18"/>
                                      <w:szCs w:val="18"/>
                                    </w:rPr>
                                    <w:t>场地冲洗用水</w:t>
                                  </w:r>
                                </w:p>
                              </w:txbxContent>
                            </wps:txbx>
                            <wps:bodyPr upright="1"/>
                          </wps:wsp>
                        </a:graphicData>
                      </a:graphic>
                    </wp:anchor>
                  </w:drawing>
                </mc:Choice>
                <mc:Fallback>
                  <w:pict>
                    <v:shape id="文本框 149" o:spid="_x0000_s1026" o:spt="202" type="#_x0000_t202" style="position:absolute;left:0pt;margin-left:96.7pt;margin-top:9.1pt;height:18.5pt;width:83.7pt;z-index:251719680;mso-width-relative:page;mso-height-relative:page;" fillcolor="#FFFFFF" filled="t" stroked="t" coordsize="21600,21600" o:gfxdata="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qi/htgAAAAJAQAADwAAAAAAAAAB&#10;ACAAAAAiAAAAZHJzL2Rvd25yZXYueG1sUEsBAhQAFAAAAAgAh07iQH8fxL4QAgAAOQQAAA4AAAAA&#10;AAAAAQAgAAAAJwEAAGRycy9lMm9Eb2MueG1sUEsFBgAAAAAGAAYAWQEAAKkFAAAAAA==&#10;">
                      <v:fill on="t" focussize="0,0"/>
                      <v:stroke color="#000000" joinstyle="miter"/>
                      <v:imagedata o:title=""/>
                      <o:lock v:ext="edit" aspectratio="f"/>
                      <v:textbox>
                        <w:txbxContent>
                          <w:p>
                            <w:pPr>
                              <w:ind w:left="-53" w:leftChars="-25" w:right="-53" w:rightChars="-25"/>
                              <w:jc w:val="center"/>
                              <w:rPr>
                                <w:sz w:val="18"/>
                                <w:szCs w:val="18"/>
                              </w:rPr>
                            </w:pPr>
                            <w:r>
                              <w:rPr>
                                <w:rFonts w:hint="eastAsia"/>
                                <w:sz w:val="18"/>
                                <w:szCs w:val="18"/>
                              </w:rPr>
                              <w:t>场地冲洗用水</w:t>
                            </w:r>
                          </w:p>
                        </w:txbxContent>
                      </v:textbox>
                    </v:shape>
                  </w:pict>
                </mc:Fallback>
              </mc:AlternateContent>
            </w:r>
            <w:r>
              <mc:AlternateContent>
                <mc:Choice Requires="wps">
                  <w:drawing>
                    <wp:anchor distT="0" distB="0" distL="114300" distR="114300" simplePos="0" relativeHeight="251717632" behindDoc="0" locked="0" layoutInCell="1" allowOverlap="1">
                      <wp:simplePos x="0" y="0"/>
                      <wp:positionH relativeFrom="column">
                        <wp:posOffset>763270</wp:posOffset>
                      </wp:positionH>
                      <wp:positionV relativeFrom="paragraph">
                        <wp:posOffset>222885</wp:posOffset>
                      </wp:positionV>
                      <wp:extent cx="457835" cy="0"/>
                      <wp:effectExtent l="0" t="0" r="0" b="0"/>
                      <wp:wrapNone/>
                      <wp:docPr id="39" name="自选图形 147"/>
                      <wp:cNvGraphicFramePr/>
                      <a:graphic xmlns:a="http://schemas.openxmlformats.org/drawingml/2006/main">
                        <a:graphicData uri="http://schemas.microsoft.com/office/word/2010/wordprocessingShape">
                          <wps:wsp>
                            <wps:cNvCnPr/>
                            <wps:spPr>
                              <a:xfrm flipV="1">
                                <a:off x="0" y="0"/>
                                <a:ext cx="45783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47" o:spid="_x0000_s1026" o:spt="32" type="#_x0000_t32" style="position:absolute;left:0pt;flip:y;margin-left:60.1pt;margin-top:17.55pt;height:0pt;width:36.05pt;z-index:251717632;mso-width-relative:page;mso-height-relative:page;" filled="f" stroked="t" coordsize="21600,21600" o:gfxdata="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pIN83NUAAAAJAQAADwAAAAAAAAABACAAAAAiAAAAZHJzL2Rvd25yZXYu&#10;eG1sUEsBAhQAFAAAAAgAh07iQGBIIwX+AQAA7wMAAA4AAAAAAAAAAQAgAAAAJAEAAGRycy9lMm9E&#10;b2MueG1sUEsFBgAAAAAGAAYAWQEAAJQFAAAAAA==&#10;">
                      <v:fill on="f" focussize="0,0"/>
                      <v:stroke color="#000000" joinstyle="round"/>
                      <v:imagedata o:title=""/>
                      <o:lock v:ext="edit" aspectratio="f"/>
                    </v:shape>
                  </w:pict>
                </mc:Fallback>
              </mc:AlternateContent>
            </w:r>
          </w:p>
          <w:p>
            <w:pPr>
              <w:autoSpaceDE w:val="0"/>
              <w:autoSpaceDN w:val="0"/>
              <w:adjustRightInd w:val="0"/>
              <w:snapToGrid w:val="0"/>
              <w:spacing w:line="406" w:lineRule="exact"/>
              <w:ind w:firstLine="420" w:firstLineChars="200"/>
              <w:jc w:val="left"/>
            </w:pPr>
            <w:r>
              <mc:AlternateContent>
                <mc:Choice Requires="wps">
                  <w:drawing>
                    <wp:anchor distT="0" distB="0" distL="114300" distR="114300" simplePos="0" relativeHeight="251677696" behindDoc="0" locked="0" layoutInCell="1" allowOverlap="1">
                      <wp:simplePos x="0" y="0"/>
                      <wp:positionH relativeFrom="column">
                        <wp:posOffset>354965</wp:posOffset>
                      </wp:positionH>
                      <wp:positionV relativeFrom="paragraph">
                        <wp:posOffset>27305</wp:posOffset>
                      </wp:positionV>
                      <wp:extent cx="412750" cy="0"/>
                      <wp:effectExtent l="0" t="38100" r="6350" b="38100"/>
                      <wp:wrapNone/>
                      <wp:docPr id="343" name="直线 60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412750" cy="0"/>
                              </a:xfrm>
                              <a:prstGeom prst="line">
                                <a:avLst/>
                              </a:prstGeom>
                              <a:ln w="12700" cap="flat" cmpd="sng">
                                <a:solidFill>
                                  <a:srgbClr val="000000"/>
                                </a:solidFill>
                                <a:prstDash val="solid"/>
                                <a:headEnd type="none" w="med" len="med"/>
                                <a:tailEnd type="triangle" w="med" len="med"/>
                              </a:ln>
                              <a:effectLst/>
                            </wps:spPr>
                            <wps:bodyPr/>
                          </wps:wsp>
                        </a:graphicData>
                      </a:graphic>
                    </wp:anchor>
                  </w:drawing>
                </mc:Choice>
                <mc:Fallback>
                  <w:pict>
                    <v:line id="直线 607" o:spid="_x0000_s1026" o:spt="20" style="position:absolute;left:0pt;margin-left:27.95pt;margin-top:2.15pt;height:0pt;width:32.5pt;z-index:251677696;mso-width-relative:page;mso-height-relative:page;" filled="f" stroked="t" coordsize="21600,21600" o:gfxdata="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p0ytzTAAAABgEAAA8AAAAAAAAAAQAgAAAAIgAAAGRycy9k&#10;b3ducmV2LnhtbFBLAQIUABQAAAAIAIdO4kACbbqIBwIAABQEAAAOAAAAAAAAAAEAIAAAACIBAABk&#10;cnMvZTJvRG9jLnhtbFBLBQYAAAAABgAGAFkBAACbBQAAAAA=&#10;">
                      <v:fill on="f" focussize="0,0"/>
                      <v:stroke weight="1pt" color="#000000" joinstyle="round" endarrow="block"/>
                      <v:imagedata o:title=""/>
                      <o:lock v:ext="edit" aspectratio="t"/>
                    </v:lin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1542415</wp:posOffset>
                      </wp:positionH>
                      <wp:positionV relativeFrom="paragraph">
                        <wp:posOffset>81915</wp:posOffset>
                      </wp:positionV>
                      <wp:extent cx="765175" cy="270510"/>
                      <wp:effectExtent l="0" t="0" r="0" b="0"/>
                      <wp:wrapNone/>
                      <wp:docPr id="45" name="文本框 611"/>
                      <wp:cNvGraphicFramePr/>
                      <a:graphic xmlns:a="http://schemas.openxmlformats.org/drawingml/2006/main">
                        <a:graphicData uri="http://schemas.microsoft.com/office/word/2010/wordprocessingShape">
                          <wps:wsp>
                            <wps:cNvSpPr txBox="1"/>
                            <wps:spPr>
                              <a:xfrm>
                                <a:off x="0" y="0"/>
                                <a:ext cx="765017" cy="270510"/>
                              </a:xfrm>
                              <a:prstGeom prst="rect">
                                <a:avLst/>
                              </a:prstGeom>
                              <a:noFill/>
                              <a:ln>
                                <a:noFill/>
                              </a:ln>
                              <a:effectLst/>
                            </wps:spPr>
                            <wps:txbx>
                              <w:txbxContent>
                                <w:p>
                                  <w:pPr>
                                    <w:rPr>
                                      <w:sz w:val="18"/>
                                      <w:szCs w:val="18"/>
                                    </w:rPr>
                                  </w:pPr>
                                  <w:r>
                                    <w:rPr>
                                      <w:rFonts w:hint="eastAsia" w:ascii="Calibri" w:hAnsi="Calibri" w:cs="宋体"/>
                                      <w:sz w:val="18"/>
                                      <w:szCs w:val="18"/>
                                    </w:rPr>
                                    <w:t>损耗</w:t>
                                  </w:r>
                                  <w:r>
                                    <w:rPr>
                                      <w:rFonts w:hint="eastAsia" w:ascii="Calibri" w:hAnsi="Calibri"/>
                                      <w:sz w:val="18"/>
                                      <w:szCs w:val="18"/>
                                    </w:rPr>
                                    <w:t>0.28</w:t>
                                  </w:r>
                                </w:p>
                              </w:txbxContent>
                            </wps:txbx>
                            <wps:bodyPr wrap="square" upright="1"/>
                          </wps:wsp>
                        </a:graphicData>
                      </a:graphic>
                    </wp:anchor>
                  </w:drawing>
                </mc:Choice>
                <mc:Fallback>
                  <w:pict>
                    <v:shape id="文本框 611" o:spid="_x0000_s1026" o:spt="202" type="#_x0000_t202" style="position:absolute;left:0pt;margin-left:121.45pt;margin-top:6.45pt;height:21.3pt;width:60.25pt;z-index:251688960;mso-width-relative:page;mso-height-relative:page;" filled="f" stroked="f" coordsize="21600,21600" o:gfxdata="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C7SvbXAAAACQEAAA8AAAAAAAAAAQAgAAAAIgAAAGRycy9kb3ducmV2LnhtbFBL&#10;AQIUABQAAAAIAIdO4kB4aVLDvgEAAGwDAAAOAAAAAAAAAAEAIAAAACYBAABkcnMvZTJvRG9jLnht&#10;bFBLBQYAAAAABgAGAFkBAABWBQAAAAA=&#10;">
                      <v:fill on="f" focussize="0,0"/>
                      <v:stroke on="f"/>
                      <v:imagedata o:title=""/>
                      <o:lock v:ext="edit" aspectratio="f"/>
                      <v:textbox>
                        <w:txbxContent>
                          <w:p>
                            <w:pPr>
                              <w:rPr>
                                <w:sz w:val="18"/>
                                <w:szCs w:val="18"/>
                              </w:rPr>
                            </w:pPr>
                            <w:r>
                              <w:rPr>
                                <w:rFonts w:hint="eastAsia" w:ascii="Calibri" w:hAnsi="Calibri" w:cs="宋体"/>
                                <w:sz w:val="18"/>
                                <w:szCs w:val="18"/>
                              </w:rPr>
                              <w:t>损耗</w:t>
                            </w:r>
                            <w:r>
                              <w:rPr>
                                <w:rFonts w:hint="eastAsia" w:ascii="Calibri" w:hAnsi="Calibri"/>
                                <w:sz w:val="18"/>
                                <w:szCs w:val="18"/>
                              </w:rPr>
                              <w:t>0.28</w:t>
                            </w:r>
                          </w:p>
                        </w:txbxContent>
                      </v:textbox>
                    </v:shape>
                  </w:pict>
                </mc:Fallback>
              </mc:AlternateContent>
            </w:r>
          </w:p>
          <w:p>
            <w:pPr>
              <w:autoSpaceDE w:val="0"/>
              <w:autoSpaceDN w:val="0"/>
              <w:adjustRightInd w:val="0"/>
              <w:snapToGrid w:val="0"/>
              <w:spacing w:line="406" w:lineRule="exact"/>
              <w:ind w:firstLine="420" w:firstLineChars="200"/>
              <w:jc w:val="left"/>
            </w:pPr>
            <w:r>
              <mc:AlternateContent>
                <mc:Choice Requires="wps">
                  <w:drawing>
                    <wp:anchor distT="0" distB="0" distL="114300" distR="114300" simplePos="0" relativeHeight="251673600" behindDoc="0" locked="0" layoutInCell="1" allowOverlap="1">
                      <wp:simplePos x="0" y="0"/>
                      <wp:positionH relativeFrom="column">
                        <wp:posOffset>3547745</wp:posOffset>
                      </wp:positionH>
                      <wp:positionV relativeFrom="paragraph">
                        <wp:posOffset>71120</wp:posOffset>
                      </wp:positionV>
                      <wp:extent cx="635" cy="536575"/>
                      <wp:effectExtent l="6350" t="0" r="12065" b="15875"/>
                      <wp:wrapNone/>
                      <wp:docPr id="335" name="直线 67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0" cy="1240790"/>
                              </a:xfrm>
                              <a:prstGeom prst="line">
                                <a:avLst/>
                              </a:prstGeom>
                              <a:ln w="12700" cap="flat" cmpd="sng">
                                <a:solidFill>
                                  <a:srgbClr val="000000"/>
                                </a:solidFill>
                                <a:prstDash val="solid"/>
                                <a:headEnd type="none" w="med" len="med"/>
                                <a:tailEnd type="none" w="med" len="med"/>
                              </a:ln>
                              <a:effectLst/>
                            </wps:spPr>
                            <wps:bodyPr/>
                          </wps:wsp>
                        </a:graphicData>
                      </a:graphic>
                    </wp:anchor>
                  </w:drawing>
                </mc:Choice>
                <mc:Fallback>
                  <w:pict>
                    <v:line id="直线 673" o:spid="_x0000_s1026" o:spt="20" style="position:absolute;left:0pt;margin-left:279.35pt;margin-top:5.6pt;height:42.25pt;width:0.05pt;z-index:251673600;mso-width-relative:page;mso-height-relative:page;" filled="f" stroked="t" coordsize="21600,21600" o:gfxdata="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6Y2jtgAAAAJAQAADwAAAAAAAAABACAAAAAiAAAAZHJzL2Rv&#10;d25yZXYueG1sUEsBAhQAFAAAAAgAh07iQL5Jy9EBAgAAEQQAAA4AAAAAAAAAAQAgAAAAJwEAAGRy&#10;cy9lMm9Eb2MueG1sUEsFBgAAAAAGAAYAWQEAAJoFAAAAAA==&#10;">
                      <v:fill on="f" focussize="0,0"/>
                      <v:stroke weight="1pt" color="#000000" joinstyle="round"/>
                      <v:imagedata o:title=""/>
                      <o:lock v:ext="edit" aspectratio="t"/>
                    </v:lin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3228340</wp:posOffset>
                      </wp:positionH>
                      <wp:positionV relativeFrom="paragraph">
                        <wp:posOffset>74930</wp:posOffset>
                      </wp:positionV>
                      <wp:extent cx="311150" cy="0"/>
                      <wp:effectExtent l="0" t="0" r="0" b="0"/>
                      <wp:wrapNone/>
                      <wp:docPr id="15" name="直线 11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311150"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113" o:spid="_x0000_s1026" o:spt="20" style="position:absolute;left:0pt;margin-left:254.2pt;margin-top:5.9pt;height:0pt;width:24.5pt;z-index:251687936;mso-width-relative:page;mso-height-relative:page;" filled="f" stroked="t" coordsize="21600,21600" o:gfxdata="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vRBajWAAAACQEAAA8AAAAAAAAAAQAgAAAAIgAAAGRycy9kb3ducmV2&#10;LnhtbFBLAQIUABQAAAAIAIdO4kACNsbL/gEAAA0EAAAOAAAAAAAAAAEAIAAAACUBAABkcnMvZTJv&#10;RG9jLnhtbFBLBQYAAAAABgAGAFkBAACVBQAAAAA=&#10;">
                      <v:fill on="f" focussize="0,0"/>
                      <v:stroke weight="1pt" color="#000000" joinstyle="round"/>
                      <v:imagedata o:title=""/>
                      <o:lock v:ext="edit" aspectratio="t"/>
                    </v:lin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2381250</wp:posOffset>
                      </wp:positionH>
                      <wp:positionV relativeFrom="paragraph">
                        <wp:posOffset>103505</wp:posOffset>
                      </wp:positionV>
                      <wp:extent cx="461645" cy="212725"/>
                      <wp:effectExtent l="0" t="0" r="0" b="0"/>
                      <wp:wrapNone/>
                      <wp:docPr id="338" name="文本框 610"/>
                      <wp:cNvGraphicFramePr/>
                      <a:graphic xmlns:a="http://schemas.openxmlformats.org/drawingml/2006/main">
                        <a:graphicData uri="http://schemas.microsoft.com/office/word/2010/wordprocessingShape">
                          <wps:wsp>
                            <wps:cNvSpPr txBox="1"/>
                            <wps:spPr>
                              <a:xfrm>
                                <a:off x="0" y="0"/>
                                <a:ext cx="687705" cy="212725"/>
                              </a:xfrm>
                              <a:prstGeom prst="rect">
                                <a:avLst/>
                              </a:prstGeom>
                              <a:noFill/>
                              <a:ln>
                                <a:noFill/>
                              </a:ln>
                              <a:effectLst/>
                            </wps:spPr>
                            <wps:txbx>
                              <w:txbxContent>
                                <w:p>
                                  <w:pPr>
                                    <w:jc w:val="center"/>
                                    <w:rPr>
                                      <w:sz w:val="18"/>
                                      <w:szCs w:val="18"/>
                                    </w:rPr>
                                  </w:pPr>
                                  <w:r>
                                    <w:rPr>
                                      <w:rFonts w:hint="eastAsia" w:ascii="Calibri" w:hAnsi="Calibri"/>
                                      <w:sz w:val="18"/>
                                      <w:szCs w:val="18"/>
                                    </w:rPr>
                                    <w:t>1.12</w:t>
                                  </w:r>
                                </w:p>
                              </w:txbxContent>
                            </wps:txbx>
                            <wps:bodyPr wrap="square" upright="1"/>
                          </wps:wsp>
                        </a:graphicData>
                      </a:graphic>
                    </wp:anchor>
                  </w:drawing>
                </mc:Choice>
                <mc:Fallback>
                  <w:pict>
                    <v:shape id="文本框 610" o:spid="_x0000_s1026" o:spt="202" type="#_x0000_t202" style="position:absolute;left:0pt;margin-left:187.5pt;margin-top:8.15pt;height:16.75pt;width:36.35pt;z-index:251675648;mso-width-relative:page;mso-height-relative:page;" filled="f" stroked="f" coordsize="21600,21600" o:gfxdata="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4pC7MdcAAAAJAQAADwAAAAAAAAABACAAAAAiAAAAZHJzL2Rvd25yZXYueG1sUEsB&#10;AhQAFAAAAAgAh07iQG4kNFi9AQAAbQMAAA4AAAAAAAAAAQAgAAAAJgEAAGRycy9lMm9Eb2MueG1s&#10;UEsFBgAAAAAGAAYAWQEAAFUFAAAAAA==&#10;">
                      <v:fill on="f" focussize="0,0"/>
                      <v:stroke on="f"/>
                      <v:imagedata o:title=""/>
                      <o:lock v:ext="edit" aspectratio="f"/>
                      <v:textbox>
                        <w:txbxContent>
                          <w:p>
                            <w:pPr>
                              <w:jc w:val="center"/>
                              <w:rPr>
                                <w:sz w:val="18"/>
                                <w:szCs w:val="18"/>
                              </w:rPr>
                            </w:pPr>
                            <w:r>
                              <w:rPr>
                                <w:rFonts w:hint="eastAsia" w:ascii="Calibri" w:hAnsi="Calibri"/>
                                <w:sz w:val="18"/>
                                <w:szCs w:val="18"/>
                              </w:rPr>
                              <w:t>1.12</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1647190</wp:posOffset>
                      </wp:positionH>
                      <wp:positionV relativeFrom="paragraph">
                        <wp:posOffset>-7620</wp:posOffset>
                      </wp:positionV>
                      <wp:extent cx="228600" cy="182245"/>
                      <wp:effectExtent l="12700" t="0" r="25400" b="1270"/>
                      <wp:wrapNone/>
                      <wp:docPr id="3" name="任意多边形 608"/>
                      <wp:cNvGraphicFramePr/>
                      <a:graphic xmlns:a="http://schemas.openxmlformats.org/drawingml/2006/main">
                        <a:graphicData uri="http://schemas.microsoft.com/office/word/2010/wordprocessingShape">
                          <wps:wsp>
                            <wps:cNvSpPr/>
                            <wps:spPr>
                              <a:xfrm rot="342657">
                                <a:off x="0" y="0"/>
                                <a:ext cx="228600" cy="182245"/>
                              </a:xfrm>
                              <a:custGeom>
                                <a:avLst/>
                                <a:gdLst>
                                  <a:gd name="A1" fmla="val 0"/>
                                  <a:gd name="A2" fmla="val 0"/>
                                  <a:gd name="A3" fmla="val 0"/>
                                  <a:gd name="txL" fmla="*/ 0 w 540"/>
                                  <a:gd name="txT" fmla="*/ 0 h 468"/>
                                  <a:gd name="txR" fmla="*/ 540 w 540"/>
                                  <a:gd name="txB" fmla="*/ 468 h 468"/>
                                </a:gdLst>
                                <a:ahLst/>
                                <a:cxnLst/>
                                <a:rect l="txL" t="txT" r="txR" b="txB"/>
                                <a:pathLst>
                                  <a:path w="540" h="468">
                                    <a:moveTo>
                                      <a:pt x="0" y="468"/>
                                    </a:moveTo>
                                    <a:cubicBezTo>
                                      <a:pt x="60" y="325"/>
                                      <a:pt x="120" y="182"/>
                                      <a:pt x="180" y="156"/>
                                    </a:cubicBezTo>
                                    <a:cubicBezTo>
                                      <a:pt x="240" y="130"/>
                                      <a:pt x="300" y="338"/>
                                      <a:pt x="360" y="312"/>
                                    </a:cubicBezTo>
                                    <a:cubicBezTo>
                                      <a:pt x="420" y="286"/>
                                      <a:pt x="510" y="52"/>
                                      <a:pt x="540" y="0"/>
                                    </a:cubicBezTo>
                                  </a:path>
                                </a:pathLst>
                              </a:custGeom>
                              <a:noFill/>
                              <a:ln w="9525" cap="flat" cmpd="sng">
                                <a:solidFill>
                                  <a:srgbClr val="000000"/>
                                </a:solidFill>
                                <a:prstDash val="dash"/>
                                <a:round/>
                                <a:headEnd type="none" w="med" len="med"/>
                                <a:tailEnd type="triangle" w="med" len="med"/>
                              </a:ln>
                            </wps:spPr>
                            <wps:bodyPr upright="1"/>
                          </wps:wsp>
                        </a:graphicData>
                      </a:graphic>
                    </wp:anchor>
                  </w:drawing>
                </mc:Choice>
                <mc:Fallback>
                  <w:pict>
                    <v:shape id="任意多边形 608" o:spid="_x0000_s1026" o:spt="100" style="position:absolute;left:0pt;margin-left:129.7pt;margin-top:-0.6pt;height:14.35pt;width:18pt;rotation:374273f;z-index:251666432;mso-width-relative:page;mso-height-relative:page;" filled="f" stroked="t" coordsize="540,468" o:gfxdata="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" path="m0,468c60,325,120,182,180,156c240,130,300,338,360,312c420,286,510,52,540,0e">
                      <v:fill on="f" focussize="0,0"/>
                      <v:stroke color="#000000" joinstyle="round" dashstyle="dash" endarrow="block"/>
                      <v:imagedata o:title=""/>
                      <o:lock v:ext="edit" aspectratio="f"/>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847725</wp:posOffset>
                      </wp:positionH>
                      <wp:positionV relativeFrom="paragraph">
                        <wp:posOffset>103505</wp:posOffset>
                      </wp:positionV>
                      <wp:extent cx="521335" cy="270510"/>
                      <wp:effectExtent l="0" t="0" r="0" b="0"/>
                      <wp:wrapNone/>
                      <wp:docPr id="344" name="文本框 610"/>
                      <wp:cNvGraphicFramePr/>
                      <a:graphic xmlns:a="http://schemas.openxmlformats.org/drawingml/2006/main">
                        <a:graphicData uri="http://schemas.microsoft.com/office/word/2010/wordprocessingShape">
                          <wps:wsp>
                            <wps:cNvSpPr txBox="1"/>
                            <wps:spPr>
                              <a:xfrm>
                                <a:off x="0" y="0"/>
                                <a:ext cx="521335" cy="270510"/>
                              </a:xfrm>
                              <a:prstGeom prst="rect">
                                <a:avLst/>
                              </a:prstGeom>
                              <a:noFill/>
                              <a:ln>
                                <a:noFill/>
                              </a:ln>
                              <a:effectLst/>
                            </wps:spPr>
                            <wps:txbx>
                              <w:txbxContent>
                                <w:p>
                                  <w:pPr>
                                    <w:rPr>
                                      <w:sz w:val="18"/>
                                      <w:szCs w:val="18"/>
                                    </w:rPr>
                                  </w:pPr>
                                  <w:r>
                                    <w:rPr>
                                      <w:rFonts w:hint="eastAsia" w:ascii="Calibri" w:hAnsi="Calibri"/>
                                      <w:sz w:val="18"/>
                                      <w:szCs w:val="18"/>
                                    </w:rPr>
                                    <w:t>0.28</w:t>
                                  </w:r>
                                </w:p>
                              </w:txbxContent>
                            </wps:txbx>
                            <wps:bodyPr wrap="square" upright="1"/>
                          </wps:wsp>
                        </a:graphicData>
                      </a:graphic>
                    </wp:anchor>
                  </w:drawing>
                </mc:Choice>
                <mc:Fallback>
                  <w:pict>
                    <v:shape id="文本框 610" o:spid="_x0000_s1026" o:spt="202" type="#_x0000_t202" style="position:absolute;left:0pt;margin-left:66.75pt;margin-top:8.15pt;height:21.3pt;width:41.05pt;z-index:251678720;mso-width-relative:page;mso-height-relative:page;" filled="f" stroked="f" coordsize="21600,21600" o:gfxdata="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vik8fXAAAACQEAAA8AAAAAAAAAAQAgAAAAIgAAAGRycy9kb3ducmV2LnhtbFBL&#10;AQIUABQAAAAIAIdO4kAHnvBrvgEAAG0DAAAOAAAAAAAAAAEAIAAAACYBAABkcnMvZTJvRG9jLnht&#10;bFBLBQYAAAAABgAGAFkBAABWBQAAAAA=&#10;">
                      <v:fill on="f" focussize="0,0"/>
                      <v:stroke on="f"/>
                      <v:imagedata o:title=""/>
                      <o:lock v:ext="edit" aspectratio="f"/>
                      <v:textbox>
                        <w:txbxContent>
                          <w:p>
                            <w:pPr>
                              <w:rPr>
                                <w:sz w:val="18"/>
                                <w:szCs w:val="18"/>
                              </w:rPr>
                            </w:pPr>
                            <w:r>
                              <w:rPr>
                                <w:rFonts w:hint="eastAsia" w:ascii="Calibri" w:hAnsi="Calibri"/>
                                <w:sz w:val="18"/>
                                <w:szCs w:val="18"/>
                              </w:rPr>
                              <w:t>0.28</w:t>
                            </w:r>
                          </w:p>
                        </w:txbxContent>
                      </v:textbox>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1271905</wp:posOffset>
                      </wp:positionH>
                      <wp:positionV relativeFrom="paragraph">
                        <wp:posOffset>174625</wp:posOffset>
                      </wp:positionV>
                      <wp:extent cx="1062990" cy="234950"/>
                      <wp:effectExtent l="5080" t="4445" r="17780" b="8255"/>
                      <wp:wrapNone/>
                      <wp:docPr id="13" name="文本框 19"/>
                      <wp:cNvGraphicFramePr/>
                      <a:graphic xmlns:a="http://schemas.openxmlformats.org/drawingml/2006/main">
                        <a:graphicData uri="http://schemas.microsoft.com/office/word/2010/wordprocessingShape">
                          <wps:wsp>
                            <wps:cNvSpPr txBox="1"/>
                            <wps:spPr>
                              <a:xfrm>
                                <a:off x="0" y="0"/>
                                <a:ext cx="1062990" cy="2349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53" w:leftChars="-25" w:right="-53" w:rightChars="-25"/>
                                    <w:jc w:val="center"/>
                                    <w:rPr>
                                      <w:sz w:val="18"/>
                                      <w:szCs w:val="18"/>
                                    </w:rPr>
                                  </w:pPr>
                                  <w:r>
                                    <w:rPr>
                                      <w:sz w:val="18"/>
                                      <w:szCs w:val="18"/>
                                    </w:rPr>
                                    <w:t>车辆冲洗用水</w:t>
                                  </w:r>
                                </w:p>
                              </w:txbxContent>
                            </wps:txbx>
                            <wps:bodyPr upright="1"/>
                          </wps:wsp>
                        </a:graphicData>
                      </a:graphic>
                    </wp:anchor>
                  </w:drawing>
                </mc:Choice>
                <mc:Fallback>
                  <w:pict>
                    <v:shape id="文本框 19" o:spid="_x0000_s1026" o:spt="202" type="#_x0000_t202" style="position:absolute;left:0pt;margin-left:100.15pt;margin-top:13.75pt;height:18.5pt;width:83.7pt;z-index:251685888;mso-width-relative:page;mso-height-relative:page;" fillcolor="#FFFFFF" filled="t" stroked="t" coordsize="21600,21600" o:gfxdata="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6Z+VWtgAAAAJAQAADwAAAAAAAAABACAA&#10;AAAiAAAAZHJzL2Rvd25yZXYueG1sUEsBAhQAFAAAAAgAh07iQIHCR1sNAgAAOAQAAA4AAAAAAAAA&#10;AQAgAAAAJwEAAGRycy9lMm9Eb2MueG1sUEsFBgAAAAAGAAYAWQEAAKYFAAAAAA==&#10;">
                      <v:fill on="t" focussize="0,0"/>
                      <v:stroke color="#000000" joinstyle="miter"/>
                      <v:imagedata o:title=""/>
                      <o:lock v:ext="edit" aspectratio="f"/>
                      <v:textbox>
                        <w:txbxContent>
                          <w:p>
                            <w:pPr>
                              <w:ind w:left="-53" w:leftChars="-25" w:right="-53" w:rightChars="-25"/>
                              <w:jc w:val="center"/>
                              <w:rPr>
                                <w:sz w:val="18"/>
                                <w:szCs w:val="18"/>
                              </w:rPr>
                            </w:pPr>
                            <w:r>
                              <w:rPr>
                                <w:sz w:val="18"/>
                                <w:szCs w:val="18"/>
                              </w:rPr>
                              <w:t>车辆冲洗用水</w:t>
                            </w:r>
                          </w:p>
                        </w:txbxContent>
                      </v:textbox>
                    </v:shape>
                  </w:pict>
                </mc:Fallback>
              </mc:AlternateContent>
            </w:r>
          </w:p>
          <w:p>
            <w:pPr>
              <w:autoSpaceDE w:val="0"/>
              <w:autoSpaceDN w:val="0"/>
              <w:adjustRightInd w:val="0"/>
              <w:snapToGrid w:val="0"/>
              <w:spacing w:line="406" w:lineRule="exact"/>
              <w:ind w:firstLine="440" w:firstLineChars="200"/>
              <w:jc w:val="left"/>
            </w:pPr>
            <w:r>
              <w:rPr>
                <w:rFonts w:eastAsia="黑体"/>
                <w:bCs/>
                <w:sz w:val="22"/>
                <w:szCs w:val="22"/>
              </w:rPr>
              <mc:AlternateContent>
                <mc:Choice Requires="wps">
                  <w:drawing>
                    <wp:anchor distT="0" distB="0" distL="114300" distR="114300" simplePos="0" relativeHeight="251689984" behindDoc="0" locked="0" layoutInCell="1" allowOverlap="1">
                      <wp:simplePos x="0" y="0"/>
                      <wp:positionH relativeFrom="column">
                        <wp:posOffset>3698240</wp:posOffset>
                      </wp:positionH>
                      <wp:positionV relativeFrom="paragraph">
                        <wp:posOffset>114935</wp:posOffset>
                      </wp:positionV>
                      <wp:extent cx="781050" cy="380365"/>
                      <wp:effectExtent l="4445" t="4445" r="14605" b="15240"/>
                      <wp:wrapNone/>
                      <wp:docPr id="55" name="文本框 605"/>
                      <wp:cNvGraphicFramePr/>
                      <a:graphic xmlns:a="http://schemas.openxmlformats.org/drawingml/2006/main">
                        <a:graphicData uri="http://schemas.microsoft.com/office/word/2010/wordprocessingShape">
                          <wps:wsp>
                            <wps:cNvSpPr txBox="1"/>
                            <wps:spPr>
                              <a:xfrm>
                                <a:off x="0" y="0"/>
                                <a:ext cx="506994" cy="38024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left="-53" w:leftChars="-25" w:right="-53" w:rightChars="-25"/>
                                    <w:jc w:val="center"/>
                                    <w:rPr>
                                      <w:sz w:val="18"/>
                                      <w:szCs w:val="18"/>
                                    </w:rPr>
                                  </w:pPr>
                                  <w:r>
                                    <w:rPr>
                                      <w:sz w:val="18"/>
                                      <w:szCs w:val="18"/>
                                    </w:rPr>
                                    <w:t>东岳镇场镇污水处理厂</w:t>
                                  </w:r>
                                </w:p>
                              </w:txbxContent>
                            </wps:txbx>
                            <wps:bodyPr wrap="square" upright="1">
                              <a:noAutofit/>
                            </wps:bodyPr>
                          </wps:wsp>
                        </a:graphicData>
                      </a:graphic>
                    </wp:anchor>
                  </w:drawing>
                </mc:Choice>
                <mc:Fallback>
                  <w:pict>
                    <v:shape id="文本框 605" o:spid="_x0000_s1026" o:spt="202" type="#_x0000_t202" style="position:absolute;left:0pt;margin-left:291.2pt;margin-top:9.05pt;height:29.95pt;width:61.5pt;z-index:251689984;mso-width-relative:page;mso-height-relative:page;" fillcolor="#FFFFFF" filled="t" stroked="t" coordsize="21600,21600" o:gfxdata="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Ci96LYAAAACQEAAA8AAAAAAAAAAQAgAAAAIgAAAGRycy9kb3ducmV2LnhtbFBLAQIUABQA&#10;AAAIAIdO4kAFXSyzKQIAAG4EAAAOAAAAAAAAAAEAIAAAACcBAABkcnMvZTJvRG9jLnhtbFBLBQYA&#10;AAAABgAGAFkBAADCBQAAAAA=&#10;">
                      <v:fill on="t" focussize="0,0"/>
                      <v:stroke color="#000000" joinstyle="miter"/>
                      <v:imagedata o:title=""/>
                      <o:lock v:ext="edit" aspectratio="f"/>
                      <v:textbox>
                        <w:txbxContent>
                          <w:p>
                            <w:pPr>
                              <w:ind w:left="-53" w:leftChars="-25" w:right="-53" w:rightChars="-25"/>
                              <w:jc w:val="center"/>
                              <w:rPr>
                                <w:sz w:val="18"/>
                                <w:szCs w:val="18"/>
                              </w:rPr>
                            </w:pPr>
                            <w:r>
                              <w:rPr>
                                <w:sz w:val="18"/>
                                <w:szCs w:val="18"/>
                              </w:rPr>
                              <w:t>东岳镇场镇污水处理厂</w:t>
                            </w:r>
                          </w:p>
                        </w:txbxContent>
                      </v:textbox>
                    </v:shap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2291080</wp:posOffset>
                      </wp:positionH>
                      <wp:positionV relativeFrom="paragraph">
                        <wp:posOffset>170815</wp:posOffset>
                      </wp:positionV>
                      <wp:extent cx="633730" cy="270510"/>
                      <wp:effectExtent l="0" t="0" r="0" b="0"/>
                      <wp:wrapNone/>
                      <wp:docPr id="57" name="文本框 610"/>
                      <wp:cNvGraphicFramePr/>
                      <a:graphic xmlns:a="http://schemas.openxmlformats.org/drawingml/2006/main">
                        <a:graphicData uri="http://schemas.microsoft.com/office/word/2010/wordprocessingShape">
                          <wps:wsp>
                            <wps:cNvSpPr txBox="1"/>
                            <wps:spPr>
                              <a:xfrm>
                                <a:off x="0" y="0"/>
                                <a:ext cx="543208" cy="270510"/>
                              </a:xfrm>
                              <a:prstGeom prst="rect">
                                <a:avLst/>
                              </a:prstGeom>
                              <a:noFill/>
                              <a:ln>
                                <a:noFill/>
                              </a:ln>
                              <a:effectLst/>
                            </wps:spPr>
                            <wps:txbx>
                              <w:txbxContent>
                                <w:p>
                                  <w:pPr>
                                    <w:jc w:val="center"/>
                                    <w:rPr>
                                      <w:sz w:val="18"/>
                                      <w:szCs w:val="18"/>
                                    </w:rPr>
                                  </w:pPr>
                                  <w:r>
                                    <w:rPr>
                                      <w:rFonts w:hint="eastAsia" w:ascii="Calibri" w:hAnsi="Calibri"/>
                                      <w:sz w:val="18"/>
                                      <w:szCs w:val="18"/>
                                    </w:rPr>
                                    <w:t>回用1.12</w:t>
                                  </w:r>
                                </w:p>
                              </w:txbxContent>
                            </wps:txbx>
                            <wps:bodyPr wrap="square" upright="1"/>
                          </wps:wsp>
                        </a:graphicData>
                      </a:graphic>
                    </wp:anchor>
                  </w:drawing>
                </mc:Choice>
                <mc:Fallback>
                  <w:pict>
                    <v:shape id="文本框 610" o:spid="_x0000_s1026" o:spt="202" type="#_x0000_t202" style="position:absolute;left:0pt;margin-left:180.4pt;margin-top:13.45pt;height:21.3pt;width:49.9pt;z-index:251691008;mso-width-relative:page;mso-height-relative:page;" filled="f" stroked="f" coordsize="21600,21600" o:gfxdata="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lmKI31gAAAAkBAAAPAAAAAAAAAAEAIAAAACIAAABkcnMvZG93bnJldi54bWxQSwEC&#10;FAAUAAAACACHTuJA7+CkN70BAABsAwAADgAAAAAAAAABACAAAAAlAQAAZHJzL2Uyb0RvYy54bWxQ&#10;SwUGAAAAAAYABgBZAQAAVAUAAAAA&#10;">
                      <v:fill on="f" focussize="0,0"/>
                      <v:stroke on="f"/>
                      <v:imagedata o:title=""/>
                      <o:lock v:ext="edit" aspectratio="f"/>
                      <v:textbox>
                        <w:txbxContent>
                          <w:p>
                            <w:pPr>
                              <w:jc w:val="center"/>
                              <w:rPr>
                                <w:sz w:val="18"/>
                                <w:szCs w:val="18"/>
                              </w:rPr>
                            </w:pPr>
                            <w:r>
                              <w:rPr>
                                <w:rFonts w:hint="eastAsia" w:ascii="Calibri" w:hAnsi="Calibri"/>
                                <w:sz w:val="18"/>
                                <w:szCs w:val="18"/>
                              </w:rPr>
                              <w:t>回用1.12</w:t>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1755775</wp:posOffset>
                      </wp:positionH>
                      <wp:positionV relativeFrom="paragraph">
                        <wp:posOffset>142875</wp:posOffset>
                      </wp:positionV>
                      <wp:extent cx="635" cy="215900"/>
                      <wp:effectExtent l="37465" t="0" r="38100" b="12700"/>
                      <wp:wrapNone/>
                      <wp:docPr id="5" name="直线 11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635" cy="21590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115" o:spid="_x0000_s1026" o:spt="20" style="position:absolute;left:0pt;flip:y;margin-left:138.25pt;margin-top:11.25pt;height:17pt;width:0.05pt;z-index:251674624;mso-width-relative:page;mso-height-relative:page;" filled="f" stroked="t" coordsize="21600,21600" o:gfxdata="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2/AfOtcAAAAJAQAADwAAAAAAAAABACAA&#10;AAAiAAAAZHJzL2Rvd25yZXYueG1sUEsBAhQAFAAAAAgAh07iQAeC8fAOAgAAHAQAAA4AAAAAAAAA&#10;AQAgAAAAJgEAAGRycy9lMm9Eb2MueG1sUEsFBgAAAAAGAAYAWQEAAKYFAAAAAA==&#10;">
                      <v:fill on="f" focussize="0,0"/>
                      <v:stroke weight="1pt" color="#000000" joinstyle="round" endarrow="block"/>
                      <v:imagedata o:title=""/>
                      <o:lock v:ext="edit" aspectratio="t"/>
                    </v:lin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2338705</wp:posOffset>
                      </wp:positionH>
                      <wp:positionV relativeFrom="paragraph">
                        <wp:posOffset>38100</wp:posOffset>
                      </wp:positionV>
                      <wp:extent cx="504190" cy="635"/>
                      <wp:effectExtent l="0" t="37465" r="10160" b="38100"/>
                      <wp:wrapNone/>
                      <wp:docPr id="334" name="直线 60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60903" cy="0"/>
                              </a:xfrm>
                              <a:prstGeom prst="line">
                                <a:avLst/>
                              </a:prstGeom>
                              <a:ln w="12700" cap="flat" cmpd="sng">
                                <a:solidFill>
                                  <a:srgbClr val="000000"/>
                                </a:solidFill>
                                <a:prstDash val="solid"/>
                                <a:headEnd type="none" w="med" len="med"/>
                                <a:tailEnd type="triangle" w="med" len="med"/>
                              </a:ln>
                              <a:effectLst/>
                            </wps:spPr>
                            <wps:bodyPr/>
                          </wps:wsp>
                        </a:graphicData>
                      </a:graphic>
                    </wp:anchor>
                  </w:drawing>
                </mc:Choice>
                <mc:Fallback>
                  <w:pict>
                    <v:line id="直线 607" o:spid="_x0000_s1026" o:spt="20" style="position:absolute;left:0pt;margin-left:184.15pt;margin-top:3pt;height:0.05pt;width:39.7pt;z-index:251672576;mso-width-relative:page;mso-height-relative:page;" filled="f" stroked="t" coordsize="21600,21600" o:gfxdata="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&#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PcBADWAAAABwEAAA8AAAAAAAAAAQAgAAAAIgAAAGRy&#10;cy9kb3ducmV2LnhtbFBLAQIUABQAAAAIAIdO4kCo9MjUBwIAABQEAAAOAAAAAAAAAAEAIAAAACUB&#10;AABkcnMvZTJvRG9jLnhtbFBLBQYAAAAABgAGAFkBAACeBQAAAAA=&#10;">
                      <v:fill on="f" focussize="0,0"/>
                      <v:stroke weight="1pt" color="#000000" joinstyle="round" endarrow="block"/>
                      <v:imagedata o:title=""/>
                      <o:lock v:ext="edit" aspectratio="t"/>
                    </v:lin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777240</wp:posOffset>
                      </wp:positionH>
                      <wp:positionV relativeFrom="paragraph">
                        <wp:posOffset>38100</wp:posOffset>
                      </wp:positionV>
                      <wp:extent cx="493395" cy="635"/>
                      <wp:effectExtent l="0" t="0" r="0" b="0"/>
                      <wp:wrapNone/>
                      <wp:docPr id="341" name="直线 60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493395" cy="635"/>
                              </a:xfrm>
                              <a:prstGeom prst="line">
                                <a:avLst/>
                              </a:prstGeom>
                              <a:ln w="12700" cap="flat" cmpd="sng">
                                <a:solidFill>
                                  <a:srgbClr val="000000"/>
                                </a:solidFill>
                                <a:prstDash val="solid"/>
                                <a:headEnd type="none" w="med" len="med"/>
                                <a:tailEnd type="none" w="med" len="med"/>
                              </a:ln>
                              <a:effectLst/>
                            </wps:spPr>
                            <wps:bodyPr/>
                          </wps:wsp>
                        </a:graphicData>
                      </a:graphic>
                    </wp:anchor>
                  </w:drawing>
                </mc:Choice>
                <mc:Fallback>
                  <w:pict>
                    <v:line id="直线 606" o:spid="_x0000_s1026" o:spt="20" style="position:absolute;left:0pt;margin-left:61.2pt;margin-top:3pt;height:0.05pt;width:38.85pt;z-index:251676672;mso-width-relative:page;mso-height-relative:page;" filled="f" stroked="t" coordsize="21600,21600" o:gfxdata="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FPxWbUAAAABwEAAA8AAAAAAAAAAQAgAAAAIgAAAGRycy9kb3du&#10;cmV2LnhtbFBLAQIUABQAAAAIAIdO4kAUchuwAwIAABIEAAAOAAAAAAAAAAEAIAAAACMBAABkcnMv&#10;ZTJvRG9jLnhtbFBLBQYAAAAABgAGAFkBAACYBQAAAAA=&#10;">
                      <v:fill on="f" focussize="0,0"/>
                      <v:stroke weight="1pt" color="#000000" joinstyle="round"/>
                      <v:imagedata o:title=""/>
                      <o:lock v:ext="edit" aspectratio="t"/>
                    </v:line>
                  </w:pict>
                </mc:Fallback>
              </mc:AlternateContent>
            </w:r>
          </w:p>
          <w:p>
            <w:pPr>
              <w:autoSpaceDE w:val="0"/>
              <w:autoSpaceDN w:val="0"/>
              <w:adjustRightInd w:val="0"/>
              <w:snapToGrid w:val="0"/>
              <w:spacing w:line="406" w:lineRule="exact"/>
              <w:ind w:firstLine="420" w:firstLineChars="200"/>
              <w:jc w:val="left"/>
            </w:pPr>
            <w:r>
              <mc:AlternateContent>
                <mc:Choice Requires="wps">
                  <w:drawing>
                    <wp:anchor distT="0" distB="0" distL="114300" distR="114300" simplePos="0" relativeHeight="251679744" behindDoc="0" locked="0" layoutInCell="1" allowOverlap="1">
                      <wp:simplePos x="0" y="0"/>
                      <wp:positionH relativeFrom="column">
                        <wp:posOffset>1369060</wp:posOffset>
                      </wp:positionH>
                      <wp:positionV relativeFrom="paragraph">
                        <wp:posOffset>229235</wp:posOffset>
                      </wp:positionV>
                      <wp:extent cx="744855" cy="270510"/>
                      <wp:effectExtent l="0" t="0" r="0" b="0"/>
                      <wp:wrapNone/>
                      <wp:docPr id="353" name="文本框 611"/>
                      <wp:cNvGraphicFramePr/>
                      <a:graphic xmlns:a="http://schemas.openxmlformats.org/drawingml/2006/main">
                        <a:graphicData uri="http://schemas.microsoft.com/office/word/2010/wordprocessingShape">
                          <wps:wsp>
                            <wps:cNvSpPr txBox="1"/>
                            <wps:spPr>
                              <a:xfrm>
                                <a:off x="0" y="0"/>
                                <a:ext cx="659130" cy="270510"/>
                              </a:xfrm>
                              <a:prstGeom prst="rect">
                                <a:avLst/>
                              </a:prstGeom>
                              <a:noFill/>
                              <a:ln>
                                <a:noFill/>
                              </a:ln>
                              <a:effectLst/>
                            </wps:spPr>
                            <wps:txbx>
                              <w:txbxContent>
                                <w:p>
                                  <w:pPr>
                                    <w:rPr>
                                      <w:sz w:val="18"/>
                                      <w:szCs w:val="18"/>
                                    </w:rPr>
                                  </w:pPr>
                                  <w:r>
                                    <w:rPr>
                                      <w:rFonts w:hint="eastAsia" w:ascii="Calibri" w:hAnsi="Calibri" w:cs="宋体"/>
                                      <w:sz w:val="18"/>
                                      <w:szCs w:val="18"/>
                                    </w:rPr>
                                    <w:t>损耗0.03</w:t>
                                  </w:r>
                                </w:p>
                              </w:txbxContent>
                            </wps:txbx>
                            <wps:bodyPr upright="1"/>
                          </wps:wsp>
                        </a:graphicData>
                      </a:graphic>
                    </wp:anchor>
                  </w:drawing>
                </mc:Choice>
                <mc:Fallback>
                  <w:pict>
                    <v:shape id="文本框 611" o:spid="_x0000_s1026" o:spt="202" type="#_x0000_t202" style="position:absolute;left:0pt;margin-left:107.8pt;margin-top:18.05pt;height:21.3pt;width:58.65pt;z-index:251679744;mso-width-relative:page;mso-height-relative:page;" filled="f" stroked="f" coordsize="21600,21600" o:gfxdata="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ECh0t2AAAAAkBAAAPAAAAAAAAAAEAIAAAACIAAABkcnMvZG93bnJldi54bWxQSwECFAAUAAAA&#10;CACHTuJAhjMMjrUBAABfAwAADgAAAAAAAAABACAAAAAnAQAAZHJzL2Uyb0RvYy54bWxQSwUGAAAA&#10;AAYABgBZAQAATgUAAAAA&#10;">
                      <v:fill on="f" focussize="0,0"/>
                      <v:stroke on="f"/>
                      <v:imagedata o:title=""/>
                      <o:lock v:ext="edit" aspectratio="f"/>
                      <v:textbox>
                        <w:txbxContent>
                          <w:p>
                            <w:pPr>
                              <w:rPr>
                                <w:sz w:val="18"/>
                                <w:szCs w:val="18"/>
                              </w:rPr>
                            </w:pPr>
                            <w:r>
                              <w:rPr>
                                <w:rFonts w:hint="eastAsia" w:ascii="Calibri" w:hAnsi="Calibri" w:cs="宋体"/>
                                <w:sz w:val="18"/>
                                <w:szCs w:val="18"/>
                              </w:rPr>
                              <w:t>损耗0.03</w:t>
                            </w:r>
                          </w:p>
                        </w:txbxContent>
                      </v:textbox>
                    </v:shap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3908425</wp:posOffset>
                      </wp:positionH>
                      <wp:positionV relativeFrom="paragraph">
                        <wp:posOffset>415290</wp:posOffset>
                      </wp:positionV>
                      <wp:extent cx="355600" cy="0"/>
                      <wp:effectExtent l="38100" t="0" r="38100" b="6350"/>
                      <wp:wrapNone/>
                      <wp:docPr id="16" name="直接箭头连接符 290"/>
                      <wp:cNvGraphicFramePr/>
                      <a:graphic xmlns:a="http://schemas.openxmlformats.org/drawingml/2006/main">
                        <a:graphicData uri="http://schemas.microsoft.com/office/word/2010/wordprocessingShape">
                          <wps:wsp>
                            <wps:cNvCnPr/>
                            <wps:spPr>
                              <a:xfrm rot="5400000">
                                <a:off x="0" y="0"/>
                                <a:ext cx="355600" cy="0"/>
                              </a:xfrm>
                              <a:prstGeom prst="straightConnector1">
                                <a:avLst/>
                              </a:prstGeom>
                              <a:ln w="9525" cap="flat" cmpd="sng">
                                <a:solidFill>
                                  <a:srgbClr val="000000"/>
                                </a:solidFill>
                                <a:prstDash val="solid"/>
                                <a:headEnd type="triangle" w="med" len="med"/>
                                <a:tailEnd type="none" w="med" len="med"/>
                              </a:ln>
                            </wps:spPr>
                            <wps:bodyPr/>
                          </wps:wsp>
                        </a:graphicData>
                      </a:graphic>
                    </wp:anchor>
                  </w:drawing>
                </mc:Choice>
                <mc:Fallback>
                  <w:pict>
                    <v:shape id="直接箭头连接符 290" o:spid="_x0000_s1026" o:spt="32" type="#_x0000_t32" style="position:absolute;left:0pt;margin-left:307.75pt;margin-top:32.7pt;height:0pt;width:28pt;rotation:5898240f;z-index:251695104;mso-width-relative:page;mso-height-relative:page;" filled="f" stroked="t" coordsize="21600,21600" o:gfxdata="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cUcGrVAAAACQEAAA8AAAAAAAAAAQAgAAAAIgAA&#10;AGRycy9kb3ducmV2LnhtbFBLAQIUABQAAAAIAIdO4kAFfO+ZCwIAAAAEAAAOAAAAAAAAAAEAIAAA&#10;ACQBAABkcnMvZTJvRG9jLnhtbFBLBQYAAAAABgAGAFkBAAChBQAAAAA=&#10;">
                      <v:fill on="f" focussize="0,0"/>
                      <v:stroke color="#000000" joinstyle="round" startarrow="block"/>
                      <v:imagedata o:title=""/>
                      <o:lock v:ext="edit" aspectratio="f"/>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1755775</wp:posOffset>
                      </wp:positionH>
                      <wp:positionV relativeFrom="paragraph">
                        <wp:posOffset>92075</wp:posOffset>
                      </wp:positionV>
                      <wp:extent cx="1797685" cy="635"/>
                      <wp:effectExtent l="0" t="0" r="0" b="0"/>
                      <wp:wrapNone/>
                      <wp:docPr id="14" name="直线 11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1797685" cy="63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116" o:spid="_x0000_s1026" o:spt="20" style="position:absolute;left:0pt;margin-left:138.25pt;margin-top:7.25pt;height:0.05pt;width:141.55pt;z-index:251686912;mso-width-relative:page;mso-height-relative:page;" filled="f" stroked="t" coordsize="21600,21600" o:gfxdata="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92R2dkAAAAJAQAADwAAAAAAAAABACAAAAAiAAAAZHJz&#10;L2Rvd25yZXYueG1sUEsBAhQAFAAAAAgAh07iQEORCuQDAgAAEAQAAA4AAAAAAAAAAQAgAAAAKAEA&#10;AGRycy9lMm9Eb2MueG1sUEsFBgAAAAAGAAYAWQEAAJ0FAAAAAA==&#10;">
                      <v:fill on="f" focussize="0,0"/>
                      <v:stroke weight="1pt" color="#000000" joinstyle="round"/>
                      <v:imagedata o:title=""/>
                      <o:lock v:ext="edit" aspectratio="t"/>
                    </v:line>
                  </w:pict>
                </mc:Fallback>
              </mc:AlternateContent>
            </w:r>
          </w:p>
          <w:p>
            <w:pPr>
              <w:autoSpaceDE w:val="0"/>
              <w:autoSpaceDN w:val="0"/>
              <w:adjustRightInd w:val="0"/>
              <w:snapToGrid w:val="0"/>
              <w:spacing w:line="406" w:lineRule="exact"/>
              <w:ind w:firstLine="440" w:firstLineChars="200"/>
              <w:jc w:val="left"/>
            </w:pPr>
            <w:r>
              <w:rPr>
                <w:rFonts w:eastAsia="黑体"/>
                <w:bCs/>
                <w:sz w:val="22"/>
                <w:szCs w:val="22"/>
              </w:rPr>
              <mc:AlternateContent>
                <mc:Choice Requires="wps">
                  <w:drawing>
                    <wp:anchor distT="0" distB="0" distL="114300" distR="114300" simplePos="0" relativeHeight="251708416" behindDoc="0" locked="0" layoutInCell="1" allowOverlap="1">
                      <wp:simplePos x="0" y="0"/>
                      <wp:positionH relativeFrom="column">
                        <wp:posOffset>3780155</wp:posOffset>
                      </wp:positionH>
                      <wp:positionV relativeFrom="paragraph">
                        <wp:posOffset>66040</wp:posOffset>
                      </wp:positionV>
                      <wp:extent cx="461645" cy="270510"/>
                      <wp:effectExtent l="0" t="0" r="0" b="0"/>
                      <wp:wrapNone/>
                      <wp:docPr id="29" name="文本框 46"/>
                      <wp:cNvGraphicFramePr/>
                      <a:graphic xmlns:a="http://schemas.openxmlformats.org/drawingml/2006/main">
                        <a:graphicData uri="http://schemas.microsoft.com/office/word/2010/wordprocessingShape">
                          <wps:wsp>
                            <wps:cNvSpPr txBox="1"/>
                            <wps:spPr>
                              <a:xfrm>
                                <a:off x="0" y="0"/>
                                <a:ext cx="461645" cy="270510"/>
                              </a:xfrm>
                              <a:prstGeom prst="rect">
                                <a:avLst/>
                              </a:prstGeom>
                              <a:noFill/>
                              <a:ln>
                                <a:noFill/>
                              </a:ln>
                            </wps:spPr>
                            <wps:txbx>
                              <w:txbxContent>
                                <w:p>
                                  <w:pPr>
                                    <w:rPr>
                                      <w:sz w:val="18"/>
                                      <w:szCs w:val="18"/>
                                    </w:rPr>
                                  </w:pPr>
                                  <w:r>
                                    <w:rPr>
                                      <w:rFonts w:hint="eastAsia" w:ascii="Calibri" w:hAnsi="Calibri"/>
                                      <w:sz w:val="18"/>
                                      <w:szCs w:val="18"/>
                                    </w:rPr>
                                    <w:t>0.27</w:t>
                                  </w:r>
                                </w:p>
                              </w:txbxContent>
                            </wps:txbx>
                            <wps:bodyPr upright="1"/>
                          </wps:wsp>
                        </a:graphicData>
                      </a:graphic>
                    </wp:anchor>
                  </w:drawing>
                </mc:Choice>
                <mc:Fallback>
                  <w:pict>
                    <v:shape id="文本框 46" o:spid="_x0000_s1026" o:spt="202" type="#_x0000_t202" style="position:absolute;left:0pt;margin-left:297.65pt;margin-top:5.2pt;height:21.3pt;width:36.35pt;z-index:251708416;mso-width-relative:page;mso-height-relative:page;" filled="f" stroked="f" coordsize="21600,21600" o:gfxdata="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DIG881QAA&#10;AAkBAAAPAAAAAAAAAAEAIAAAACIAAABkcnMvZG93bnJldi54bWxQSwECFAAUAAAACACHTuJAunp3&#10;ja8BAABPAwAADgAAAAAAAAABACAAAAAkAQAAZHJzL2Uyb0RvYy54bWxQSwUGAAAAAAYABgBZAQAA&#10;RQUAAAAA&#10;">
                      <v:fill on="f" focussize="0,0"/>
                      <v:stroke on="f"/>
                      <v:imagedata o:title=""/>
                      <o:lock v:ext="edit" aspectratio="f"/>
                      <v:textbox>
                        <w:txbxContent>
                          <w:p>
                            <w:pPr>
                              <w:rPr>
                                <w:sz w:val="18"/>
                                <w:szCs w:val="18"/>
                              </w:rPr>
                            </w:pPr>
                            <w:r>
                              <w:rPr>
                                <w:rFonts w:hint="eastAsia" w:ascii="Calibri" w:hAnsi="Calibri"/>
                                <w:sz w:val="18"/>
                                <w:szCs w:val="18"/>
                              </w:rPr>
                              <w:t>0.27</w:t>
                            </w:r>
                          </w:p>
                        </w:txbxContent>
                      </v:textbox>
                    </v:shape>
                  </w:pict>
                </mc:Fallback>
              </mc:AlternateContent>
            </w:r>
            <w:r>
              <w:rPr>
                <w:rFonts w:eastAsia="黑体"/>
                <w:bCs/>
                <w:sz w:val="22"/>
                <w:szCs w:val="22"/>
              </w:rPr>
              <mc:AlternateContent>
                <mc:Choice Requires="wps">
                  <w:drawing>
                    <wp:anchor distT="0" distB="0" distL="114300" distR="114300" simplePos="0" relativeHeight="251680768" behindDoc="0" locked="0" layoutInCell="1" allowOverlap="1">
                      <wp:simplePos x="0" y="0"/>
                      <wp:positionH relativeFrom="column">
                        <wp:posOffset>1435100</wp:posOffset>
                      </wp:positionH>
                      <wp:positionV relativeFrom="paragraph">
                        <wp:posOffset>154305</wp:posOffset>
                      </wp:positionV>
                      <wp:extent cx="228600" cy="182245"/>
                      <wp:effectExtent l="12700" t="0" r="25400" b="1270"/>
                      <wp:wrapNone/>
                      <wp:docPr id="6" name="自选图形 101"/>
                      <wp:cNvGraphicFramePr/>
                      <a:graphic xmlns:a="http://schemas.openxmlformats.org/drawingml/2006/main">
                        <a:graphicData uri="http://schemas.microsoft.com/office/word/2010/wordprocessingShape">
                          <wps:wsp>
                            <wps:cNvSpPr/>
                            <wps:spPr>
                              <a:xfrm rot="342657">
                                <a:off x="0" y="0"/>
                                <a:ext cx="228600" cy="182245"/>
                              </a:xfrm>
                              <a:custGeom>
                                <a:avLst/>
                                <a:gdLst>
                                  <a:gd name="A1" fmla="val 0"/>
                                  <a:gd name="A2" fmla="val 0"/>
                                  <a:gd name="A3" fmla="val 0"/>
                                  <a:gd name="txL" fmla="*/ 0 w 540"/>
                                  <a:gd name="txT" fmla="*/ 0 h 468"/>
                                  <a:gd name="txR" fmla="*/ 540 w 540"/>
                                  <a:gd name="txB" fmla="*/ 468 h 468"/>
                                </a:gdLst>
                                <a:ahLst/>
                                <a:cxnLst/>
                                <a:rect l="txL" t="txT" r="txR" b="txB"/>
                                <a:pathLst>
                                  <a:path w="540" h="468">
                                    <a:moveTo>
                                      <a:pt x="0" y="468"/>
                                    </a:moveTo>
                                    <a:cubicBezTo>
                                      <a:pt x="60" y="325"/>
                                      <a:pt x="120" y="182"/>
                                      <a:pt x="180" y="156"/>
                                    </a:cubicBezTo>
                                    <a:cubicBezTo>
                                      <a:pt x="240" y="130"/>
                                      <a:pt x="300" y="338"/>
                                      <a:pt x="360" y="312"/>
                                    </a:cubicBezTo>
                                    <a:cubicBezTo>
                                      <a:pt x="420" y="286"/>
                                      <a:pt x="510" y="52"/>
                                      <a:pt x="540" y="0"/>
                                    </a:cubicBezTo>
                                  </a:path>
                                </a:pathLst>
                              </a:custGeom>
                              <a:noFill/>
                              <a:ln w="9525" cap="flat" cmpd="sng">
                                <a:solidFill>
                                  <a:srgbClr val="000000"/>
                                </a:solidFill>
                                <a:prstDash val="dash"/>
                                <a:round/>
                                <a:headEnd type="none" w="med" len="med"/>
                                <a:tailEnd type="triangle" w="med" len="med"/>
                              </a:ln>
                            </wps:spPr>
                            <wps:bodyPr upright="1"/>
                          </wps:wsp>
                        </a:graphicData>
                      </a:graphic>
                    </wp:anchor>
                  </w:drawing>
                </mc:Choice>
                <mc:Fallback>
                  <w:pict>
                    <v:shape id="自选图形 101" o:spid="_x0000_s1026" o:spt="100" style="position:absolute;left:0pt;margin-left:113pt;margin-top:12.15pt;height:14.35pt;width:18pt;rotation:374273f;z-index:251680768;mso-width-relative:page;mso-height-relative:page;" filled="f" stroked="t" coordsize="540,468" o:gfxdata="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" path="m0,468c60,325,120,182,180,156c240,130,300,338,360,312c420,286,510,52,540,0e">
                      <v:fill on="f" focussize="0,0"/>
                      <v:stroke color="#000000" joinstyle="round" dashstyle="dash" endarrow="block"/>
                      <v:imagedata o:title=""/>
                      <o:lock v:ext="edit" aspectratio="f"/>
                    </v:shape>
                  </w:pict>
                </mc:Fallback>
              </mc:AlternateContent>
            </w:r>
          </w:p>
          <w:p>
            <w:pPr>
              <w:autoSpaceDE w:val="0"/>
              <w:autoSpaceDN w:val="0"/>
              <w:adjustRightInd w:val="0"/>
              <w:snapToGrid w:val="0"/>
              <w:spacing w:line="406" w:lineRule="exact"/>
              <w:ind w:firstLine="440" w:firstLineChars="200"/>
              <w:jc w:val="left"/>
            </w:pPr>
            <w:r>
              <w:rPr>
                <w:rFonts w:eastAsia="黑体"/>
                <w:bCs/>
                <w:sz w:val="22"/>
                <w:szCs w:val="22"/>
              </w:rPr>
              <mc:AlternateContent>
                <mc:Choice Requires="wps">
                  <w:drawing>
                    <wp:anchor distT="0" distB="0" distL="114300" distR="114300" simplePos="0" relativeHeight="251705344" behindDoc="0" locked="0" layoutInCell="1" allowOverlap="1">
                      <wp:simplePos x="0" y="0"/>
                      <wp:positionH relativeFrom="column">
                        <wp:posOffset>862965</wp:posOffset>
                      </wp:positionH>
                      <wp:positionV relativeFrom="paragraph">
                        <wp:posOffset>26670</wp:posOffset>
                      </wp:positionV>
                      <wp:extent cx="461645" cy="270510"/>
                      <wp:effectExtent l="0" t="0" r="0" b="0"/>
                      <wp:wrapNone/>
                      <wp:docPr id="26" name="文本框 43"/>
                      <wp:cNvGraphicFramePr/>
                      <a:graphic xmlns:a="http://schemas.openxmlformats.org/drawingml/2006/main">
                        <a:graphicData uri="http://schemas.microsoft.com/office/word/2010/wordprocessingShape">
                          <wps:wsp>
                            <wps:cNvSpPr txBox="1"/>
                            <wps:spPr>
                              <a:xfrm>
                                <a:off x="0" y="0"/>
                                <a:ext cx="461645" cy="270510"/>
                              </a:xfrm>
                              <a:prstGeom prst="rect">
                                <a:avLst/>
                              </a:prstGeom>
                              <a:noFill/>
                              <a:ln>
                                <a:noFill/>
                              </a:ln>
                            </wps:spPr>
                            <wps:txbx>
                              <w:txbxContent>
                                <w:p>
                                  <w:pPr>
                                    <w:rPr>
                                      <w:sz w:val="18"/>
                                      <w:szCs w:val="18"/>
                                    </w:rPr>
                                  </w:pPr>
                                  <w:r>
                                    <w:rPr>
                                      <w:rFonts w:hint="eastAsia"/>
                                      <w:sz w:val="18"/>
                                      <w:szCs w:val="18"/>
                                    </w:rPr>
                                    <w:t>0.3</w:t>
                                  </w:r>
                                </w:p>
                              </w:txbxContent>
                            </wps:txbx>
                            <wps:bodyPr upright="1"/>
                          </wps:wsp>
                        </a:graphicData>
                      </a:graphic>
                    </wp:anchor>
                  </w:drawing>
                </mc:Choice>
                <mc:Fallback>
                  <w:pict>
                    <v:shape id="文本框 43" o:spid="_x0000_s1026" o:spt="202" type="#_x0000_t202" style="position:absolute;left:0pt;margin-left:67.95pt;margin-top:2.1pt;height:21.3pt;width:36.35pt;z-index:251705344;mso-width-relative:page;mso-height-relative:page;" filled="f" stroked="f" coordsize="21600,21600" o:gfxdata="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fUNAs1QAA&#10;AAgBAAAPAAAAAAAAAAEAIAAAACIAAABkcnMvZG93bnJldi54bWxQSwECFAAUAAAACACHTuJAQJgf&#10;j68BAABPAwAADgAAAAAAAAABACAAAAAkAQAAZHJzL2Uyb0RvYy54bWxQSwUGAAAAAAYABgBZAQAA&#10;RQUAAAAA&#10;">
                      <v:fill on="f" focussize="0,0"/>
                      <v:stroke on="f"/>
                      <v:imagedata o:title=""/>
                      <o:lock v:ext="edit" aspectratio="f"/>
                      <v:textbox>
                        <w:txbxContent>
                          <w:p>
                            <w:pPr>
                              <w:rPr>
                                <w:sz w:val="18"/>
                                <w:szCs w:val="18"/>
                              </w:rPr>
                            </w:pPr>
                            <w:r>
                              <w:rPr>
                                <w:rFonts w:hint="eastAsia"/>
                                <w:sz w:val="18"/>
                                <w:szCs w:val="18"/>
                              </w:rPr>
                              <w:t>0.3</w:t>
                            </w:r>
                          </w:p>
                        </w:txbxContent>
                      </v:textbox>
                    </v:shape>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3649345</wp:posOffset>
                      </wp:positionH>
                      <wp:positionV relativeFrom="paragraph">
                        <wp:posOffset>78740</wp:posOffset>
                      </wp:positionV>
                      <wp:extent cx="881380" cy="234950"/>
                      <wp:effectExtent l="4445" t="4445" r="9525" b="8255"/>
                      <wp:wrapNone/>
                      <wp:docPr id="72" name="文本框 605"/>
                      <wp:cNvGraphicFramePr/>
                      <a:graphic xmlns:a="http://schemas.openxmlformats.org/drawingml/2006/main">
                        <a:graphicData uri="http://schemas.microsoft.com/office/word/2010/wordprocessingShape">
                          <wps:wsp>
                            <wps:cNvSpPr txBox="1"/>
                            <wps:spPr>
                              <a:xfrm>
                                <a:off x="0" y="0"/>
                                <a:ext cx="796705" cy="2349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left="-53" w:leftChars="-25" w:right="-53" w:rightChars="-25"/>
                                    <w:jc w:val="center"/>
                                    <w:rPr>
                                      <w:sz w:val="18"/>
                                      <w:szCs w:val="18"/>
                                    </w:rPr>
                                  </w:pPr>
                                  <w:r>
                                    <w:rPr>
                                      <w:sz w:val="18"/>
                                      <w:szCs w:val="18"/>
                                    </w:rPr>
                                    <w:t>专业机构拉运</w:t>
                                  </w:r>
                                </w:p>
                              </w:txbxContent>
                            </wps:txbx>
                            <wps:bodyPr wrap="square" upright="1"/>
                          </wps:wsp>
                        </a:graphicData>
                      </a:graphic>
                    </wp:anchor>
                  </w:drawing>
                </mc:Choice>
                <mc:Fallback>
                  <w:pict>
                    <v:shape id="文本框 605" o:spid="_x0000_s1026" o:spt="202" type="#_x0000_t202" style="position:absolute;left:0pt;margin-left:287.35pt;margin-top:6.2pt;height:18.5pt;width:69.4pt;z-index:251692032;mso-width-relative:page;mso-height-relative:page;" fillcolor="#FFFFFF" filled="t" stroked="t" coordsize="21600,21600" o:gfxdata="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XKLG9kA&#10;AAAJAQAADwAAAAAAAAABACAAAAAiAAAAZHJzL2Rvd25yZXYueG1sUEsBAhQAFAAAAAgAh07iQK/r&#10;KXMeAgAAVAQAAA4AAAAAAAAAAQAgAAAAKAEAAGRycy9lMm9Eb2MueG1sUEsFBgAAAAAGAAYAWQEA&#10;ALgFAAAAAA==&#10;">
                      <v:fill on="t" focussize="0,0"/>
                      <v:stroke color="#000000" joinstyle="miter"/>
                      <v:imagedata o:title=""/>
                      <o:lock v:ext="edit" aspectratio="f"/>
                      <v:textbox>
                        <w:txbxContent>
                          <w:p>
                            <w:pPr>
                              <w:ind w:left="-53" w:leftChars="-25" w:right="-53" w:rightChars="-25"/>
                              <w:jc w:val="center"/>
                              <w:rPr>
                                <w:sz w:val="18"/>
                                <w:szCs w:val="18"/>
                              </w:rPr>
                            </w:pPr>
                            <w:r>
                              <w:rPr>
                                <w:sz w:val="18"/>
                                <w:szCs w:val="18"/>
                              </w:rPr>
                              <w:t>专业机构拉运</w:t>
                            </w:r>
                          </w:p>
                        </w:txbxContent>
                      </v:textbox>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3195320</wp:posOffset>
                      </wp:positionH>
                      <wp:positionV relativeFrom="paragraph">
                        <wp:posOffset>31115</wp:posOffset>
                      </wp:positionV>
                      <wp:extent cx="454025" cy="270510"/>
                      <wp:effectExtent l="0" t="0" r="0" b="0"/>
                      <wp:wrapNone/>
                      <wp:docPr id="12" name="文本框 610"/>
                      <wp:cNvGraphicFramePr/>
                      <a:graphic xmlns:a="http://schemas.openxmlformats.org/drawingml/2006/main">
                        <a:graphicData uri="http://schemas.microsoft.com/office/word/2010/wordprocessingShape">
                          <wps:wsp>
                            <wps:cNvSpPr txBox="1"/>
                            <wps:spPr>
                              <a:xfrm>
                                <a:off x="0" y="0"/>
                                <a:ext cx="454025" cy="270510"/>
                              </a:xfrm>
                              <a:prstGeom prst="rect">
                                <a:avLst/>
                              </a:prstGeom>
                              <a:noFill/>
                              <a:ln>
                                <a:noFill/>
                              </a:ln>
                              <a:effectLst/>
                            </wps:spPr>
                            <wps:txbx>
                              <w:txbxContent>
                                <w:p>
                                  <w:pPr>
                                    <w:rPr>
                                      <w:sz w:val="18"/>
                                      <w:szCs w:val="18"/>
                                    </w:rPr>
                                  </w:pPr>
                                  <w:r>
                                    <w:rPr>
                                      <w:rFonts w:hint="eastAsia" w:ascii="Calibri" w:hAnsi="Calibri"/>
                                      <w:sz w:val="18"/>
                                      <w:szCs w:val="18"/>
                                    </w:rPr>
                                    <w:t>0.27</w:t>
                                  </w:r>
                                </w:p>
                              </w:txbxContent>
                            </wps:txbx>
                            <wps:bodyPr wrap="square" upright="1"/>
                          </wps:wsp>
                        </a:graphicData>
                      </a:graphic>
                    </wp:anchor>
                  </w:drawing>
                </mc:Choice>
                <mc:Fallback>
                  <w:pict>
                    <v:shape id="文本框 610" o:spid="_x0000_s1026" o:spt="202" type="#_x0000_t202" style="position:absolute;left:0pt;margin-left:251.6pt;margin-top:2.45pt;height:21.3pt;width:35.75pt;z-index:251684864;mso-width-relative:page;mso-height-relative:page;" filled="f" stroked="f" coordsize="21600,21600" o:gfxdata="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rLc4M9YAAAAIAQAADwAAAAAAAAABACAAAAAiAAAAZHJzL2Rvd25yZXYueG1sUEsBAhQA&#10;FAAAAAgAh07iQM6Ul1C7AQAAbAMAAA4AAAAAAAAAAQAgAAAAJQEAAGRycy9lMm9Eb2MueG1sUEsF&#10;BgAAAAAGAAYAWQEAAFIFAAAAAA==&#10;">
                      <v:fill on="f" focussize="0,0"/>
                      <v:stroke on="f"/>
                      <v:imagedata o:title=""/>
                      <o:lock v:ext="edit" aspectratio="f"/>
                      <v:textbox>
                        <w:txbxContent>
                          <w:p>
                            <w:pPr>
                              <w:rPr>
                                <w:sz w:val="18"/>
                                <w:szCs w:val="18"/>
                              </w:rPr>
                            </w:pPr>
                            <w:r>
                              <w:rPr>
                                <w:rFonts w:hint="eastAsia" w:ascii="Calibri" w:hAnsi="Calibri"/>
                                <w:sz w:val="18"/>
                                <w:szCs w:val="18"/>
                              </w:rPr>
                              <w:t>0.27</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3221355</wp:posOffset>
                      </wp:positionH>
                      <wp:positionV relativeFrom="paragraph">
                        <wp:posOffset>207645</wp:posOffset>
                      </wp:positionV>
                      <wp:extent cx="427990" cy="635"/>
                      <wp:effectExtent l="0" t="37465" r="10160" b="38100"/>
                      <wp:wrapNone/>
                      <wp:docPr id="104" name="直线 67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77850" cy="635"/>
                              </a:xfrm>
                              <a:prstGeom prst="line">
                                <a:avLst/>
                              </a:prstGeom>
                              <a:ln w="12700" cap="flat" cmpd="sng">
                                <a:solidFill>
                                  <a:srgbClr val="000000"/>
                                </a:solidFill>
                                <a:prstDash val="solid"/>
                                <a:headEnd type="none" w="med" len="med"/>
                                <a:tailEnd type="triangle" w="med" len="med"/>
                              </a:ln>
                              <a:effectLst/>
                            </wps:spPr>
                            <wps:bodyPr/>
                          </wps:wsp>
                        </a:graphicData>
                      </a:graphic>
                    </wp:anchor>
                  </w:drawing>
                </mc:Choice>
                <mc:Fallback>
                  <w:pict>
                    <v:line id="直线 674" o:spid="_x0000_s1026" o:spt="20" style="position:absolute;left:0pt;margin-left:253.65pt;margin-top:16.35pt;height:0.05pt;width:33.7pt;z-index:251663360;mso-width-relative:page;mso-height-relative:page;" filled="f" stroked="t" coordsize="21600,21600" o:gfxdata="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fYhB/YAAAACQEAAA8AAAAAAAAAAQAgAAAAIgAA&#10;AGRycy9kb3ducmV2LnhtbFBLAQIUABQAAAAIAIdO4kDB54SICAIAABYEAAAOAAAAAAAAAAEAIAAA&#10;ACcBAABkcnMvZTJvRG9jLnhtbFBLBQYAAAAABgAGAFkBAAChBQAAAAA=&#10;">
                      <v:fill on="f" focussize="0,0"/>
                      <v:stroke weight="1pt" color="#000000" joinstyle="round" endarrow="block"/>
                      <v:imagedata o:title=""/>
                      <o:lock v:ext="edit" aspectratio="t"/>
                    </v:line>
                  </w:pict>
                </mc:Fallback>
              </mc:AlternateContent>
            </w:r>
            <w:r>
              <w:rPr>
                <w:rFonts w:eastAsia="黑体"/>
                <w:bCs/>
                <w:sz w:val="22"/>
                <w:szCs w:val="22"/>
              </w:rPr>
              <mc:AlternateContent>
                <mc:Choice Requires="wps">
                  <w:drawing>
                    <wp:anchor distT="0" distB="0" distL="114300" distR="114300" simplePos="0" relativeHeight="251707392" behindDoc="0" locked="0" layoutInCell="1" allowOverlap="1">
                      <wp:simplePos x="0" y="0"/>
                      <wp:positionH relativeFrom="column">
                        <wp:posOffset>2311400</wp:posOffset>
                      </wp:positionH>
                      <wp:positionV relativeFrom="paragraph">
                        <wp:posOffset>78740</wp:posOffset>
                      </wp:positionV>
                      <wp:extent cx="909955" cy="247650"/>
                      <wp:effectExtent l="4445" t="4445" r="19050" b="14605"/>
                      <wp:wrapNone/>
                      <wp:docPr id="28" name="文本框 45"/>
                      <wp:cNvGraphicFramePr/>
                      <a:graphic xmlns:a="http://schemas.openxmlformats.org/drawingml/2006/main">
                        <a:graphicData uri="http://schemas.microsoft.com/office/word/2010/wordprocessingShape">
                          <wps:wsp>
                            <wps:cNvSpPr txBox="1"/>
                            <wps:spPr>
                              <a:xfrm>
                                <a:off x="0" y="0"/>
                                <a:ext cx="909955" cy="2476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53" w:leftChars="-25" w:right="-53" w:rightChars="-25"/>
                                    <w:jc w:val="center"/>
                                    <w:rPr>
                                      <w:sz w:val="18"/>
                                      <w:szCs w:val="18"/>
                                    </w:rPr>
                                  </w:pPr>
                                  <w:r>
                                    <w:rPr>
                                      <w:rFonts w:hint="eastAsia" w:ascii="Calibri" w:hAnsi="Calibri" w:cs="宋体"/>
                                      <w:sz w:val="18"/>
                                      <w:szCs w:val="18"/>
                                    </w:rPr>
                                    <w:t>化 粪 池</w:t>
                                  </w:r>
                                </w:p>
                              </w:txbxContent>
                            </wps:txbx>
                            <wps:bodyPr upright="1"/>
                          </wps:wsp>
                        </a:graphicData>
                      </a:graphic>
                    </wp:anchor>
                  </w:drawing>
                </mc:Choice>
                <mc:Fallback>
                  <w:pict>
                    <v:shape id="文本框 45" o:spid="_x0000_s1026" o:spt="202" type="#_x0000_t202" style="position:absolute;left:0pt;margin-left:182pt;margin-top:6.2pt;height:19.5pt;width:71.65pt;z-index:251707392;mso-width-relative:page;mso-height-relative:page;" fillcolor="#FFFFFF" filled="t" stroked="t" coordsize="21600,21600" o:gfxdata="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onrS92QAAAAkBAAAPAAAAAAAAAAEA&#10;IAAAACIAAABkcnMvZG93bnJldi54bWxQSwECFAAUAAAACACHTuJAxcJhGA4CAAA3BAAADgAAAAAA&#10;AAABACAAAAAoAQAAZHJzL2Uyb0RvYy54bWxQSwUGAAAAAAYABgBZAQAAqAUAAAAA&#10;">
                      <v:fill on="t" focussize="0,0"/>
                      <v:stroke color="#000000" joinstyle="miter"/>
                      <v:imagedata o:title=""/>
                      <o:lock v:ext="edit" aspectratio="f"/>
                      <v:textbox>
                        <w:txbxContent>
                          <w:p>
                            <w:pPr>
                              <w:ind w:left="-53" w:leftChars="-25" w:right="-53" w:rightChars="-25"/>
                              <w:jc w:val="center"/>
                              <w:rPr>
                                <w:sz w:val="18"/>
                                <w:szCs w:val="18"/>
                              </w:rPr>
                            </w:pPr>
                            <w:r>
                              <w:rPr>
                                <w:rFonts w:hint="eastAsia" w:ascii="Calibri" w:hAnsi="Calibri" w:cs="宋体"/>
                                <w:sz w:val="18"/>
                                <w:szCs w:val="18"/>
                              </w:rPr>
                              <w:t>化 粪 池</w:t>
                            </w:r>
                          </w:p>
                        </w:txbxContent>
                      </v:textbox>
                    </v:shape>
                  </w:pict>
                </mc:Fallback>
              </mc:AlternateContent>
            </w:r>
            <w:r>
              <w:rPr>
                <w:rFonts w:eastAsia="黑体"/>
                <w:bCs/>
                <w:sz w:val="22"/>
                <w:szCs w:val="22"/>
              </w:rPr>
              <mc:AlternateContent>
                <mc:Choice Requires="wps">
                  <w:drawing>
                    <wp:anchor distT="0" distB="0" distL="114300" distR="114300" simplePos="0" relativeHeight="251706368" behindDoc="0" locked="0" layoutInCell="1" allowOverlap="1">
                      <wp:simplePos x="0" y="0"/>
                      <wp:positionH relativeFrom="column">
                        <wp:posOffset>1852930</wp:posOffset>
                      </wp:positionH>
                      <wp:positionV relativeFrom="paragraph">
                        <wp:posOffset>31115</wp:posOffset>
                      </wp:positionV>
                      <wp:extent cx="461645" cy="270510"/>
                      <wp:effectExtent l="0" t="0" r="0" b="0"/>
                      <wp:wrapNone/>
                      <wp:docPr id="27" name="文本框 44"/>
                      <wp:cNvGraphicFramePr/>
                      <a:graphic xmlns:a="http://schemas.openxmlformats.org/drawingml/2006/main">
                        <a:graphicData uri="http://schemas.microsoft.com/office/word/2010/wordprocessingShape">
                          <wps:wsp>
                            <wps:cNvSpPr txBox="1"/>
                            <wps:spPr>
                              <a:xfrm>
                                <a:off x="0" y="0"/>
                                <a:ext cx="461645" cy="270510"/>
                              </a:xfrm>
                              <a:prstGeom prst="rect">
                                <a:avLst/>
                              </a:prstGeom>
                              <a:noFill/>
                              <a:ln>
                                <a:noFill/>
                              </a:ln>
                            </wps:spPr>
                            <wps:txbx>
                              <w:txbxContent>
                                <w:p>
                                  <w:pPr>
                                    <w:rPr>
                                      <w:sz w:val="18"/>
                                      <w:szCs w:val="18"/>
                                    </w:rPr>
                                  </w:pPr>
                                  <w:r>
                                    <w:rPr>
                                      <w:rFonts w:hint="eastAsia" w:ascii="Calibri" w:hAnsi="Calibri"/>
                                      <w:sz w:val="18"/>
                                      <w:szCs w:val="18"/>
                                    </w:rPr>
                                    <w:t>0.27</w:t>
                                  </w:r>
                                </w:p>
                              </w:txbxContent>
                            </wps:txbx>
                            <wps:bodyPr upright="1"/>
                          </wps:wsp>
                        </a:graphicData>
                      </a:graphic>
                    </wp:anchor>
                  </w:drawing>
                </mc:Choice>
                <mc:Fallback>
                  <w:pict>
                    <v:shape id="文本框 44" o:spid="_x0000_s1026" o:spt="202" type="#_x0000_t202" style="position:absolute;left:0pt;margin-left:145.9pt;margin-top:2.45pt;height:21.3pt;width:36.35pt;z-index:251706368;mso-width-relative:page;mso-height-relative:page;" filled="f" stroked="f" coordsize="21600,21600" o:gfxdata="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I9jkNYA&#10;AAAIAQAADwAAAAAAAAABACAAAAAiAAAAZHJzL2Rvd25yZXYueG1sUEsBAhQAFAAAAAgAh07iQD9s&#10;xvyvAQAATwMAAA4AAAAAAAAAAQAgAAAAJQEAAGRycy9lMm9Eb2MueG1sUEsFBgAAAAAGAAYAWQEA&#10;AEYFAAAAAA==&#10;">
                      <v:fill on="f" focussize="0,0"/>
                      <v:stroke on="f"/>
                      <v:imagedata o:title=""/>
                      <o:lock v:ext="edit" aspectratio="f"/>
                      <v:textbox>
                        <w:txbxContent>
                          <w:p>
                            <w:pPr>
                              <w:rPr>
                                <w:sz w:val="18"/>
                                <w:szCs w:val="18"/>
                              </w:rPr>
                            </w:pPr>
                            <w:r>
                              <w:rPr>
                                <w:rFonts w:hint="eastAsia" w:ascii="Calibri" w:hAnsi="Calibri"/>
                                <w:sz w:val="18"/>
                                <w:szCs w:val="18"/>
                              </w:rPr>
                              <w:t>0.27</w:t>
                            </w:r>
                          </w:p>
                        </w:txbxContent>
                      </v:textbox>
                    </v:shape>
                  </w:pict>
                </mc:Fallback>
              </mc:AlternateContent>
            </w:r>
            <w:r>
              <w:rPr>
                <w:rFonts w:eastAsia="黑体"/>
                <w:bCs/>
                <w:sz w:val="22"/>
                <w:szCs w:val="22"/>
              </w:rPr>
              <mc:AlternateContent>
                <mc:Choice Requires="wps">
                  <w:drawing>
                    <wp:anchor distT="0" distB="0" distL="114300" distR="114300" simplePos="0" relativeHeight="251704320" behindDoc="0" locked="0" layoutInCell="1" allowOverlap="1">
                      <wp:simplePos x="0" y="0"/>
                      <wp:positionH relativeFrom="column">
                        <wp:posOffset>1899285</wp:posOffset>
                      </wp:positionH>
                      <wp:positionV relativeFrom="paragraph">
                        <wp:posOffset>215265</wp:posOffset>
                      </wp:positionV>
                      <wp:extent cx="412750" cy="0"/>
                      <wp:effectExtent l="0" t="38100" r="6350" b="38100"/>
                      <wp:wrapNone/>
                      <wp:docPr id="25" name="直线 4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412750" cy="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42" o:spid="_x0000_s1026" o:spt="20" style="position:absolute;left:0pt;margin-left:149.55pt;margin-top:16.95pt;height:0pt;width:32.5pt;z-index:251704320;mso-width-relative:page;mso-height-relative:page;" filled="f" stroked="t" coordsize="21600,21600" o:gfxdata="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V3UB9cAAAAJAQAADwAAAAAAAAABACAAAAAiAAAAZHJz&#10;L2Rvd25yZXYueG1sUEsBAhQAFAAAAAgAh07iQCSGSP8FAgAAEAQAAA4AAAAAAAAAAQAgAAAAJgEA&#10;AGRycy9lMm9Eb2MueG1sUEsFBgAAAAAGAAYAWQEAAJ0FAAAAAA==&#10;">
                      <v:fill on="f" focussize="0,0"/>
                      <v:stroke weight="1pt" color="#000000" joinstyle="round" endarrow="block"/>
                      <v:imagedata o:title=""/>
                      <o:lock v:ext="edit" aspectratio="t"/>
                    </v:line>
                  </w:pict>
                </mc:Fallback>
              </mc:AlternateContent>
            </w:r>
            <w:r>
              <w:rPr>
                <w:rFonts w:eastAsia="黑体"/>
                <w:bCs/>
                <w:sz w:val="22"/>
                <w:szCs w:val="22"/>
              </w:rPr>
              <mc:AlternateContent>
                <mc:Choice Requires="wps">
                  <w:drawing>
                    <wp:anchor distT="0" distB="0" distL="114300" distR="114300" simplePos="0" relativeHeight="251703296" behindDoc="0" locked="0" layoutInCell="1" allowOverlap="1">
                      <wp:simplePos x="0" y="0"/>
                      <wp:positionH relativeFrom="column">
                        <wp:posOffset>1268095</wp:posOffset>
                      </wp:positionH>
                      <wp:positionV relativeFrom="paragraph">
                        <wp:posOffset>78740</wp:posOffset>
                      </wp:positionV>
                      <wp:extent cx="625475" cy="247650"/>
                      <wp:effectExtent l="4445" t="4445" r="17780" b="14605"/>
                      <wp:wrapNone/>
                      <wp:docPr id="24" name="文本框 41"/>
                      <wp:cNvGraphicFramePr/>
                      <a:graphic xmlns:a="http://schemas.openxmlformats.org/drawingml/2006/main">
                        <a:graphicData uri="http://schemas.microsoft.com/office/word/2010/wordprocessingShape">
                          <wps:wsp>
                            <wps:cNvSpPr txBox="1"/>
                            <wps:spPr>
                              <a:xfrm>
                                <a:off x="0" y="0"/>
                                <a:ext cx="625475" cy="2476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53" w:leftChars="-25" w:right="-53" w:rightChars="-25"/>
                                    <w:jc w:val="center"/>
                                    <w:rPr>
                                      <w:sz w:val="18"/>
                                      <w:szCs w:val="18"/>
                                    </w:rPr>
                                  </w:pPr>
                                  <w:r>
                                    <w:rPr>
                                      <w:rFonts w:hint="eastAsia" w:ascii="Calibri" w:hAnsi="Calibri" w:cs="宋体"/>
                                      <w:sz w:val="18"/>
                                      <w:szCs w:val="18"/>
                                    </w:rPr>
                                    <w:t>生活用水</w:t>
                                  </w:r>
                                </w:p>
                              </w:txbxContent>
                            </wps:txbx>
                            <wps:bodyPr upright="1"/>
                          </wps:wsp>
                        </a:graphicData>
                      </a:graphic>
                    </wp:anchor>
                  </w:drawing>
                </mc:Choice>
                <mc:Fallback>
                  <w:pict>
                    <v:shape id="文本框 41" o:spid="_x0000_s1026" o:spt="202" type="#_x0000_t202" style="position:absolute;left:0pt;margin-left:99.85pt;margin-top:6.2pt;height:19.5pt;width:49.25pt;z-index:251703296;mso-width-relative:page;mso-height-relative:page;" fillcolor="#FFFFFF" filled="t" stroked="t" coordsize="21600,21600" o:gfxdata="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JSVRbYAAAACQEAAA8AAAAAAAAAAQAg&#10;AAAAIgAAAGRycy9kb3ducmV2LnhtbFBLAQIUABQAAAAIAIdO4kAJFJnHDgIAADcEAAAOAAAAAAAA&#10;AAEAIAAAACcBAABkcnMvZTJvRG9jLnhtbFBLBQYAAAAABgAGAFkBAACnBQAAAAA=&#10;">
                      <v:fill on="t" focussize="0,0"/>
                      <v:stroke color="#000000" joinstyle="miter"/>
                      <v:imagedata o:title=""/>
                      <o:lock v:ext="edit" aspectratio="f"/>
                      <v:textbox>
                        <w:txbxContent>
                          <w:p>
                            <w:pPr>
                              <w:ind w:left="-53" w:leftChars="-25" w:right="-53" w:rightChars="-25"/>
                              <w:jc w:val="center"/>
                              <w:rPr>
                                <w:sz w:val="18"/>
                                <w:szCs w:val="18"/>
                              </w:rPr>
                            </w:pPr>
                            <w:r>
                              <w:rPr>
                                <w:rFonts w:hint="eastAsia" w:ascii="Calibri" w:hAnsi="Calibri" w:cs="宋体"/>
                                <w:sz w:val="18"/>
                                <w:szCs w:val="18"/>
                              </w:rPr>
                              <w:t>生活用水</w:t>
                            </w:r>
                          </w:p>
                        </w:txbxContent>
                      </v:textbox>
                    </v:shape>
                  </w:pict>
                </mc:Fallback>
              </mc:AlternateContent>
            </w:r>
            <w:r>
              <w:rPr>
                <w:rFonts w:eastAsia="黑体"/>
                <w:bCs/>
                <w:sz w:val="22"/>
                <w:szCs w:val="22"/>
              </w:rPr>
              <mc:AlternateContent>
                <mc:Choice Requires="wps">
                  <w:drawing>
                    <wp:anchor distT="0" distB="0" distL="114300" distR="114300" simplePos="0" relativeHeight="251702272" behindDoc="0" locked="0" layoutInCell="1" allowOverlap="1">
                      <wp:simplePos x="0" y="0"/>
                      <wp:positionH relativeFrom="column">
                        <wp:posOffset>763270</wp:posOffset>
                      </wp:positionH>
                      <wp:positionV relativeFrom="paragraph">
                        <wp:posOffset>208280</wp:posOffset>
                      </wp:positionV>
                      <wp:extent cx="493395" cy="635"/>
                      <wp:effectExtent l="0" t="0" r="0" b="0"/>
                      <wp:wrapNone/>
                      <wp:docPr id="23" name="直线 4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493395" cy="63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40" o:spid="_x0000_s1026" o:spt="20" style="position:absolute;left:0pt;margin-left:60.1pt;margin-top:16.4pt;height:0.05pt;width:38.85pt;z-index:251702272;mso-width-relative:page;mso-height-relative:page;" filled="f" stroked="t" coordsize="21600,21600" o:gfxdata="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EjuUK1wAAAAkBAAAPAAAAAAAAAAEAIAAAACIAAABkcnMvZG93&#10;bnJldi54bWxQSwECFAAUAAAACACHTuJAJFAosgECAAAOBAAADgAAAAAAAAABACAAAAAmAQAAZHJz&#10;L2Uyb0RvYy54bWxQSwUGAAAAAAYABgBZAQAAmQUAAAAA&#10;">
                      <v:fill on="f" focussize="0,0"/>
                      <v:stroke weight="1pt" color="#000000" joinstyle="round"/>
                      <v:imagedata o:title=""/>
                      <o:lock v:ext="edit" aspectratio="t"/>
                    </v:line>
                  </w:pict>
                </mc:Fallback>
              </mc:AlternateContent>
            </w:r>
          </w:p>
          <w:p>
            <w:pPr>
              <w:autoSpaceDE w:val="0"/>
              <w:autoSpaceDN w:val="0"/>
              <w:adjustRightInd w:val="0"/>
              <w:snapToGrid w:val="0"/>
              <w:spacing w:line="406" w:lineRule="exact"/>
              <w:ind w:firstLine="440" w:firstLineChars="200"/>
              <w:jc w:val="left"/>
            </w:pPr>
            <w:r>
              <w:rPr>
                <w:sz w:val="22"/>
              </w:rPr>
              <mc:AlternateContent>
                <mc:Choice Requires="wps">
                  <w:drawing>
                    <wp:anchor distT="0" distB="0" distL="114300" distR="114300" simplePos="0" relativeHeight="251661312" behindDoc="0" locked="0" layoutInCell="1" allowOverlap="1">
                      <wp:simplePos x="0" y="0"/>
                      <wp:positionH relativeFrom="column">
                        <wp:posOffset>661035</wp:posOffset>
                      </wp:positionH>
                      <wp:positionV relativeFrom="paragraph">
                        <wp:posOffset>68580</wp:posOffset>
                      </wp:positionV>
                      <wp:extent cx="3869690" cy="396240"/>
                      <wp:effectExtent l="0" t="0" r="0" b="0"/>
                      <wp:wrapNone/>
                      <wp:docPr id="7" name="文本框 14"/>
                      <wp:cNvGraphicFramePr/>
                      <a:graphic xmlns:a="http://schemas.openxmlformats.org/drawingml/2006/main">
                        <a:graphicData uri="http://schemas.microsoft.com/office/word/2010/wordprocessingShape">
                          <wps:wsp>
                            <wps:cNvSpPr txBox="1"/>
                            <wps:spPr>
                              <a:xfrm>
                                <a:off x="0" y="0"/>
                                <a:ext cx="3869690" cy="396240"/>
                              </a:xfrm>
                              <a:prstGeom prst="rect">
                                <a:avLst/>
                              </a:prstGeom>
                              <a:noFill/>
                              <a:ln>
                                <a:noFill/>
                              </a:ln>
                              <a:effectLst/>
                            </wps:spPr>
                            <wps:txbx>
                              <w:txbxContent>
                                <w:p>
                                  <w:pPr>
                                    <w:spacing w:line="400" w:lineRule="exact"/>
                                    <w:jc w:val="center"/>
                                    <w:rPr>
                                      <w:rFonts w:ascii="黑体" w:hAnsi="宋体" w:eastAsia="黑体" w:cs="黑体"/>
                                      <w:spacing w:val="-16"/>
                                      <w:sz w:val="20"/>
                                      <w:szCs w:val="18"/>
                                    </w:rPr>
                                  </w:pPr>
                                  <w:r>
                                    <w:rPr>
                                      <w:rFonts w:hint="eastAsia" w:ascii="Calibri" w:hAnsi="Calibri" w:eastAsia="黑体" w:cs="黑体"/>
                                      <w:sz w:val="20"/>
                                      <w:szCs w:val="18"/>
                                    </w:rPr>
                                    <w:t>图</w:t>
                                  </w:r>
                                  <w:r>
                                    <w:rPr>
                                      <w:rFonts w:hint="eastAsia" w:ascii="Calibri" w:hAnsi="Calibri" w:eastAsia="黑体"/>
                                      <w:sz w:val="20"/>
                                      <w:szCs w:val="18"/>
                                    </w:rPr>
                                    <w:t>4</w:t>
                                  </w:r>
                                  <w:r>
                                    <w:rPr>
                                      <w:rFonts w:hint="eastAsia" w:ascii="Calibri" w:hAnsi="Calibri" w:eastAsia="黑体" w:cs="黑体"/>
                                      <w:sz w:val="20"/>
                                      <w:szCs w:val="18"/>
                                    </w:rPr>
                                    <w:t>：项目营运期水平衡</w:t>
                                  </w:r>
                                  <w:r>
                                    <w:rPr>
                                      <w:rFonts w:hint="eastAsia" w:ascii="Calibri" w:hAnsi="Calibri" w:eastAsia="黑体" w:cs="黑体"/>
                                      <w:bCs/>
                                      <w:sz w:val="20"/>
                                      <w:szCs w:val="18"/>
                                    </w:rPr>
                                    <w:t>图</w:t>
                                  </w:r>
                                  <w:r>
                                    <w:rPr>
                                      <w:rFonts w:eastAsia="黑体"/>
                                      <w:bCs/>
                                      <w:sz w:val="20"/>
                                      <w:szCs w:val="18"/>
                                    </w:rPr>
                                    <w:t>m</w:t>
                                  </w:r>
                                  <w:r>
                                    <w:rPr>
                                      <w:rFonts w:eastAsia="黑体"/>
                                      <w:bCs/>
                                      <w:sz w:val="20"/>
                                      <w:szCs w:val="18"/>
                                      <w:vertAlign w:val="superscript"/>
                                    </w:rPr>
                                    <w:t>3</w:t>
                                  </w:r>
                                  <w:r>
                                    <w:rPr>
                                      <w:rFonts w:eastAsia="黑体"/>
                                      <w:bCs/>
                                      <w:sz w:val="20"/>
                                      <w:szCs w:val="18"/>
                                    </w:rPr>
                                    <w:t>/</w:t>
                                  </w:r>
                                  <w:r>
                                    <w:rPr>
                                      <w:rFonts w:hint="eastAsia" w:eastAsia="黑体"/>
                                      <w:bCs/>
                                      <w:sz w:val="20"/>
                                      <w:szCs w:val="18"/>
                                    </w:rPr>
                                    <w:t>d</w:t>
                                  </w:r>
                                </w:p>
                                <w:p/>
                              </w:txbxContent>
                            </wps:txbx>
                            <wps:bodyPr upright="1"/>
                          </wps:wsp>
                        </a:graphicData>
                      </a:graphic>
                    </wp:anchor>
                  </w:drawing>
                </mc:Choice>
                <mc:Fallback>
                  <w:pict>
                    <v:shape id="文本框 14" o:spid="_x0000_s1026" o:spt="202" type="#_x0000_t202" style="position:absolute;left:0pt;margin-left:52.05pt;margin-top:5.4pt;height:31.2pt;width:304.7pt;z-index:251661312;mso-width-relative:page;mso-height-relative:page;" filled="f" stroked="f" coordsize="21600,21600" o:gfxdata="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yD&#10;YZTVAAAACQEAAA8AAAAAAAAAAQAgAAAAIgAAAGRycy9kb3ducmV2LnhtbFBLAQIUABQAAAAIAIdO&#10;4kApC8OGtAEAAF0DAAAOAAAAAAAAAAEAIAAAACQBAABkcnMvZTJvRG9jLnhtbFBLBQYAAAAABgAG&#10;AFkBAABKBQAAAAA=&#10;">
                      <v:fill on="f" focussize="0,0"/>
                      <v:stroke on="f"/>
                      <v:imagedata o:title=""/>
                      <o:lock v:ext="edit" aspectratio="f"/>
                      <v:textbox>
                        <w:txbxContent>
                          <w:p>
                            <w:pPr>
                              <w:spacing w:line="400" w:lineRule="exact"/>
                              <w:jc w:val="center"/>
                              <w:rPr>
                                <w:rFonts w:ascii="黑体" w:hAnsi="宋体" w:eastAsia="黑体" w:cs="黑体"/>
                                <w:spacing w:val="-16"/>
                                <w:sz w:val="20"/>
                                <w:szCs w:val="18"/>
                              </w:rPr>
                            </w:pPr>
                            <w:r>
                              <w:rPr>
                                <w:rFonts w:hint="eastAsia" w:ascii="Calibri" w:hAnsi="Calibri" w:eastAsia="黑体" w:cs="黑体"/>
                                <w:sz w:val="20"/>
                                <w:szCs w:val="18"/>
                              </w:rPr>
                              <w:t>图</w:t>
                            </w:r>
                            <w:r>
                              <w:rPr>
                                <w:rFonts w:hint="eastAsia" w:ascii="Calibri" w:hAnsi="Calibri" w:eastAsia="黑体"/>
                                <w:sz w:val="20"/>
                                <w:szCs w:val="18"/>
                              </w:rPr>
                              <w:t>4</w:t>
                            </w:r>
                            <w:r>
                              <w:rPr>
                                <w:rFonts w:hint="eastAsia" w:ascii="Calibri" w:hAnsi="Calibri" w:eastAsia="黑体" w:cs="黑体"/>
                                <w:sz w:val="20"/>
                                <w:szCs w:val="18"/>
                              </w:rPr>
                              <w:t>：项目营运期水平衡</w:t>
                            </w:r>
                            <w:r>
                              <w:rPr>
                                <w:rFonts w:hint="eastAsia" w:ascii="Calibri" w:hAnsi="Calibri" w:eastAsia="黑体" w:cs="黑体"/>
                                <w:bCs/>
                                <w:sz w:val="20"/>
                                <w:szCs w:val="18"/>
                              </w:rPr>
                              <w:t>图</w:t>
                            </w:r>
                            <w:r>
                              <w:rPr>
                                <w:rFonts w:eastAsia="黑体"/>
                                <w:bCs/>
                                <w:sz w:val="20"/>
                                <w:szCs w:val="18"/>
                              </w:rPr>
                              <w:t>m</w:t>
                            </w:r>
                            <w:r>
                              <w:rPr>
                                <w:rFonts w:eastAsia="黑体"/>
                                <w:bCs/>
                                <w:sz w:val="20"/>
                                <w:szCs w:val="18"/>
                                <w:vertAlign w:val="superscript"/>
                              </w:rPr>
                              <w:t>3</w:t>
                            </w:r>
                            <w:r>
                              <w:rPr>
                                <w:rFonts w:eastAsia="黑体"/>
                                <w:bCs/>
                                <w:sz w:val="20"/>
                                <w:szCs w:val="18"/>
                              </w:rPr>
                              <w:t>/</w:t>
                            </w:r>
                            <w:r>
                              <w:rPr>
                                <w:rFonts w:hint="eastAsia" w:eastAsia="黑体"/>
                                <w:bCs/>
                                <w:sz w:val="20"/>
                                <w:szCs w:val="18"/>
                              </w:rPr>
                              <w:t>d</w:t>
                            </w:r>
                          </w:p>
                          <w:p/>
                        </w:txbxContent>
                      </v:textbox>
                    </v:shape>
                  </w:pict>
                </mc:Fallback>
              </mc:AlternateContent>
            </w:r>
          </w:p>
          <w:p>
            <w:pPr>
              <w:adjustRightInd w:val="0"/>
              <w:snapToGrid w:val="0"/>
              <w:spacing w:line="390" w:lineRule="exact"/>
              <w:ind w:left="-53" w:leftChars="-25" w:right="-53" w:rightChars="-25"/>
              <w:jc w:val="left"/>
              <w:rPr>
                <w:rFonts w:hint="eastAsia" w:eastAsia="黑体"/>
                <w:bCs/>
                <w:sz w:val="22"/>
                <w:szCs w:val="22"/>
              </w:rPr>
            </w:pPr>
          </w:p>
          <w:p>
            <w:pPr>
              <w:adjustRightInd w:val="0"/>
              <w:snapToGrid w:val="0"/>
              <w:spacing w:line="390" w:lineRule="exact"/>
              <w:ind w:left="-53" w:leftChars="-25" w:right="-53" w:rightChars="-25"/>
              <w:jc w:val="left"/>
              <w:rPr>
                <w:rFonts w:eastAsia="黑体"/>
                <w:bCs/>
                <w:szCs w:val="21"/>
              </w:rPr>
            </w:pPr>
            <w:r>
              <w:rPr>
                <w:rFonts w:hint="eastAsia" w:eastAsia="黑体"/>
                <w:bCs/>
                <w:sz w:val="22"/>
                <w:szCs w:val="22"/>
              </w:rPr>
              <w:t>8</w:t>
            </w:r>
            <w:r>
              <w:rPr>
                <w:rFonts w:eastAsia="黑体"/>
                <w:bCs/>
                <w:sz w:val="22"/>
                <w:szCs w:val="22"/>
              </w:rPr>
              <w:t>、劳动</w:t>
            </w:r>
            <w:r>
              <w:rPr>
                <w:rFonts w:eastAsia="黑体"/>
                <w:bCs/>
                <w:szCs w:val="21"/>
              </w:rPr>
              <w:t>定员及工作制度</w:t>
            </w:r>
          </w:p>
          <w:p>
            <w:pPr>
              <w:autoSpaceDE w:val="0"/>
              <w:autoSpaceDN w:val="0"/>
              <w:adjustRightInd w:val="0"/>
              <w:snapToGrid w:val="0"/>
              <w:spacing w:line="390" w:lineRule="exact"/>
              <w:ind w:firstLine="420" w:firstLineChars="200"/>
              <w:jc w:val="left"/>
              <w:rPr>
                <w:kern w:val="0"/>
                <w:szCs w:val="21"/>
              </w:rPr>
            </w:pPr>
            <w:r>
              <w:rPr>
                <w:kern w:val="0"/>
                <w:szCs w:val="21"/>
              </w:rPr>
              <w:t>劳动定员：项目设工作人员</w:t>
            </w:r>
            <w:r>
              <w:rPr>
                <w:rFonts w:hint="eastAsia"/>
                <w:kern w:val="0"/>
                <w:szCs w:val="21"/>
              </w:rPr>
              <w:t>6</w:t>
            </w:r>
            <w:r>
              <w:rPr>
                <w:kern w:val="0"/>
                <w:szCs w:val="21"/>
              </w:rPr>
              <w:t>人。</w:t>
            </w:r>
          </w:p>
          <w:p>
            <w:pPr>
              <w:autoSpaceDE w:val="0"/>
              <w:autoSpaceDN w:val="0"/>
              <w:adjustRightInd w:val="0"/>
              <w:snapToGrid w:val="0"/>
              <w:spacing w:line="390" w:lineRule="exact"/>
              <w:ind w:firstLine="420" w:firstLineChars="200"/>
              <w:jc w:val="left"/>
              <w:rPr>
                <w:kern w:val="0"/>
                <w:szCs w:val="21"/>
              </w:rPr>
            </w:pPr>
            <w:r>
              <w:rPr>
                <w:kern w:val="0"/>
                <w:szCs w:val="21"/>
              </w:rPr>
              <w:t>工作制度：</w:t>
            </w:r>
            <w:r>
              <w:rPr>
                <w:rFonts w:hint="eastAsia"/>
                <w:kern w:val="0"/>
                <w:szCs w:val="21"/>
              </w:rPr>
              <w:t>建成</w:t>
            </w:r>
            <w:r>
              <w:rPr>
                <w:kern w:val="0"/>
                <w:szCs w:val="21"/>
              </w:rPr>
              <w:t>投产后，</w:t>
            </w:r>
            <w:r>
              <w:rPr>
                <w:rFonts w:hint="eastAsia"/>
                <w:kern w:val="0"/>
                <w:szCs w:val="21"/>
              </w:rPr>
              <w:t>采取8小时工作制、300天/年</w:t>
            </w:r>
            <w:r>
              <w:rPr>
                <w:kern w:val="0"/>
                <w:szCs w:val="21"/>
              </w:rPr>
              <w:t>，年工作</w:t>
            </w:r>
            <w:r>
              <w:rPr>
                <w:rFonts w:hint="eastAsia"/>
                <w:kern w:val="0"/>
                <w:szCs w:val="21"/>
              </w:rPr>
              <w:t>时长2400小时</w:t>
            </w:r>
            <w:r>
              <w:rPr>
                <w:kern w:val="0"/>
                <w:szCs w:val="21"/>
              </w:rPr>
              <w:t>。</w:t>
            </w:r>
          </w:p>
          <w:p>
            <w:pPr>
              <w:adjustRightInd w:val="0"/>
              <w:snapToGrid w:val="0"/>
              <w:spacing w:line="390" w:lineRule="exact"/>
              <w:ind w:left="-53" w:leftChars="-25" w:right="-53" w:rightChars="-25"/>
              <w:jc w:val="left"/>
              <w:rPr>
                <w:rFonts w:eastAsia="黑体"/>
                <w:bCs/>
                <w:szCs w:val="21"/>
              </w:rPr>
            </w:pPr>
            <w:r>
              <w:rPr>
                <w:rFonts w:hint="eastAsia" w:eastAsia="黑体"/>
                <w:bCs/>
                <w:szCs w:val="21"/>
              </w:rPr>
              <w:t>9</w:t>
            </w:r>
            <w:r>
              <w:rPr>
                <w:rFonts w:eastAsia="黑体"/>
                <w:bCs/>
                <w:szCs w:val="21"/>
              </w:rPr>
              <w:t>、平面布置情况</w:t>
            </w:r>
            <w:r>
              <w:rPr>
                <w:rFonts w:hint="eastAsia" w:eastAsia="黑体"/>
                <w:bCs/>
                <w:szCs w:val="21"/>
              </w:rPr>
              <w:t>及合理性</w:t>
            </w:r>
          </w:p>
          <w:p>
            <w:pPr>
              <w:autoSpaceDE w:val="0"/>
              <w:autoSpaceDN w:val="0"/>
              <w:adjustRightInd w:val="0"/>
              <w:snapToGrid w:val="0"/>
              <w:spacing w:line="420" w:lineRule="exact"/>
              <w:ind w:firstLine="420" w:firstLineChars="200"/>
              <w:jc w:val="left"/>
              <w:rPr>
                <w:kern w:val="0"/>
                <w:szCs w:val="21"/>
              </w:rPr>
            </w:pPr>
            <w:r>
              <w:rPr>
                <w:rFonts w:hint="eastAsia"/>
                <w:kern w:val="0"/>
                <w:szCs w:val="21"/>
              </w:rPr>
              <w:t>经现场踏勘，项目区位于东岳电厂北面。总体平面布置情况叙述如下：</w:t>
            </w:r>
          </w:p>
          <w:p>
            <w:pPr>
              <w:autoSpaceDE w:val="0"/>
              <w:autoSpaceDN w:val="0"/>
              <w:adjustRightInd w:val="0"/>
              <w:snapToGrid w:val="0"/>
              <w:spacing w:line="420" w:lineRule="exact"/>
              <w:ind w:firstLine="420" w:firstLineChars="200"/>
              <w:jc w:val="left"/>
              <w:rPr>
                <w:kern w:val="0"/>
                <w:szCs w:val="21"/>
              </w:rPr>
            </w:pPr>
            <w:r>
              <w:rPr>
                <w:rFonts w:hint="eastAsia"/>
                <w:kern w:val="0"/>
                <w:szCs w:val="21"/>
              </w:rPr>
              <w:t>项目用地总体上呈南北走向的长方形，场区内地势较平坦。进场道路位于占地南面，接附近东面魏复路，该处地势较低。项目储煤棚位于占地中部及北面，储煤棚为封闭式建筑，可有效避免雨水对煤炭的冲刷。储煤棚南侧为回车场。场地散水收集沉淀池位于储煤棚南侧的</w:t>
            </w:r>
            <w:r>
              <w:rPr>
                <w:rFonts w:hint="eastAsia"/>
                <w:kern w:val="0"/>
                <w:szCs w:val="21"/>
                <w:lang w:eastAsia="zh-CN"/>
              </w:rPr>
              <w:t>进场</w:t>
            </w:r>
            <w:r>
              <w:rPr>
                <w:rFonts w:hint="eastAsia"/>
                <w:kern w:val="0"/>
                <w:szCs w:val="21"/>
              </w:rPr>
              <w:t>道路旁。此处地势较低，通过设置散水收集沟，能够确保散水自流汇入沉淀池，处理后回用。厂区内将车辆冲洗设施及办公室布置在进场道路旁，便于运输车辆的扬尘控制和运输货物的登记管理。</w:t>
            </w:r>
          </w:p>
          <w:p>
            <w:pPr>
              <w:autoSpaceDE w:val="0"/>
              <w:autoSpaceDN w:val="0"/>
              <w:adjustRightInd w:val="0"/>
              <w:snapToGrid w:val="0"/>
              <w:spacing w:line="420" w:lineRule="exact"/>
              <w:ind w:firstLine="420" w:firstLineChars="200"/>
              <w:jc w:val="left"/>
              <w:rPr>
                <w:kern w:val="0"/>
                <w:szCs w:val="21"/>
              </w:rPr>
            </w:pPr>
            <w:r>
              <w:rPr>
                <w:rFonts w:hint="eastAsia"/>
                <w:kern w:val="0"/>
                <w:szCs w:val="21"/>
              </w:rPr>
              <w:t>本项目平面布置功能分区清晰，物流短捷，布局上便于煤炭的堆存和外运，环保设施的布置尽量覆盖整个厂区及各污染环节，减小污染影响</w:t>
            </w:r>
            <w:r>
              <w:rPr>
                <w:kern w:val="0"/>
                <w:szCs w:val="21"/>
              </w:rPr>
              <w:t>。</w:t>
            </w:r>
          </w:p>
          <w:p>
            <w:pPr>
              <w:autoSpaceDE w:val="0"/>
              <w:autoSpaceDN w:val="0"/>
              <w:adjustRightInd w:val="0"/>
              <w:snapToGrid w:val="0"/>
              <w:spacing w:line="420" w:lineRule="exact"/>
              <w:ind w:firstLine="420" w:firstLineChars="200"/>
              <w:jc w:val="left"/>
              <w:rPr>
                <w:kern w:val="0"/>
                <w:szCs w:val="21"/>
              </w:rPr>
            </w:pPr>
            <w:r>
              <w:rPr>
                <w:kern w:val="0"/>
                <w:szCs w:val="21"/>
              </w:rPr>
              <w:t>项目平面布置情况见下图：</w:t>
            </w:r>
          </w:p>
          <w:p>
            <w:pPr>
              <w:adjustRightInd w:val="0"/>
              <w:snapToGrid w:val="0"/>
              <w:jc w:val="center"/>
              <w:rPr>
                <w:b/>
                <w:bCs/>
                <w:szCs w:val="21"/>
              </w:rPr>
            </w:pPr>
            <w:r>
              <w:drawing>
                <wp:inline distT="0" distB="0" distL="0" distR="0">
                  <wp:extent cx="4789170" cy="33489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4789713" cy="3349473"/>
                          </a:xfrm>
                          <a:prstGeom prst="rect">
                            <a:avLst/>
                          </a:prstGeom>
                        </pic:spPr>
                      </pic:pic>
                    </a:graphicData>
                  </a:graphic>
                </wp:inline>
              </w:drawing>
            </w:r>
          </w:p>
          <w:p>
            <w:pPr>
              <w:pStyle w:val="15"/>
              <w:spacing w:after="0"/>
            </w:pPr>
            <w:r>
              <w:rPr>
                <w:rFonts w:eastAsia="黑体"/>
                <w:bCs/>
                <w:sz w:val="24"/>
              </w:rPr>
              <mc:AlternateContent>
                <mc:Choice Requires="wps">
                  <w:drawing>
                    <wp:anchor distT="0" distB="0" distL="114300" distR="114300" simplePos="0" relativeHeight="251659264" behindDoc="0" locked="0" layoutInCell="1" allowOverlap="1">
                      <wp:simplePos x="0" y="0"/>
                      <wp:positionH relativeFrom="column">
                        <wp:posOffset>1174750</wp:posOffset>
                      </wp:positionH>
                      <wp:positionV relativeFrom="paragraph">
                        <wp:posOffset>0</wp:posOffset>
                      </wp:positionV>
                      <wp:extent cx="2462530" cy="26924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2462530"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黑体" w:hAnsi="黑体" w:eastAsia="黑体"/>
                                      <w:sz w:val="18"/>
                                      <w:szCs w:val="21"/>
                                    </w:rPr>
                                  </w:pPr>
                                  <w:r>
                                    <w:rPr>
                                      <w:rFonts w:hint="eastAsia" w:ascii="黑体" w:hAnsi="黑体" w:eastAsia="黑体"/>
                                      <w:sz w:val="18"/>
                                      <w:szCs w:val="21"/>
                                    </w:rPr>
                                    <w:t>图5：项目厂区总平面布置图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5pt;margin-top:0pt;height:21.2pt;width:193.9pt;z-index:251659264;mso-width-relative:page;mso-height-relative:page;" filled="f" stroked="f" coordsize="21600,21600" o:gfxdata="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2//nG2AAAAAcBAAAPAAAAAAAAAAEAIAAAACIA&#10;AABkcnMvZG93bnJldi54bWxQSwECFAAUAAAACACHTuJAgAhJMEICAAB2BAAADgAAAAAAAAABACAA&#10;AAAnAQAAZHJzL2Uyb0RvYy54bWxQSwUGAAAAAAYABgBZAQAA2wUAAAAA&#10;">
                      <v:fill on="f" focussize="0,0"/>
                      <v:stroke on="f" weight="0.5pt"/>
                      <v:imagedata o:title=""/>
                      <o:lock v:ext="edit" aspectratio="f"/>
                      <v:textbox>
                        <w:txbxContent>
                          <w:p>
                            <w:pPr>
                              <w:jc w:val="center"/>
                              <w:rPr>
                                <w:rFonts w:ascii="黑体" w:hAnsi="黑体" w:eastAsia="黑体"/>
                                <w:sz w:val="18"/>
                                <w:szCs w:val="21"/>
                              </w:rPr>
                            </w:pPr>
                            <w:r>
                              <w:rPr>
                                <w:rFonts w:hint="eastAsia" w:ascii="黑体" w:hAnsi="黑体" w:eastAsia="黑体"/>
                                <w:sz w:val="18"/>
                                <w:szCs w:val="21"/>
                              </w:rPr>
                              <w:t>图5：项目厂区总平面布置图</w:t>
                            </w:r>
                          </w:p>
                        </w:txbxContent>
                      </v:textbox>
                    </v:shape>
                  </w:pict>
                </mc:Fallback>
              </mc:AlternateConten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718" w:type="dxa"/>
            <w:tcBorders>
              <w:top w:val="single" w:color="auto" w:sz="4" w:space="0"/>
              <w:left w:val="single" w:color="auto" w:sz="8" w:space="0"/>
              <w:bottom w:val="single" w:color="auto" w:sz="4" w:space="0"/>
              <w:right w:val="single" w:color="auto" w:sz="4" w:space="0"/>
            </w:tcBorders>
            <w:vAlign w:val="center"/>
          </w:tcPr>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工艺流程和产排污环节</w:t>
            </w: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工艺流程和产排污环节</w:t>
            </w: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tc>
        <w:tc>
          <w:tcPr>
            <w:tcW w:w="8089" w:type="dxa"/>
            <w:tcBorders>
              <w:top w:val="single" w:color="auto" w:sz="4" w:space="0"/>
              <w:left w:val="single" w:color="auto" w:sz="4" w:space="0"/>
              <w:bottom w:val="single" w:color="auto" w:sz="4" w:space="0"/>
              <w:right w:val="single" w:color="auto" w:sz="8" w:space="0"/>
            </w:tcBorders>
          </w:tcPr>
          <w:p>
            <w:pPr>
              <w:adjustRightInd w:val="0"/>
              <w:snapToGrid w:val="0"/>
              <w:spacing w:before="120" w:beforeLines="50" w:line="440" w:lineRule="exact"/>
              <w:ind w:left="-53" w:leftChars="-25" w:right="-53" w:rightChars="-25"/>
              <w:jc w:val="left"/>
              <w:rPr>
                <w:rFonts w:eastAsia="黑体"/>
                <w:bCs/>
                <w:sz w:val="24"/>
              </w:rPr>
            </w:pPr>
            <w:r>
              <w:rPr>
                <w:rFonts w:eastAsia="黑体"/>
                <w:bCs/>
                <w:sz w:val="22"/>
                <w:szCs w:val="22"/>
              </w:rPr>
              <w:t>1、施工期工艺流程</w:t>
            </w:r>
          </w:p>
          <w:p>
            <w:pPr>
              <w:autoSpaceDE w:val="0"/>
              <w:autoSpaceDN w:val="0"/>
              <w:adjustRightInd w:val="0"/>
              <w:snapToGrid w:val="0"/>
              <w:spacing w:line="440" w:lineRule="exact"/>
              <w:ind w:firstLine="420" w:firstLineChars="200"/>
              <w:jc w:val="left"/>
              <w:rPr>
                <w:kern w:val="0"/>
                <w:szCs w:val="21"/>
              </w:rPr>
            </w:pPr>
            <w:r>
              <w:rPr>
                <w:kern w:val="0"/>
                <w:szCs w:val="21"/>
              </w:rPr>
              <w:t>（1）工艺流程</w:t>
            </w:r>
          </w:p>
          <w:p>
            <w:pPr>
              <w:autoSpaceDE w:val="0"/>
              <w:autoSpaceDN w:val="0"/>
              <w:adjustRightInd w:val="0"/>
              <w:snapToGrid w:val="0"/>
              <w:spacing w:line="440" w:lineRule="exact"/>
              <w:ind w:firstLine="420" w:firstLineChars="200"/>
              <w:jc w:val="left"/>
              <w:rPr>
                <w:kern w:val="0"/>
                <w:szCs w:val="21"/>
              </w:rPr>
            </w:pPr>
            <w:r>
              <w:rPr>
                <w:rFonts w:hint="eastAsia"/>
                <w:kern w:val="0"/>
                <w:szCs w:val="21"/>
              </w:rPr>
              <w:t>本项目已于2020年11月投入运行。本次环评主要是进行封闭式储煤棚、喷雾降尘设施的建设，不涉及大型土建施工或开挖等。</w:t>
            </w:r>
          </w:p>
          <w:p>
            <w:pPr>
              <w:autoSpaceDE w:val="0"/>
              <w:autoSpaceDN w:val="0"/>
              <w:adjustRightInd w:val="0"/>
              <w:snapToGrid w:val="0"/>
              <w:spacing w:line="440" w:lineRule="exact"/>
              <w:ind w:firstLine="420" w:firstLineChars="200"/>
              <w:jc w:val="left"/>
              <w:rPr>
                <w:kern w:val="0"/>
                <w:szCs w:val="21"/>
              </w:rPr>
            </w:pPr>
            <w:r>
              <w:rPr>
                <w:kern w:val="0"/>
                <w:szCs w:val="21"/>
              </w:rPr>
              <w:t>施工期的产污工艺流程及产污位置如下图。</w:t>
            </w:r>
          </w:p>
          <w:p>
            <w:pPr>
              <w:spacing w:line="100" w:lineRule="exact"/>
              <w:rPr>
                <w:rFonts w:eastAsia="黑体"/>
                <w:sz w:val="30"/>
                <w:szCs w:val="30"/>
              </w:rPr>
            </w:pPr>
            <w:r>
              <w:rPr>
                <w:sz w:val="30"/>
              </w:rPr>
              <mc:AlternateContent>
                <mc:Choice Requires="wps">
                  <w:drawing>
                    <wp:anchor distT="0" distB="0" distL="114300" distR="114300" simplePos="0" relativeHeight="251715584" behindDoc="0" locked="0" layoutInCell="1" allowOverlap="1">
                      <wp:simplePos x="0" y="0"/>
                      <wp:positionH relativeFrom="column">
                        <wp:posOffset>1076325</wp:posOffset>
                      </wp:positionH>
                      <wp:positionV relativeFrom="paragraph">
                        <wp:posOffset>40005</wp:posOffset>
                      </wp:positionV>
                      <wp:extent cx="767080" cy="387350"/>
                      <wp:effectExtent l="0" t="0" r="0" b="0"/>
                      <wp:wrapNone/>
                      <wp:docPr id="37" name="自选图形 67"/>
                      <wp:cNvGraphicFramePr/>
                      <a:graphic xmlns:a="http://schemas.openxmlformats.org/drawingml/2006/main">
                        <a:graphicData uri="http://schemas.microsoft.com/office/word/2010/wordprocessingShape">
                          <wps:wsp>
                            <wps:cNvSpPr/>
                            <wps:spPr>
                              <a:xfrm>
                                <a:off x="0" y="0"/>
                                <a:ext cx="767080" cy="387350"/>
                              </a:xfrm>
                              <a:prstGeom prst="flowChartAlternateProcess">
                                <a:avLst/>
                              </a:prstGeom>
                              <a:noFill/>
                              <a:ln>
                                <a:noFill/>
                              </a:ln>
                            </wps:spPr>
                            <wps:txbx>
                              <w:txbxContent>
                                <w:p>
                                  <w:pPr>
                                    <w:jc w:val="center"/>
                                    <w:rPr>
                                      <w:sz w:val="16"/>
                                      <w:szCs w:val="16"/>
                                      <w:shd w:val="pct10" w:color="auto" w:fill="FFFFFF"/>
                                    </w:rPr>
                                  </w:pPr>
                                  <w:r>
                                    <w:rPr>
                                      <w:rFonts w:hint="eastAsia"/>
                                      <w:sz w:val="16"/>
                                      <w:szCs w:val="16"/>
                                      <w:shd w:val="pct10" w:color="auto" w:fill="FFFFFF"/>
                                    </w:rPr>
                                    <w:t>废气、</w:t>
                                  </w:r>
                                  <w:r>
                                    <w:rPr>
                                      <w:sz w:val="16"/>
                                      <w:szCs w:val="16"/>
                                      <w:shd w:val="pct10" w:color="auto" w:fill="FFFFFF"/>
                                    </w:rPr>
                                    <w:t>噪声、</w:t>
                                  </w:r>
                                  <w:r>
                                    <w:rPr>
                                      <w:rFonts w:hint="eastAsia"/>
                                      <w:sz w:val="16"/>
                                      <w:szCs w:val="16"/>
                                      <w:shd w:val="pct10" w:color="auto" w:fill="FFFFFF"/>
                                    </w:rPr>
                                    <w:t>废水、</w:t>
                                  </w:r>
                                  <w:r>
                                    <w:rPr>
                                      <w:sz w:val="16"/>
                                      <w:szCs w:val="16"/>
                                      <w:shd w:val="pct10" w:color="auto" w:fill="FFFFFF"/>
                                    </w:rPr>
                                    <w:t>固废</w:t>
                                  </w:r>
                                </w:p>
                              </w:txbxContent>
                            </wps:txbx>
                            <wps:bodyPr lIns="91439" tIns="45720" rIns="91439" bIns="45720" upright="1"/>
                          </wps:wsp>
                        </a:graphicData>
                      </a:graphic>
                    </wp:anchor>
                  </w:drawing>
                </mc:Choice>
                <mc:Fallback>
                  <w:pict>
                    <v:shape id="自选图形 67" o:spid="_x0000_s1026" o:spt="176" type="#_x0000_t176" style="position:absolute;left:0pt;margin-left:84.75pt;margin-top:3.15pt;height:30.5pt;width:60.4pt;z-index:251715584;mso-width-relative:page;mso-height-relative:page;" filled="f" stroked="f" coordsize="21600,21600" o:gfxdata="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JsQomHXAAAACAEAAA8AAAAAAAAAAQAg&#10;AAAAIgAAAGRycy9kb3ducmV2LnhtbFBLAQIUABQAAAAIAIdO4kCPRrtq1gEAAJEDAAAOAAAAAAAA&#10;AAEAIAAAACYBAABkcnMvZTJvRG9jLnhtbFBLBQYAAAAABgAGAFkBAABuBQAAAAA=&#10;">
                      <v:fill on="f" focussize="0,0"/>
                      <v:stroke on="f"/>
                      <v:imagedata o:title=""/>
                      <o:lock v:ext="edit" aspectratio="f"/>
                      <v:textbox inset="7.19992125984252pt,1.27mm,7.19992125984252pt,1.27mm">
                        <w:txbxContent>
                          <w:p>
                            <w:pPr>
                              <w:jc w:val="center"/>
                              <w:rPr>
                                <w:sz w:val="16"/>
                                <w:szCs w:val="16"/>
                                <w:shd w:val="pct10" w:color="auto" w:fill="FFFFFF"/>
                              </w:rPr>
                            </w:pPr>
                            <w:r>
                              <w:rPr>
                                <w:rFonts w:hint="eastAsia"/>
                                <w:sz w:val="16"/>
                                <w:szCs w:val="16"/>
                                <w:shd w:val="pct10" w:color="auto" w:fill="FFFFFF"/>
                              </w:rPr>
                              <w:t>废气、</w:t>
                            </w:r>
                            <w:r>
                              <w:rPr>
                                <w:sz w:val="16"/>
                                <w:szCs w:val="16"/>
                                <w:shd w:val="pct10" w:color="auto" w:fill="FFFFFF"/>
                              </w:rPr>
                              <w:t>噪声、</w:t>
                            </w:r>
                            <w:r>
                              <w:rPr>
                                <w:rFonts w:hint="eastAsia"/>
                                <w:sz w:val="16"/>
                                <w:szCs w:val="16"/>
                                <w:shd w:val="pct10" w:color="auto" w:fill="FFFFFF"/>
                              </w:rPr>
                              <w:t>废水、</w:t>
                            </w:r>
                            <w:r>
                              <w:rPr>
                                <w:sz w:val="16"/>
                                <w:szCs w:val="16"/>
                                <w:shd w:val="pct10" w:color="auto" w:fill="FFFFFF"/>
                              </w:rPr>
                              <w:t>固废</w:t>
                            </w:r>
                          </w:p>
                        </w:txbxContent>
                      </v:textbox>
                    </v:shape>
                  </w:pict>
                </mc:Fallback>
              </mc:AlternateContent>
            </w:r>
          </w:p>
          <w:p>
            <w:pPr>
              <w:spacing w:line="400" w:lineRule="exact"/>
              <w:rPr>
                <w:rFonts w:eastAsia="黑体"/>
                <w:sz w:val="30"/>
                <w:szCs w:val="30"/>
              </w:rPr>
            </w:pPr>
            <w:r>
              <w:rPr>
                <w:rFonts w:eastAsia="黑体"/>
                <w:sz w:val="30"/>
                <w:szCs w:val="30"/>
              </w:rPr>
              <mc:AlternateContent>
                <mc:Choice Requires="wps">
                  <w:drawing>
                    <wp:anchor distT="0" distB="0" distL="114300" distR="114300" simplePos="0" relativeHeight="251716608" behindDoc="0" locked="0" layoutInCell="1" allowOverlap="1">
                      <wp:simplePos x="0" y="0"/>
                      <wp:positionH relativeFrom="column">
                        <wp:posOffset>2021840</wp:posOffset>
                      </wp:positionH>
                      <wp:positionV relativeFrom="paragraph">
                        <wp:posOffset>65405</wp:posOffset>
                      </wp:positionV>
                      <wp:extent cx="739140" cy="298450"/>
                      <wp:effectExtent l="0" t="0" r="0" b="0"/>
                      <wp:wrapNone/>
                      <wp:docPr id="38" name="自选图形 68"/>
                      <wp:cNvGraphicFramePr/>
                      <a:graphic xmlns:a="http://schemas.openxmlformats.org/drawingml/2006/main">
                        <a:graphicData uri="http://schemas.microsoft.com/office/word/2010/wordprocessingShape">
                          <wps:wsp>
                            <wps:cNvSpPr/>
                            <wps:spPr>
                              <a:xfrm>
                                <a:off x="0" y="0"/>
                                <a:ext cx="739140" cy="298450"/>
                              </a:xfrm>
                              <a:prstGeom prst="flowChartAlternateProcess">
                                <a:avLst/>
                              </a:prstGeom>
                              <a:noFill/>
                              <a:ln>
                                <a:noFill/>
                              </a:ln>
                            </wps:spPr>
                            <wps:txbx>
                              <w:txbxContent>
                                <w:p>
                                  <w:pPr>
                                    <w:jc w:val="center"/>
                                    <w:rPr>
                                      <w:sz w:val="18"/>
                                      <w:szCs w:val="18"/>
                                      <w:shd w:val="pct10" w:color="auto" w:fill="FFFFFF"/>
                                    </w:rPr>
                                  </w:pPr>
                                  <w:r>
                                    <w:rPr>
                                      <w:sz w:val="18"/>
                                      <w:szCs w:val="18"/>
                                      <w:shd w:val="pct10" w:color="auto" w:fill="FFFFFF"/>
                                    </w:rPr>
                                    <w:t>噪声、固废</w:t>
                                  </w:r>
                                </w:p>
                              </w:txbxContent>
                            </wps:txbx>
                            <wps:bodyPr lIns="91439" tIns="45720" rIns="91439" bIns="45720" upright="1"/>
                          </wps:wsp>
                        </a:graphicData>
                      </a:graphic>
                    </wp:anchor>
                  </w:drawing>
                </mc:Choice>
                <mc:Fallback>
                  <w:pict>
                    <v:shape id="自选图形 68" o:spid="_x0000_s1026" o:spt="176" type="#_x0000_t176" style="position:absolute;left:0pt;margin-left:159.2pt;margin-top:5.15pt;height:23.5pt;width:58.2pt;z-index:251716608;mso-width-relative:page;mso-height-relative:page;" filled="f" stroked="f" coordsize="21600,21600" o:gfxdata="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u3l+J2QAAAAkBAAAPAAAAAAAAAAEA&#10;IAAAACIAAABkcnMvZG93bnJldi54bWxQSwECFAAUAAAACACHTuJAfUe1Q9UBAACRAwAADgAAAAAA&#10;AAABACAAAAAoAQAAZHJzL2Uyb0RvYy54bWxQSwUGAAAAAAYABgBZAQAAbwUAAAAA&#10;">
                      <v:fill on="f" focussize="0,0"/>
                      <v:stroke on="f"/>
                      <v:imagedata o:title=""/>
                      <o:lock v:ext="edit" aspectratio="f"/>
                      <v:textbox inset="7.19992125984252pt,1.27mm,7.19992125984252pt,1.27mm">
                        <w:txbxContent>
                          <w:p>
                            <w:pPr>
                              <w:jc w:val="center"/>
                              <w:rPr>
                                <w:sz w:val="18"/>
                                <w:szCs w:val="18"/>
                                <w:shd w:val="pct10" w:color="auto" w:fill="FFFFFF"/>
                              </w:rPr>
                            </w:pPr>
                            <w:r>
                              <w:rPr>
                                <w:sz w:val="18"/>
                                <w:szCs w:val="18"/>
                                <w:shd w:val="pct10" w:color="auto" w:fill="FFFFFF"/>
                              </w:rPr>
                              <w:t>噪声、固废</w:t>
                            </w:r>
                          </w:p>
                        </w:txbxContent>
                      </v:textbox>
                    </v:shape>
                  </w:pict>
                </mc:Fallback>
              </mc:AlternateContent>
            </w:r>
          </w:p>
          <w:p>
            <w:pPr>
              <w:spacing w:line="600" w:lineRule="exact"/>
              <w:rPr>
                <w:rFonts w:eastAsia="黑体"/>
                <w:sz w:val="30"/>
                <w:szCs w:val="30"/>
              </w:rPr>
            </w:pPr>
            <w:r>
              <w:rPr>
                <w:rFonts w:eastAsia="黑体"/>
                <w:sz w:val="30"/>
                <w:szCs w:val="30"/>
              </w:rPr>
              <mc:AlternateContent>
                <mc:Choice Requires="wps">
                  <w:drawing>
                    <wp:anchor distT="0" distB="0" distL="114300" distR="114300" simplePos="0" relativeHeight="251711488" behindDoc="0" locked="0" layoutInCell="1" allowOverlap="1">
                      <wp:simplePos x="0" y="0"/>
                      <wp:positionH relativeFrom="column">
                        <wp:posOffset>2943225</wp:posOffset>
                      </wp:positionH>
                      <wp:positionV relativeFrom="paragraph">
                        <wp:posOffset>256540</wp:posOffset>
                      </wp:positionV>
                      <wp:extent cx="628015" cy="233045"/>
                      <wp:effectExtent l="4445" t="4445" r="15240" b="10160"/>
                      <wp:wrapNone/>
                      <wp:docPr id="32" name="自选图形 57"/>
                      <wp:cNvGraphicFramePr/>
                      <a:graphic xmlns:a="http://schemas.openxmlformats.org/drawingml/2006/main">
                        <a:graphicData uri="http://schemas.microsoft.com/office/word/2010/wordprocessingShape">
                          <wps:wsp>
                            <wps:cNvSpPr/>
                            <wps:spPr>
                              <a:xfrm>
                                <a:off x="0" y="0"/>
                                <a:ext cx="628015" cy="2330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left="-105" w:leftChars="-50" w:right="-105" w:rightChars="-50"/>
                                    <w:jc w:val="center"/>
                                    <w:rPr>
                                      <w:sz w:val="18"/>
                                      <w:szCs w:val="21"/>
                                    </w:rPr>
                                  </w:pPr>
                                  <w:r>
                                    <w:rPr>
                                      <w:sz w:val="18"/>
                                      <w:szCs w:val="21"/>
                                    </w:rPr>
                                    <w:t>投入运行</w:t>
                                  </w:r>
                                </w:p>
                              </w:txbxContent>
                            </wps:txbx>
                            <wps:bodyPr upright="1"/>
                          </wps:wsp>
                        </a:graphicData>
                      </a:graphic>
                    </wp:anchor>
                  </w:drawing>
                </mc:Choice>
                <mc:Fallback>
                  <w:pict>
                    <v:shape id="自选图形 57" o:spid="_x0000_s1026" o:spt="176" type="#_x0000_t176" style="position:absolute;left:0pt;margin-left:231.75pt;margin-top:20.2pt;height:18.35pt;width:49.45pt;z-index:251711488;mso-width-relative:page;mso-height-relative:page;" fillcolor="#FFFFFF" filled="t" stroked="t" coordsize="21600,21600" o:gfxdata="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8fDz2AAAAAkB&#10;AAAPAAAAAAAAAAEAIAAAACIAAABkcnMvZG93bnJldi54bWxQSwECFAAUAAAACACHTuJAOAl+/hsC&#10;AABFBAAADgAAAAAAAAABACAAAAAnAQAAZHJzL2Uyb0RvYy54bWxQSwUGAAAAAAYABgBZAQAAtAUA&#10;AAAA&#10;">
                      <v:fill on="t" focussize="0,0"/>
                      <v:stroke color="#000000" joinstyle="miter"/>
                      <v:imagedata o:title=""/>
                      <o:lock v:ext="edit" aspectratio="f"/>
                      <v:textbox>
                        <w:txbxContent>
                          <w:p>
                            <w:pPr>
                              <w:ind w:left="-105" w:leftChars="-50" w:right="-105" w:rightChars="-50"/>
                              <w:jc w:val="center"/>
                              <w:rPr>
                                <w:sz w:val="18"/>
                                <w:szCs w:val="21"/>
                              </w:rPr>
                            </w:pPr>
                            <w:r>
                              <w:rPr>
                                <w:sz w:val="18"/>
                                <w:szCs w:val="21"/>
                              </w:rPr>
                              <w:t>投入运行</w:t>
                            </w:r>
                          </w:p>
                        </w:txbxContent>
                      </v:textbox>
                    </v:shape>
                  </w:pict>
                </mc:Fallback>
              </mc:AlternateContent>
            </w:r>
            <w:r>
              <w:rPr>
                <w:rFonts w:eastAsia="黑体"/>
                <w:sz w:val="30"/>
                <w:szCs w:val="30"/>
              </w:rPr>
              <mc:AlternateContent>
                <mc:Choice Requires="wps">
                  <w:drawing>
                    <wp:anchor distT="0" distB="0" distL="114300" distR="114300" simplePos="0" relativeHeight="251712512" behindDoc="0" locked="0" layoutInCell="1" allowOverlap="1">
                      <wp:simplePos x="0" y="0"/>
                      <wp:positionH relativeFrom="column">
                        <wp:posOffset>2672080</wp:posOffset>
                      </wp:positionH>
                      <wp:positionV relativeFrom="paragraph">
                        <wp:posOffset>354965</wp:posOffset>
                      </wp:positionV>
                      <wp:extent cx="271145" cy="0"/>
                      <wp:effectExtent l="0" t="38100" r="14605" b="38100"/>
                      <wp:wrapNone/>
                      <wp:docPr id="34" name="直线 63"/>
                      <wp:cNvGraphicFramePr/>
                      <a:graphic xmlns:a="http://schemas.openxmlformats.org/drawingml/2006/main">
                        <a:graphicData uri="http://schemas.microsoft.com/office/word/2010/wordprocessingShape">
                          <wps:wsp>
                            <wps:cNvCnPr/>
                            <wps:spPr>
                              <a:xfrm>
                                <a:off x="0" y="0"/>
                                <a:ext cx="27114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3" o:spid="_x0000_s1026" o:spt="20" style="position:absolute;left:0pt;margin-left:210.4pt;margin-top:27.95pt;height:0pt;width:21.35pt;z-index:251712512;mso-width-relative:page;mso-height-relative:page;" filled="f" stroked="t" coordsize="21600,21600" o:gfxdata="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5O38NoAAAAJAQAADwAAAAAAAAABACAAAAAiAAAAZHJzL2Rvd25yZXYueG1sUEsBAhQA&#10;FAAAAAgAh07iQCtH0jzwAQAA4AMAAA4AAAAAAAAAAQAgAAAAKQEAAGRycy9lMm9Eb2MueG1sUEsF&#10;BgAAAAAGAAYAWQEAAIsFAAAAAA==&#10;">
                      <v:fill on="f" focussize="0,0"/>
                      <v:stroke color="#000000" joinstyle="round" endarrow="block"/>
                      <v:imagedata o:title=""/>
                      <o:lock v:ext="edit" aspectratio="f"/>
                    </v:line>
                  </w:pict>
                </mc:Fallback>
              </mc:AlternateContent>
            </w:r>
            <w:r>
              <w:rPr>
                <w:rFonts w:eastAsia="黑体"/>
                <w:sz w:val="30"/>
                <w:szCs w:val="30"/>
              </w:rPr>
              <mc:AlternateContent>
                <mc:Choice Requires="wps">
                  <w:drawing>
                    <wp:anchor distT="0" distB="0" distL="114300" distR="114300" simplePos="0" relativeHeight="251714560" behindDoc="0" locked="0" layoutInCell="1" allowOverlap="1">
                      <wp:simplePos x="0" y="0"/>
                      <wp:positionH relativeFrom="column">
                        <wp:posOffset>2367915</wp:posOffset>
                      </wp:positionH>
                      <wp:positionV relativeFrom="paragraph">
                        <wp:posOffset>55880</wp:posOffset>
                      </wp:positionV>
                      <wp:extent cx="2540" cy="189230"/>
                      <wp:effectExtent l="36830" t="0" r="36830" b="1270"/>
                      <wp:wrapNone/>
                      <wp:docPr id="36" name="直线 66"/>
                      <wp:cNvGraphicFramePr/>
                      <a:graphic xmlns:a="http://schemas.openxmlformats.org/drawingml/2006/main">
                        <a:graphicData uri="http://schemas.microsoft.com/office/word/2010/wordprocessingShape">
                          <wps:wsp>
                            <wps:cNvCnPr/>
                            <wps:spPr>
                              <a:xfrm flipH="1" flipV="1">
                                <a:off x="0" y="0"/>
                                <a:ext cx="2540" cy="189230"/>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直线 66" o:spid="_x0000_s1026" o:spt="20" style="position:absolute;left:0pt;flip:x y;margin-left:186.45pt;margin-top:4.4pt;height:14.9pt;width:0.2pt;z-index:251714560;mso-width-relative:page;mso-height-relative:page;" filled="f" stroked="t" coordsize="21600,21600" o:gfxdata="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RUm1dcAAAAIAQAADwAAAAAAAAABACAAAAAiAAAAZHJzL2Rv&#10;d25yZXYueG1sUEsBAhQAFAAAAAgAh07iQKWiSxECAgAA9gMAAA4AAAAAAAAAAQAgAAAAJgEAAGRy&#10;cy9lMm9Eb2MueG1sUEsFBgAAAAAGAAYAWQEAAJoFAAAAAA==&#10;">
                      <v:fill on="f" focussize="0,0"/>
                      <v:stroke color="#000000" joinstyle="round" dashstyle="dash" endarrow="block"/>
                      <v:imagedata o:title=""/>
                      <o:lock v:ext="edit" aspectratio="f"/>
                    </v:line>
                  </w:pict>
                </mc:Fallback>
              </mc:AlternateContent>
            </w:r>
            <w:r>
              <w:rPr>
                <w:rFonts w:eastAsia="黑体"/>
                <w:sz w:val="30"/>
                <w:szCs w:val="30"/>
              </w:rPr>
              <mc:AlternateContent>
                <mc:Choice Requires="wps">
                  <w:drawing>
                    <wp:anchor distT="0" distB="0" distL="114300" distR="114300" simplePos="0" relativeHeight="251710464" behindDoc="0" locked="0" layoutInCell="1" allowOverlap="1">
                      <wp:simplePos x="0" y="0"/>
                      <wp:positionH relativeFrom="column">
                        <wp:posOffset>2021840</wp:posOffset>
                      </wp:positionH>
                      <wp:positionV relativeFrom="paragraph">
                        <wp:posOffset>254000</wp:posOffset>
                      </wp:positionV>
                      <wp:extent cx="650240" cy="233045"/>
                      <wp:effectExtent l="4445" t="5080" r="12065" b="9525"/>
                      <wp:wrapNone/>
                      <wp:docPr id="31" name="自选图形 56"/>
                      <wp:cNvGraphicFramePr/>
                      <a:graphic xmlns:a="http://schemas.openxmlformats.org/drawingml/2006/main">
                        <a:graphicData uri="http://schemas.microsoft.com/office/word/2010/wordprocessingShape">
                          <wps:wsp>
                            <wps:cNvSpPr/>
                            <wps:spPr>
                              <a:xfrm>
                                <a:off x="0" y="0"/>
                                <a:ext cx="650240" cy="2330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left="-105" w:leftChars="-50" w:right="-105" w:rightChars="-50"/>
                                    <w:jc w:val="center"/>
                                    <w:rPr>
                                      <w:sz w:val="18"/>
                                      <w:szCs w:val="21"/>
                                    </w:rPr>
                                  </w:pPr>
                                  <w:r>
                                    <w:rPr>
                                      <w:sz w:val="18"/>
                                      <w:szCs w:val="21"/>
                                    </w:rPr>
                                    <w:t>设备安装</w:t>
                                  </w:r>
                                </w:p>
                              </w:txbxContent>
                            </wps:txbx>
                            <wps:bodyPr upright="1"/>
                          </wps:wsp>
                        </a:graphicData>
                      </a:graphic>
                    </wp:anchor>
                  </w:drawing>
                </mc:Choice>
                <mc:Fallback>
                  <w:pict>
                    <v:shape id="自选图形 56" o:spid="_x0000_s1026" o:spt="176" type="#_x0000_t176" style="position:absolute;left:0pt;margin-left:159.2pt;margin-top:20pt;height:18.35pt;width:51.2pt;z-index:251710464;mso-width-relative:page;mso-height-relative:page;" fillcolor="#FFFFFF" filled="t" stroked="t" coordsize="21600,21600" o:gfxdata="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rqrkNYAAAAJAQAA&#10;DwAAAAAAAAABACAAAAAiAAAAZHJzL2Rvd25yZXYueG1sUEsBAhQAFAAAAAgAh07iQNlVvBcbAgAA&#10;RQQAAA4AAAAAAAAAAQAgAAAAJQEAAGRycy9lMm9Eb2MueG1sUEsFBgAAAAAGAAYAWQEAALIFAAAA&#10;AA==&#10;">
                      <v:fill on="t" focussize="0,0"/>
                      <v:stroke color="#000000" joinstyle="miter"/>
                      <v:imagedata o:title=""/>
                      <o:lock v:ext="edit" aspectratio="f"/>
                      <v:textbox>
                        <w:txbxContent>
                          <w:p>
                            <w:pPr>
                              <w:ind w:left="-105" w:leftChars="-50" w:right="-105" w:rightChars="-50"/>
                              <w:jc w:val="center"/>
                              <w:rPr>
                                <w:sz w:val="18"/>
                                <w:szCs w:val="21"/>
                              </w:rPr>
                            </w:pPr>
                            <w:r>
                              <w:rPr>
                                <w:sz w:val="18"/>
                                <w:szCs w:val="21"/>
                              </w:rPr>
                              <w:t>设备安装</w:t>
                            </w:r>
                          </w:p>
                        </w:txbxContent>
                      </v:textbox>
                    </v:shape>
                  </w:pict>
                </mc:Fallback>
              </mc:AlternateContent>
            </w:r>
            <w:r>
              <w:rPr>
                <w:rFonts w:eastAsia="黑体"/>
                <w:bCs/>
                <w:sz w:val="22"/>
                <w:szCs w:val="22"/>
              </w:rPr>
              <mc:AlternateContent>
                <mc:Choice Requires="wps">
                  <w:drawing>
                    <wp:anchor distT="0" distB="0" distL="114300" distR="114300" simplePos="0" relativeHeight="251745280" behindDoc="0" locked="0" layoutInCell="1" allowOverlap="1">
                      <wp:simplePos x="0" y="0"/>
                      <wp:positionH relativeFrom="column">
                        <wp:posOffset>1751330</wp:posOffset>
                      </wp:positionH>
                      <wp:positionV relativeFrom="paragraph">
                        <wp:posOffset>372745</wp:posOffset>
                      </wp:positionV>
                      <wp:extent cx="270510" cy="0"/>
                      <wp:effectExtent l="0" t="38100" r="15240" b="38100"/>
                      <wp:wrapNone/>
                      <wp:docPr id="69" name="直线 188"/>
                      <wp:cNvGraphicFramePr/>
                      <a:graphic xmlns:a="http://schemas.openxmlformats.org/drawingml/2006/main">
                        <a:graphicData uri="http://schemas.microsoft.com/office/word/2010/wordprocessingShape">
                          <wps:wsp>
                            <wps:cNvCnPr/>
                            <wps:spPr>
                              <a:xfrm>
                                <a:off x="0" y="0"/>
                                <a:ext cx="27051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8" o:spid="_x0000_s1026" o:spt="20" style="position:absolute;left:0pt;margin-left:137.9pt;margin-top:29.35pt;height:0pt;width:21.3pt;z-index:251745280;mso-width-relative:page;mso-height-relative:page;" filled="f" stroked="t" coordsize="21600,21600" o:gfxdata="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0w48jaAAAACQEAAA8AAAAAAAAAAQAgAAAAIgAAAGRycy9kb3ducmV2LnhtbFBLAQIU&#10;ABQAAAAIAIdO4kAlj2OY8QEAAOEDAAAOAAAAAAAAAAEAIAAAACkBAABkcnMvZTJvRG9jLnhtbFBL&#10;BQYAAAAABgAGAFkBAACMBQAAAAA=&#10;">
                      <v:fill on="f" focussize="0,0"/>
                      <v:stroke color="#000000" joinstyle="round" endarrow="block"/>
                      <v:imagedata o:title=""/>
                      <o:lock v:ext="edit" aspectratio="f"/>
                    </v:line>
                  </w:pict>
                </mc:Fallback>
              </mc:AlternateContent>
            </w:r>
            <w:r>
              <w:rPr>
                <w:rFonts w:eastAsia="黑体"/>
                <w:sz w:val="30"/>
                <w:szCs w:val="30"/>
              </w:rPr>
              <mc:AlternateContent>
                <mc:Choice Requires="wps">
                  <w:drawing>
                    <wp:anchor distT="0" distB="0" distL="114300" distR="114300" simplePos="0" relativeHeight="251709440" behindDoc="0" locked="0" layoutInCell="1" allowOverlap="1">
                      <wp:simplePos x="0" y="0"/>
                      <wp:positionH relativeFrom="column">
                        <wp:posOffset>1174750</wp:posOffset>
                      </wp:positionH>
                      <wp:positionV relativeFrom="paragraph">
                        <wp:posOffset>256540</wp:posOffset>
                      </wp:positionV>
                      <wp:extent cx="576580" cy="230505"/>
                      <wp:effectExtent l="4445" t="4445" r="9525" b="12700"/>
                      <wp:wrapNone/>
                      <wp:docPr id="30" name="AutoShape 9"/>
                      <wp:cNvGraphicFramePr/>
                      <a:graphic xmlns:a="http://schemas.openxmlformats.org/drawingml/2006/main">
                        <a:graphicData uri="http://schemas.microsoft.com/office/word/2010/wordprocessingShape">
                          <wps:wsp>
                            <wps:cNvSpPr/>
                            <wps:spPr>
                              <a:xfrm>
                                <a:off x="0" y="0"/>
                                <a:ext cx="576580" cy="23050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left="-105" w:leftChars="-50" w:right="-105" w:rightChars="-50"/>
                                    <w:jc w:val="center"/>
                                    <w:rPr>
                                      <w:sz w:val="18"/>
                                      <w:szCs w:val="21"/>
                                    </w:rPr>
                                  </w:pPr>
                                  <w:r>
                                    <w:rPr>
                                      <w:sz w:val="18"/>
                                      <w:szCs w:val="21"/>
                                    </w:rPr>
                                    <w:t>煤棚封闭</w:t>
                                  </w:r>
                                </w:p>
                              </w:txbxContent>
                            </wps:txbx>
                            <wps:bodyPr upright="1"/>
                          </wps:wsp>
                        </a:graphicData>
                      </a:graphic>
                    </wp:anchor>
                  </w:drawing>
                </mc:Choice>
                <mc:Fallback>
                  <w:pict>
                    <v:shape id="AutoShape 9" o:spid="_x0000_s1026" o:spt="176" type="#_x0000_t176" style="position:absolute;left:0pt;margin-left:92.5pt;margin-top:20.2pt;height:18.15pt;width:45.4pt;z-index:251709440;mso-width-relative:page;mso-height-relative:page;" fillcolor="#FFFFFF" filled="t" stroked="t" coordsize="21600,21600" o:gfxdata="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p0PAPXAAAACQEAAA8AAAAAAAAAAQAgAAAAIgAAAGRycy9k&#10;b3ducmV2LnhtbFBLAQIUABQAAAAIAIdO4kBTQu2ZAwIAAEEEAAAOAAAAAAAAAAEAIAAAACYBAABk&#10;cnMvZTJvRG9jLnhtbFBLBQYAAAAABgAGAFkBAACbBQAAAAA=&#10;">
                      <v:fill on="t" focussize="0,0"/>
                      <v:stroke color="#000000" joinstyle="miter"/>
                      <v:imagedata o:title=""/>
                      <o:lock v:ext="edit" aspectratio="f"/>
                      <v:textbox>
                        <w:txbxContent>
                          <w:p>
                            <w:pPr>
                              <w:ind w:left="-105" w:leftChars="-50" w:right="-105" w:rightChars="-50"/>
                              <w:jc w:val="center"/>
                              <w:rPr>
                                <w:sz w:val="18"/>
                                <w:szCs w:val="21"/>
                              </w:rPr>
                            </w:pPr>
                            <w:r>
                              <w:rPr>
                                <w:sz w:val="18"/>
                                <w:szCs w:val="21"/>
                              </w:rPr>
                              <w:t>煤棚封闭</w:t>
                            </w:r>
                          </w:p>
                        </w:txbxContent>
                      </v:textbox>
                    </v:shape>
                  </w:pict>
                </mc:Fallback>
              </mc:AlternateContent>
            </w:r>
            <w:r>
              <w:rPr>
                <w:rFonts w:eastAsia="黑体"/>
                <w:sz w:val="30"/>
                <w:szCs w:val="30"/>
              </w:rPr>
              <mc:AlternateContent>
                <mc:Choice Requires="wps">
                  <w:drawing>
                    <wp:anchor distT="0" distB="0" distL="114300" distR="114300" simplePos="0" relativeHeight="251713536" behindDoc="0" locked="0" layoutInCell="1" allowOverlap="1">
                      <wp:simplePos x="0" y="0"/>
                      <wp:positionH relativeFrom="column">
                        <wp:posOffset>1453515</wp:posOffset>
                      </wp:positionH>
                      <wp:positionV relativeFrom="paragraph">
                        <wp:posOffset>45720</wp:posOffset>
                      </wp:positionV>
                      <wp:extent cx="2540" cy="189230"/>
                      <wp:effectExtent l="36830" t="0" r="36830" b="1270"/>
                      <wp:wrapNone/>
                      <wp:docPr id="35" name="直线 64"/>
                      <wp:cNvGraphicFramePr/>
                      <a:graphic xmlns:a="http://schemas.openxmlformats.org/drawingml/2006/main">
                        <a:graphicData uri="http://schemas.microsoft.com/office/word/2010/wordprocessingShape">
                          <wps:wsp>
                            <wps:cNvCnPr/>
                            <wps:spPr>
                              <a:xfrm flipH="1" flipV="1">
                                <a:off x="0" y="0"/>
                                <a:ext cx="2540" cy="189230"/>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直线 64" o:spid="_x0000_s1026" o:spt="20" style="position:absolute;left:0pt;flip:x y;margin-left:114.45pt;margin-top:3.6pt;height:14.9pt;width:0.2pt;z-index:251713536;mso-width-relative:page;mso-height-relative:page;" filled="f" stroked="t" coordsize="21600,21600" o:gfxdata="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1VP4utcAAAAIAQAADwAAAAAAAAABACAAAAAiAAAAZHJzL2Rv&#10;d25yZXYueG1sUEsBAhQAFAAAAAgAh07iQClxtHgCAgAA9gMAAA4AAAAAAAAAAQAgAAAAJgEAAGRy&#10;cy9lMm9Eb2MueG1sUEsFBgAAAAAGAAYAWQEAAJoFAAAAAA==&#10;">
                      <v:fill on="f" focussize="0,0"/>
                      <v:stroke color="#000000" joinstyle="round" dashstyle="dash" endarrow="block"/>
                      <v:imagedata o:title=""/>
                      <o:lock v:ext="edit" aspectratio="f"/>
                    </v:line>
                  </w:pict>
                </mc:Fallback>
              </mc:AlternateContent>
            </w:r>
          </w:p>
          <w:p>
            <w:pPr>
              <w:spacing w:before="120" w:beforeLines="50" w:line="400" w:lineRule="exact"/>
              <w:rPr>
                <w:rFonts w:eastAsia="黑体"/>
                <w:szCs w:val="21"/>
              </w:rPr>
            </w:pPr>
            <w:r>
              <w:rPr>
                <w:rFonts w:eastAsia="黑体"/>
                <w:bCs/>
                <w:sz w:val="24"/>
              </w:rPr>
              <mc:AlternateContent>
                <mc:Choice Requires="wps">
                  <w:drawing>
                    <wp:anchor distT="0" distB="0" distL="114300" distR="114300" simplePos="0" relativeHeight="251660288" behindDoc="0" locked="0" layoutInCell="1" allowOverlap="1">
                      <wp:simplePos x="0" y="0"/>
                      <wp:positionH relativeFrom="column">
                        <wp:posOffset>1134110</wp:posOffset>
                      </wp:positionH>
                      <wp:positionV relativeFrom="paragraph">
                        <wp:posOffset>153035</wp:posOffset>
                      </wp:positionV>
                      <wp:extent cx="2461895" cy="26924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2461895"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黑体" w:hAnsi="黑体" w:eastAsia="黑体"/>
                                      <w:sz w:val="18"/>
                                      <w:szCs w:val="21"/>
                                    </w:rPr>
                                  </w:pPr>
                                  <w:r>
                                    <w:rPr>
                                      <w:rFonts w:hint="eastAsia" w:ascii="黑体" w:hAnsi="黑体" w:eastAsia="黑体"/>
                                      <w:sz w:val="18"/>
                                      <w:szCs w:val="21"/>
                                    </w:rPr>
                                    <w:t>图6：施工期工艺流程及产污环节图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3pt;margin-top:12.05pt;height:21.2pt;width:193.85pt;z-index:251660288;mso-width-relative:page;mso-height-relative:page;" filled="f" stroked="f" coordsize="21600,21600" o:gfxdata="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a7cUjaAAAACQEAAA8AAAAAAAAAAQAgAAAA&#10;IgAAAGRycy9kb3ducmV2LnhtbFBLAQIUABQAAAAIAIdO4kA+etZdQgIAAHYEAAAOAAAAAAAAAAEA&#10;IAAAACkBAABkcnMvZTJvRG9jLnhtbFBLBQYAAAAABgAGAFkBAADdBQAAAAA=&#10;">
                      <v:fill on="f" focussize="0,0"/>
                      <v:stroke on="f" weight="0.5pt"/>
                      <v:imagedata o:title=""/>
                      <o:lock v:ext="edit" aspectratio="f"/>
                      <v:textbox>
                        <w:txbxContent>
                          <w:p>
                            <w:pPr>
                              <w:jc w:val="center"/>
                              <w:rPr>
                                <w:rFonts w:ascii="黑体" w:hAnsi="黑体" w:eastAsia="黑体"/>
                                <w:sz w:val="18"/>
                                <w:szCs w:val="21"/>
                              </w:rPr>
                            </w:pPr>
                            <w:r>
                              <w:rPr>
                                <w:rFonts w:hint="eastAsia" w:ascii="黑体" w:hAnsi="黑体" w:eastAsia="黑体"/>
                                <w:sz w:val="18"/>
                                <w:szCs w:val="21"/>
                              </w:rPr>
                              <w:t>图6：施工期工艺流程及产污环节图</w:t>
                            </w:r>
                          </w:p>
                        </w:txbxContent>
                      </v:textbox>
                    </v:shape>
                  </w:pict>
                </mc:Fallback>
              </mc:AlternateContent>
            </w:r>
          </w:p>
          <w:p>
            <w:pPr>
              <w:autoSpaceDE w:val="0"/>
              <w:autoSpaceDN w:val="0"/>
              <w:adjustRightInd w:val="0"/>
              <w:snapToGrid w:val="0"/>
              <w:spacing w:line="400" w:lineRule="exact"/>
              <w:ind w:firstLine="420" w:firstLineChars="200"/>
              <w:jc w:val="left"/>
              <w:rPr>
                <w:kern w:val="0"/>
                <w:szCs w:val="21"/>
              </w:rPr>
            </w:pPr>
            <w:r>
              <w:rPr>
                <w:kern w:val="0"/>
                <w:szCs w:val="21"/>
              </w:rPr>
              <w:t>（2）产污环节</w:t>
            </w:r>
          </w:p>
          <w:p>
            <w:pPr>
              <w:autoSpaceDE w:val="0"/>
              <w:autoSpaceDN w:val="0"/>
              <w:adjustRightInd w:val="0"/>
              <w:snapToGrid w:val="0"/>
              <w:spacing w:line="400" w:lineRule="exact"/>
              <w:ind w:firstLine="420" w:firstLineChars="200"/>
              <w:jc w:val="left"/>
              <w:rPr>
                <w:rFonts w:cs="宋体"/>
                <w:kern w:val="0"/>
                <w:szCs w:val="21"/>
              </w:rPr>
            </w:pPr>
            <w:r>
              <w:rPr>
                <w:rFonts w:hint="eastAsia" w:cs="宋体"/>
                <w:kern w:val="0"/>
                <w:szCs w:val="21"/>
              </w:rPr>
              <w:t>①废气：施工扬尘主要为建筑材料堆放、车辆运输、装卸作业等过程；机械设备的燃油废气中的主要污染物为C</w:t>
            </w:r>
            <w:r>
              <w:rPr>
                <w:rFonts w:hint="eastAsia" w:cs="宋体"/>
                <w:kern w:val="0"/>
                <w:szCs w:val="21"/>
                <w:vertAlign w:val="subscript"/>
              </w:rPr>
              <w:t>x</w:t>
            </w:r>
            <w:r>
              <w:rPr>
                <w:rFonts w:hint="eastAsia" w:cs="宋体"/>
                <w:kern w:val="0"/>
                <w:szCs w:val="21"/>
              </w:rPr>
              <w:t>H</w:t>
            </w:r>
            <w:r>
              <w:rPr>
                <w:rFonts w:hint="eastAsia" w:cs="宋体"/>
                <w:kern w:val="0"/>
                <w:szCs w:val="21"/>
                <w:vertAlign w:val="subscript"/>
              </w:rPr>
              <w:t>x</w:t>
            </w:r>
            <w:r>
              <w:rPr>
                <w:rFonts w:hint="eastAsia" w:cs="宋体"/>
                <w:kern w:val="0"/>
                <w:szCs w:val="21"/>
              </w:rPr>
              <w:t>、CO、NO</w:t>
            </w:r>
            <w:r>
              <w:rPr>
                <w:rFonts w:hint="eastAsia" w:cs="宋体"/>
                <w:kern w:val="0"/>
                <w:szCs w:val="21"/>
                <w:vertAlign w:val="subscript"/>
              </w:rPr>
              <w:t>x</w:t>
            </w:r>
            <w:r>
              <w:rPr>
                <w:rFonts w:hint="eastAsia" w:cs="宋体"/>
                <w:kern w:val="0"/>
                <w:szCs w:val="21"/>
              </w:rPr>
              <w:t>和烟尘等。</w:t>
            </w:r>
          </w:p>
          <w:p>
            <w:pPr>
              <w:autoSpaceDE w:val="0"/>
              <w:autoSpaceDN w:val="0"/>
              <w:adjustRightInd w:val="0"/>
              <w:snapToGrid w:val="0"/>
              <w:spacing w:line="400" w:lineRule="exact"/>
              <w:ind w:firstLine="420" w:firstLineChars="200"/>
              <w:jc w:val="left"/>
              <w:rPr>
                <w:rFonts w:cs="宋体"/>
                <w:kern w:val="0"/>
                <w:szCs w:val="21"/>
              </w:rPr>
            </w:pPr>
            <w:r>
              <w:rPr>
                <w:rFonts w:hint="eastAsia" w:cs="宋体"/>
                <w:kern w:val="0"/>
                <w:szCs w:val="21"/>
              </w:rPr>
              <w:t>②废水：主要来源于人员清洗废水及各种设备的清洗废水，其主要污染物为SS。经沉淀后可用作施工场地洒水除尘，不外排。</w:t>
            </w:r>
          </w:p>
          <w:p>
            <w:pPr>
              <w:autoSpaceDE w:val="0"/>
              <w:autoSpaceDN w:val="0"/>
              <w:adjustRightInd w:val="0"/>
              <w:snapToGrid w:val="0"/>
              <w:spacing w:line="400" w:lineRule="exact"/>
              <w:ind w:firstLine="420" w:firstLineChars="200"/>
              <w:jc w:val="left"/>
              <w:rPr>
                <w:rFonts w:cs="宋体"/>
                <w:kern w:val="0"/>
                <w:szCs w:val="21"/>
              </w:rPr>
            </w:pPr>
            <w:r>
              <w:rPr>
                <w:rFonts w:hint="eastAsia" w:cs="宋体"/>
                <w:kern w:val="0"/>
                <w:szCs w:val="21"/>
              </w:rPr>
              <w:t>③噪声：主要为各类机械设备施工运行时产生的噪声，物料运输车辆的交通噪声等。施工期产生的噪声强度约在85～100dB（A）之间。</w:t>
            </w:r>
          </w:p>
          <w:p>
            <w:pPr>
              <w:autoSpaceDE w:val="0"/>
              <w:autoSpaceDN w:val="0"/>
              <w:adjustRightInd w:val="0"/>
              <w:snapToGrid w:val="0"/>
              <w:spacing w:line="400" w:lineRule="exact"/>
              <w:ind w:firstLine="420" w:firstLineChars="200"/>
              <w:jc w:val="left"/>
              <w:rPr>
                <w:rFonts w:cs="宋体"/>
                <w:kern w:val="0"/>
                <w:szCs w:val="21"/>
              </w:rPr>
            </w:pPr>
            <w:r>
              <w:rPr>
                <w:rFonts w:hint="eastAsia" w:cs="宋体"/>
                <w:kern w:val="0"/>
                <w:szCs w:val="21"/>
              </w:rPr>
              <w:t>④固体废物：主要包括建筑垃圾和废弃建材、少量废弃包装材料等。</w:t>
            </w:r>
          </w:p>
          <w:p>
            <w:pPr>
              <w:adjustRightInd w:val="0"/>
              <w:snapToGrid w:val="0"/>
              <w:spacing w:line="410" w:lineRule="exact"/>
              <w:ind w:left="-53" w:leftChars="-25" w:right="-53" w:rightChars="-25"/>
              <w:jc w:val="left"/>
              <w:rPr>
                <w:rFonts w:eastAsia="黑体"/>
                <w:bCs/>
                <w:sz w:val="22"/>
                <w:szCs w:val="22"/>
              </w:rPr>
            </w:pPr>
            <w:r>
              <w:rPr>
                <w:rFonts w:eastAsia="黑体"/>
                <w:bCs/>
                <w:sz w:val="22"/>
                <w:szCs w:val="22"/>
              </w:rPr>
              <w:t>2、营运期工艺流程</w:t>
            </w:r>
          </w:p>
          <w:p>
            <w:pPr>
              <w:autoSpaceDE w:val="0"/>
              <w:autoSpaceDN w:val="0"/>
              <w:adjustRightInd w:val="0"/>
              <w:snapToGrid w:val="0"/>
              <w:spacing w:line="410" w:lineRule="exact"/>
              <w:ind w:firstLine="420" w:firstLineChars="200"/>
              <w:jc w:val="left"/>
              <w:rPr>
                <w:kern w:val="0"/>
                <w:szCs w:val="21"/>
              </w:rPr>
            </w:pPr>
            <w:r>
              <w:rPr>
                <w:kern w:val="0"/>
                <w:szCs w:val="21"/>
              </w:rPr>
              <w:t>本项目</w:t>
            </w:r>
            <w:r>
              <w:rPr>
                <w:rFonts w:hint="eastAsia"/>
                <w:kern w:val="0"/>
                <w:szCs w:val="21"/>
              </w:rPr>
              <w:t>主要进行煤炭的储运，不涉及配煤。煤炭的运入运出均依靠汽车运输。</w:t>
            </w:r>
          </w:p>
          <w:p>
            <w:pPr>
              <w:autoSpaceDE w:val="0"/>
              <w:autoSpaceDN w:val="0"/>
              <w:adjustRightInd w:val="0"/>
              <w:snapToGrid w:val="0"/>
              <w:spacing w:line="410" w:lineRule="exact"/>
              <w:ind w:firstLine="422" w:firstLineChars="200"/>
              <w:jc w:val="left"/>
              <w:rPr>
                <w:b/>
                <w:kern w:val="0"/>
                <w:szCs w:val="21"/>
              </w:rPr>
            </w:pPr>
            <w:r>
              <w:rPr>
                <w:b/>
                <w:kern w:val="0"/>
                <w:szCs w:val="21"/>
              </w:rPr>
              <w:t>（1）工艺流程</w:t>
            </w:r>
          </w:p>
          <w:p>
            <w:pPr>
              <w:autoSpaceDE w:val="0"/>
              <w:autoSpaceDN w:val="0"/>
              <w:adjustRightInd w:val="0"/>
              <w:snapToGrid w:val="0"/>
              <w:spacing w:line="400" w:lineRule="exact"/>
              <w:ind w:firstLine="420" w:firstLineChars="200"/>
              <w:rPr>
                <w:kern w:val="0"/>
                <w:szCs w:val="21"/>
              </w:rPr>
            </w:pPr>
            <w:r>
              <w:rPr>
                <w:rFonts w:hint="eastAsia"/>
                <w:kern w:val="0"/>
                <w:szCs w:val="21"/>
              </w:rPr>
              <w:t>本项目煤炭的运进运出依靠汽车运输。</w:t>
            </w:r>
          </w:p>
          <w:p>
            <w:pPr>
              <w:autoSpaceDE w:val="0"/>
              <w:autoSpaceDN w:val="0"/>
              <w:adjustRightInd w:val="0"/>
              <w:snapToGrid w:val="0"/>
              <w:spacing w:line="400" w:lineRule="exact"/>
              <w:ind w:firstLine="420" w:firstLineChars="200"/>
              <w:rPr>
                <w:kern w:val="0"/>
                <w:szCs w:val="21"/>
              </w:rPr>
            </w:pPr>
            <w:r>
              <w:rPr>
                <w:rFonts w:hint="eastAsia"/>
                <w:kern w:val="0"/>
                <w:szCs w:val="21"/>
              </w:rPr>
              <w:t>当采购的煤炭运入厂区后，经运输车辆自卸至储煤棚中转堆存。煤炭堆存过程无配煤、破碎、覆膜等工序。</w:t>
            </w:r>
          </w:p>
          <w:p>
            <w:pPr>
              <w:autoSpaceDE w:val="0"/>
              <w:autoSpaceDN w:val="0"/>
              <w:adjustRightInd w:val="0"/>
              <w:snapToGrid w:val="0"/>
              <w:spacing w:line="400" w:lineRule="exact"/>
              <w:ind w:firstLine="420" w:firstLineChars="200"/>
              <w:rPr>
                <w:kern w:val="0"/>
                <w:szCs w:val="21"/>
              </w:rPr>
            </w:pPr>
            <w:r>
              <w:rPr>
                <w:rFonts w:hint="eastAsia"/>
                <w:kern w:val="0"/>
                <w:szCs w:val="21"/>
              </w:rPr>
              <w:t>当储存煤炭数量满足交货要求时直接由铲车装车，经汽车运输至销货方东岳电厂厂区。煤炭的卸料及装载过程均在封闭的储煤棚内部进行，作业时开启喷雾降尘装置，减少煤粉尘的污染影响。本项目堆棚内的煤炭始终处于一个动态状态，很难出现完全空仓或完全满仓的情形，因此本项目不涉及堆棚内的地面冲洗。</w:t>
            </w:r>
          </w:p>
          <w:p>
            <w:pPr>
              <w:autoSpaceDE w:val="0"/>
              <w:autoSpaceDN w:val="0"/>
              <w:adjustRightInd w:val="0"/>
              <w:snapToGrid w:val="0"/>
              <w:spacing w:line="400" w:lineRule="exact"/>
              <w:ind w:firstLine="420" w:firstLineChars="200"/>
              <w:jc w:val="left"/>
              <w:rPr>
                <w:kern w:val="0"/>
                <w:szCs w:val="21"/>
              </w:rPr>
            </w:pPr>
            <w:r>
              <w:rPr>
                <w:kern w:val="0"/>
                <w:szCs w:val="21"/>
              </w:rPr>
              <w:t>营运期工艺流程及产污环节图如下：</w:t>
            </w:r>
          </w:p>
          <w:p>
            <w:pPr>
              <w:pStyle w:val="15"/>
              <w:spacing w:after="0" w:line="240" w:lineRule="auto"/>
              <w:ind w:left="0" w:leftChars="0"/>
              <w:jc w:val="center"/>
            </w:pPr>
            <w:r>
              <w:rPr>
                <w:rFonts w:hint="eastAsia"/>
              </w:rPr>
              <w:drawing>
                <wp:inline distT="0" distB="0" distL="0" distR="0">
                  <wp:extent cx="4478655" cy="102362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a:srcRect/>
                          <a:stretch>
                            <a:fillRect/>
                          </a:stretch>
                        </pic:blipFill>
                        <pic:spPr>
                          <a:xfrm>
                            <a:off x="0" y="0"/>
                            <a:ext cx="4479156" cy="1023840"/>
                          </a:xfrm>
                          <a:prstGeom prst="rect">
                            <a:avLst/>
                          </a:prstGeom>
                          <a:noFill/>
                          <a:ln w="9525">
                            <a:noFill/>
                            <a:miter lim="800000"/>
                            <a:headEnd/>
                            <a:tailEnd/>
                          </a:ln>
                        </pic:spPr>
                      </pic:pic>
                    </a:graphicData>
                  </a:graphic>
                </wp:inline>
              </w:drawing>
            </w:r>
          </w:p>
          <w:p>
            <w:pPr>
              <w:autoSpaceDE w:val="0"/>
              <w:autoSpaceDN w:val="0"/>
              <w:adjustRightInd w:val="0"/>
              <w:snapToGrid w:val="0"/>
              <w:spacing w:before="360" w:beforeLines="150" w:line="410" w:lineRule="exact"/>
              <w:ind w:firstLine="420" w:firstLineChars="200"/>
              <w:jc w:val="left"/>
              <w:rPr>
                <w:b/>
                <w:kern w:val="0"/>
                <w:szCs w:val="21"/>
              </w:rPr>
            </w:pPr>
            <w:r>
              <w:rPr>
                <w:rFonts w:eastAsia="黑体"/>
                <w:bCs/>
              </w:rPr>
              <mc:AlternateContent>
                <mc:Choice Requires="wps">
                  <w:drawing>
                    <wp:anchor distT="0" distB="0" distL="114300" distR="114300" simplePos="0" relativeHeight="251682816" behindDoc="0" locked="0" layoutInCell="1" allowOverlap="1">
                      <wp:simplePos x="0" y="0"/>
                      <wp:positionH relativeFrom="column">
                        <wp:posOffset>-72390</wp:posOffset>
                      </wp:positionH>
                      <wp:positionV relativeFrom="paragraph">
                        <wp:posOffset>-635</wp:posOffset>
                      </wp:positionV>
                      <wp:extent cx="4936490" cy="250825"/>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4936490"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黑体" w:hAnsi="黑体" w:eastAsia="黑体"/>
                                      <w:sz w:val="18"/>
                                      <w:szCs w:val="21"/>
                                    </w:rPr>
                                  </w:pPr>
                                  <w:r>
                                    <w:rPr>
                                      <w:rFonts w:hint="eastAsia" w:ascii="黑体" w:hAnsi="黑体" w:eastAsia="黑体"/>
                                      <w:sz w:val="18"/>
                                      <w:szCs w:val="21"/>
                                    </w:rPr>
                                    <w:t>图7：</w:t>
                                  </w:r>
                                  <w:r>
                                    <w:rPr>
                                      <w:rFonts w:hint="eastAsia" w:ascii="黑体" w:hAnsi="黑体" w:eastAsia="黑体" w:cs="黑体"/>
                                      <w:sz w:val="18"/>
                                      <w:szCs w:val="21"/>
                                    </w:rPr>
                                    <w:t>营运期工艺流程及产污环节图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pt;margin-top:-0.05pt;height:19.75pt;width:388.7pt;z-index:251682816;mso-width-relative:page;mso-height-relative:page;" filled="f" stroked="f" coordsize="21600,21600" o:gfxdata="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FVyG7aAAAACAEAAA8AAAAAAAAAAQAg&#10;AAAAIgAAAGRycy9kb3ducmV2LnhtbFBLAQIUABQAAAAIAIdO4kBMuhw0RQIAAHYEAAAOAAAAAAAA&#10;AAEAIAAAACkBAABkcnMvZTJvRG9jLnhtbFBLBQYAAAAABgAGAFkBAADgBQAAAAA=&#10;">
                      <v:fill on="f" focussize="0,0"/>
                      <v:stroke on="f" weight="0.5pt"/>
                      <v:imagedata o:title=""/>
                      <o:lock v:ext="edit" aspectratio="f"/>
                      <v:textbox>
                        <w:txbxContent>
                          <w:p>
                            <w:pPr>
                              <w:jc w:val="center"/>
                              <w:rPr>
                                <w:rFonts w:ascii="黑体" w:hAnsi="黑体" w:eastAsia="黑体"/>
                                <w:sz w:val="18"/>
                                <w:szCs w:val="21"/>
                              </w:rPr>
                            </w:pPr>
                            <w:r>
                              <w:rPr>
                                <w:rFonts w:hint="eastAsia" w:ascii="黑体" w:hAnsi="黑体" w:eastAsia="黑体"/>
                                <w:sz w:val="18"/>
                                <w:szCs w:val="21"/>
                              </w:rPr>
                              <w:t>图7：</w:t>
                            </w:r>
                            <w:r>
                              <w:rPr>
                                <w:rFonts w:hint="eastAsia" w:ascii="黑体" w:hAnsi="黑体" w:eastAsia="黑体" w:cs="黑体"/>
                                <w:sz w:val="18"/>
                                <w:szCs w:val="21"/>
                              </w:rPr>
                              <w:t>营运期工艺流程及产污环节图</w:t>
                            </w:r>
                          </w:p>
                        </w:txbxContent>
                      </v:textbox>
                    </v:shape>
                  </w:pict>
                </mc:Fallback>
              </mc:AlternateContent>
            </w:r>
            <w:r>
              <w:rPr>
                <w:b/>
                <w:kern w:val="0"/>
                <w:szCs w:val="21"/>
              </w:rPr>
              <w:t>（</w:t>
            </w:r>
            <w:r>
              <w:rPr>
                <w:rFonts w:hint="eastAsia"/>
                <w:b/>
                <w:kern w:val="0"/>
                <w:szCs w:val="21"/>
              </w:rPr>
              <w:t>2</w:t>
            </w:r>
            <w:r>
              <w:rPr>
                <w:b/>
                <w:kern w:val="0"/>
                <w:szCs w:val="21"/>
              </w:rPr>
              <w:t>）产污环节</w:t>
            </w:r>
          </w:p>
          <w:p>
            <w:pPr>
              <w:pStyle w:val="15"/>
              <w:spacing w:after="0" w:line="400" w:lineRule="exact"/>
              <w:ind w:left="0" w:leftChars="0" w:firstLine="420" w:firstLineChars="200"/>
            </w:pPr>
            <w:r>
              <w:rPr>
                <w:rFonts w:hint="eastAsia"/>
              </w:rPr>
              <w:t>①废气</w:t>
            </w:r>
          </w:p>
          <w:p>
            <w:pPr>
              <w:pStyle w:val="15"/>
              <w:spacing w:after="0" w:line="400" w:lineRule="exact"/>
              <w:ind w:left="0" w:leftChars="0" w:firstLine="420" w:firstLineChars="200"/>
            </w:pPr>
            <w:r>
              <w:rPr>
                <w:rFonts w:hint="eastAsia"/>
              </w:rPr>
              <w:t>煤炭在装卸作业过程中，会产生一定的煤粉尘，其起尘量与装卸高度、煤炭含水率等有关。煤炭在堆存过程中，受风力、煤堆的几何形状、含水率等诸多因素影响，会产生一定的扬尘。运输车辆会产生汽车尾气和道路运输扬尘。</w:t>
            </w:r>
          </w:p>
          <w:p>
            <w:pPr>
              <w:pStyle w:val="15"/>
              <w:spacing w:after="0" w:line="400" w:lineRule="exact"/>
              <w:ind w:left="0" w:leftChars="0" w:firstLine="420" w:firstLineChars="200"/>
            </w:pPr>
            <w:r>
              <w:rPr>
                <w:rFonts w:hint="eastAsia"/>
              </w:rPr>
              <w:t>②废水</w:t>
            </w:r>
          </w:p>
          <w:p>
            <w:pPr>
              <w:pStyle w:val="15"/>
              <w:spacing w:after="0" w:line="400" w:lineRule="exact"/>
              <w:ind w:left="0" w:leftChars="0" w:firstLine="420" w:firstLineChars="200"/>
            </w:pPr>
            <w:r>
              <w:rPr>
                <w:rFonts w:hint="eastAsia"/>
              </w:rPr>
              <w:t>根据工程分析，营运期喷雾降尘水不会形成废水。生产废水主要来自于露天场地冲洗废水、车辆冲洗废水以及员工的少量生活污水。雨季也会产生少量的初期雨水。</w:t>
            </w:r>
          </w:p>
          <w:p>
            <w:pPr>
              <w:pStyle w:val="15"/>
              <w:spacing w:after="0" w:line="400" w:lineRule="exact"/>
              <w:ind w:left="0" w:leftChars="0" w:firstLine="420" w:firstLineChars="200"/>
            </w:pPr>
            <w:r>
              <w:rPr>
                <w:rFonts w:hint="eastAsia"/>
              </w:rPr>
              <w:t>③噪声</w:t>
            </w:r>
          </w:p>
          <w:p>
            <w:pPr>
              <w:pStyle w:val="15"/>
              <w:spacing w:after="0" w:line="400" w:lineRule="exact"/>
              <w:ind w:left="0" w:leftChars="0" w:firstLine="420" w:firstLineChars="200"/>
            </w:pPr>
            <w:r>
              <w:rPr>
                <w:rFonts w:hint="eastAsia"/>
              </w:rPr>
              <w:t>主要来源于装载机、回用水泵等设备运行噪声，噪声源强为65～85dB(A)。 另外，物料运输车辆会产生一定的交通噪声，噪声声压级约为70～85dB(A)。</w:t>
            </w:r>
          </w:p>
          <w:p>
            <w:pPr>
              <w:pStyle w:val="15"/>
              <w:spacing w:after="0" w:line="400" w:lineRule="exact"/>
              <w:ind w:left="0" w:leftChars="0" w:firstLine="420" w:firstLineChars="200"/>
            </w:pPr>
            <w:r>
              <w:rPr>
                <w:rFonts w:hint="eastAsia"/>
              </w:rPr>
              <w:t>④固体废物</w:t>
            </w:r>
          </w:p>
          <w:p>
            <w:pPr>
              <w:pStyle w:val="15"/>
              <w:spacing w:after="0" w:line="400" w:lineRule="exact"/>
              <w:ind w:left="0" w:leftChars="0" w:firstLine="420" w:firstLineChars="200"/>
              <w:rPr>
                <w:kern w:val="0"/>
                <w:szCs w:val="21"/>
              </w:rPr>
            </w:pPr>
            <w:r>
              <w:rPr>
                <w:rFonts w:hint="eastAsia"/>
              </w:rPr>
              <w:t>主要为废水沉淀池产生的煤泥、员工的生活垃圾。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718" w:type="dxa"/>
            <w:tcBorders>
              <w:top w:val="single" w:color="auto" w:sz="4" w:space="0"/>
              <w:left w:val="single" w:color="auto" w:sz="8" w:space="0"/>
              <w:bottom w:val="single" w:color="auto" w:sz="8" w:space="0"/>
              <w:right w:val="single" w:color="auto" w:sz="4" w:space="0"/>
            </w:tcBorders>
            <w:vAlign w:val="center"/>
          </w:tcPr>
          <w:p>
            <w:pPr>
              <w:pStyle w:val="19"/>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bCs/>
                <w:sz w:val="21"/>
                <w:szCs w:val="21"/>
              </w:rPr>
            </w:pPr>
            <w:r>
              <w:rPr>
                <w:rFonts w:ascii="Times New Roman" w:hAnsi="Times New Roman" w:cs="Times New Roman"/>
                <w:bCs/>
                <w:sz w:val="21"/>
                <w:szCs w:val="21"/>
              </w:rPr>
              <w:t>与项目有关的原有环境污染问题</w:t>
            </w:r>
          </w:p>
          <w:p>
            <w:pPr>
              <w:pStyle w:val="19"/>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sz w:val="21"/>
                <w:szCs w:val="21"/>
              </w:rPr>
            </w:pPr>
          </w:p>
          <w:p>
            <w:pPr>
              <w:pStyle w:val="19"/>
              <w:adjustRightInd w:val="0"/>
              <w:snapToGrid w:val="0"/>
              <w:spacing w:before="0" w:beforeAutospacing="0" w:after="0" w:afterAutospacing="0" w:line="100" w:lineRule="exact"/>
              <w:jc w:val="center"/>
              <w:rPr>
                <w:rFonts w:ascii="Times New Roman" w:hAnsi="Times New Roman" w:cs="Times New Roman"/>
                <w:sz w:val="21"/>
                <w:szCs w:val="21"/>
              </w:rPr>
            </w:pPr>
          </w:p>
        </w:tc>
        <w:tc>
          <w:tcPr>
            <w:tcW w:w="8089" w:type="dxa"/>
            <w:tcBorders>
              <w:top w:val="single" w:color="auto" w:sz="4" w:space="0"/>
              <w:left w:val="single" w:color="auto" w:sz="4" w:space="0"/>
              <w:bottom w:val="single" w:color="auto" w:sz="8" w:space="0"/>
              <w:right w:val="single" w:color="auto" w:sz="8" w:space="0"/>
            </w:tcBorders>
            <w:vAlign w:val="center"/>
          </w:tcPr>
          <w:p>
            <w:pPr>
              <w:autoSpaceDE w:val="0"/>
              <w:autoSpaceDN w:val="0"/>
              <w:adjustRightInd w:val="0"/>
              <w:snapToGrid w:val="0"/>
              <w:spacing w:line="400" w:lineRule="exact"/>
              <w:ind w:firstLine="420" w:firstLineChars="200"/>
              <w:jc w:val="left"/>
            </w:pPr>
            <w:r>
              <w:rPr>
                <w:rFonts w:hint="eastAsia"/>
              </w:rPr>
              <w:t>本项目为新建项目，就本项目而言，不涉及“与本项目有关的原有污染情况及主要环境问题”。</w:t>
            </w:r>
          </w:p>
          <w:p>
            <w:pPr>
              <w:autoSpaceDE w:val="0"/>
              <w:autoSpaceDN w:val="0"/>
              <w:adjustRightInd w:val="0"/>
              <w:snapToGrid w:val="0"/>
              <w:spacing w:line="400" w:lineRule="exact"/>
              <w:ind w:firstLine="420" w:firstLineChars="200"/>
              <w:jc w:val="left"/>
            </w:pPr>
            <w:r>
              <w:rPr>
                <w:rFonts w:hint="eastAsia"/>
                <w:kern w:val="0"/>
                <w:szCs w:val="21"/>
              </w:rPr>
              <w:t>经环评调查，本项目已于2020年建成投产。目前处于停产状态。经现场踏勘，项目存在的主要环境问题如下：</w:t>
            </w:r>
          </w:p>
          <w:p>
            <w:pPr>
              <w:autoSpaceDE w:val="0"/>
              <w:autoSpaceDN w:val="0"/>
              <w:adjustRightInd w:val="0"/>
              <w:snapToGrid w:val="0"/>
              <w:spacing w:line="400" w:lineRule="exact"/>
              <w:ind w:firstLine="420" w:firstLineChars="200"/>
              <w:jc w:val="left"/>
            </w:pPr>
            <w:r>
              <w:rPr>
                <w:rFonts w:hint="eastAsia"/>
              </w:rPr>
              <w:t>1、该堆煤场仅设有防雨顶棚，四周未采取封闭措施。根据《达州市大气环境质量限期达标规划（2018-2030年）》的要求：“工业企业堆场实施规范化全封闭管理。易产生扬尘的物料堆场采取封闭式库仓，不具备封闭式库仓改造条件的，应设置不低于料堆高度的严密围挡，且采取覆盖措施有效控制扬尘污染；堆场内进行搅拌、粉碎、筛分等作业时应喷水抑尘，在重污染天气时禁止进行产生扬尘的作业……”。本项目应对储煤棚采取封闭措施（拟设封闭式储煤棚），安装喷雾降尘等防尘装置，避免煤粉尘对周围环境造成污染影响。</w:t>
            </w:r>
          </w:p>
          <w:p>
            <w:pPr>
              <w:autoSpaceDE w:val="0"/>
              <w:autoSpaceDN w:val="0"/>
              <w:adjustRightInd w:val="0"/>
              <w:snapToGrid w:val="0"/>
              <w:spacing w:line="400" w:lineRule="exact"/>
              <w:ind w:firstLine="420" w:firstLineChars="200"/>
              <w:jc w:val="left"/>
            </w:pPr>
            <w:r>
              <w:rPr>
                <w:rFonts w:hint="eastAsia"/>
              </w:rPr>
              <w:t>2、项目堆煤场未采取喷雾降尘措施，不满足环保要求。</w:t>
            </w:r>
          </w:p>
          <w:p>
            <w:pPr>
              <w:autoSpaceDE w:val="0"/>
              <w:autoSpaceDN w:val="0"/>
              <w:adjustRightInd w:val="0"/>
              <w:snapToGrid w:val="0"/>
              <w:spacing w:line="400" w:lineRule="exact"/>
              <w:ind w:firstLine="420" w:firstLineChars="200"/>
              <w:jc w:val="left"/>
            </w:pPr>
          </w:p>
          <w:p>
            <w:pPr>
              <w:pStyle w:val="15"/>
            </w:pPr>
          </w:p>
          <w:p>
            <w:pPr>
              <w:pStyle w:val="15"/>
            </w:pPr>
          </w:p>
          <w:p>
            <w:pPr>
              <w:pStyle w:val="15"/>
            </w:pPr>
          </w:p>
          <w:p>
            <w:pPr>
              <w:pStyle w:val="15"/>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tc>
      </w:tr>
    </w:tbl>
    <w:p>
      <w:pPr>
        <w:widowControl/>
        <w:jc w:val="left"/>
        <w:rPr>
          <w:rFonts w:eastAsia="黑体"/>
          <w:snapToGrid w:val="0"/>
          <w:kern w:val="0"/>
          <w:sz w:val="36"/>
          <w:szCs w:val="36"/>
        </w:rPr>
        <w:sectPr>
          <w:pgSz w:w="11906" w:h="16838"/>
          <w:pgMar w:top="1701" w:right="1531" w:bottom="1701" w:left="1531" w:header="851" w:footer="1077" w:gutter="0"/>
          <w:pgNumType w:fmt="numberInDash"/>
          <w:cols w:space="720" w:num="1"/>
          <w:docGrid w:linePitch="286" w:charSpace="0"/>
        </w:sectPr>
      </w:pPr>
    </w:p>
    <w:p>
      <w:pPr>
        <w:pStyle w:val="19"/>
        <w:jc w:val="center"/>
        <w:outlineLvl w:val="0"/>
        <w:rPr>
          <w:rFonts w:ascii="Times New Roman" w:hAnsi="Times New Roman" w:eastAsia="黑体" w:cs="Times New Roman"/>
          <w:snapToGrid w:val="0"/>
          <w:sz w:val="30"/>
          <w:szCs w:val="30"/>
        </w:rPr>
      </w:pPr>
      <w:r>
        <w:rPr>
          <w:rFonts w:ascii="Times New Roman" w:hAnsi="Times New Roman" w:eastAsia="黑体" w:cs="Times New Roman"/>
          <w:snapToGrid w:val="0"/>
          <w:sz w:val="30"/>
          <w:szCs w:val="30"/>
        </w:rPr>
        <w:t>三、区域环境质量现状、环境保护目标及评价标准</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92"/>
        <w:gridCol w:w="812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6" w:hRule="atLeast"/>
          <w:jc w:val="center"/>
        </w:trPr>
        <w:tc>
          <w:tcPr>
            <w:tcW w:w="792" w:type="dxa"/>
            <w:tcBorders>
              <w:top w:val="single" w:color="auto" w:sz="8" w:space="0"/>
              <w:left w:val="single" w:color="auto" w:sz="8" w:space="0"/>
              <w:bottom w:val="single" w:color="auto" w:sz="4" w:space="0"/>
              <w:right w:val="single" w:color="auto" w:sz="4" w:space="0"/>
            </w:tcBorders>
            <w:vAlign w:val="center"/>
          </w:tcPr>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pStyle w:val="15"/>
            </w:pPr>
          </w:p>
          <w:p>
            <w:pPr>
              <w:adjustRightInd w:val="0"/>
              <w:snapToGrid w:val="0"/>
              <w:jc w:val="center"/>
              <w:rPr>
                <w:kern w:val="0"/>
                <w:szCs w:val="21"/>
              </w:rPr>
            </w:pPr>
            <w:r>
              <w:rPr>
                <w:kern w:val="0"/>
                <w:szCs w:val="21"/>
              </w:rPr>
              <w:t>区域</w:t>
            </w:r>
          </w:p>
          <w:p>
            <w:pPr>
              <w:adjustRightInd w:val="0"/>
              <w:snapToGrid w:val="0"/>
              <w:jc w:val="center"/>
              <w:rPr>
                <w:kern w:val="0"/>
                <w:szCs w:val="21"/>
              </w:rPr>
            </w:pPr>
            <w:r>
              <w:rPr>
                <w:kern w:val="0"/>
                <w:szCs w:val="21"/>
              </w:rPr>
              <w:t>环境</w:t>
            </w:r>
          </w:p>
          <w:p>
            <w:pPr>
              <w:adjustRightInd w:val="0"/>
              <w:snapToGrid w:val="0"/>
              <w:jc w:val="center"/>
              <w:rPr>
                <w:kern w:val="0"/>
                <w:szCs w:val="21"/>
              </w:rPr>
            </w:pPr>
            <w:r>
              <w:rPr>
                <w:kern w:val="0"/>
                <w:szCs w:val="21"/>
              </w:rPr>
              <w:t>质量</w:t>
            </w:r>
          </w:p>
          <w:p>
            <w:pPr>
              <w:adjustRightInd w:val="0"/>
              <w:snapToGrid w:val="0"/>
              <w:jc w:val="center"/>
              <w:rPr>
                <w:kern w:val="0"/>
                <w:szCs w:val="21"/>
              </w:rPr>
            </w:pPr>
            <w:r>
              <w:rPr>
                <w:kern w:val="0"/>
                <w:szCs w:val="21"/>
              </w:rPr>
              <w:t>现状</w:t>
            </w: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pStyle w:val="15"/>
            </w:pPr>
          </w:p>
          <w:p>
            <w:pPr>
              <w:pStyle w:val="15"/>
            </w:pPr>
          </w:p>
          <w:p>
            <w:pPr>
              <w:pStyle w:val="15"/>
            </w:pPr>
          </w:p>
          <w:p>
            <w:pPr>
              <w:pStyle w:val="15"/>
            </w:pPr>
          </w:p>
          <w:p>
            <w:pPr>
              <w:pStyle w:val="15"/>
            </w:pPr>
          </w:p>
          <w:p>
            <w:pPr>
              <w:adjustRightInd w:val="0"/>
              <w:snapToGrid w:val="0"/>
              <w:jc w:val="center"/>
              <w:rPr>
                <w:kern w:val="0"/>
                <w:szCs w:val="21"/>
              </w:rPr>
            </w:pPr>
          </w:p>
          <w:p>
            <w:pPr>
              <w:adjustRightInd w:val="0"/>
              <w:snapToGrid w:val="0"/>
              <w:jc w:val="center"/>
              <w:rPr>
                <w:kern w:val="0"/>
                <w:szCs w:val="21"/>
              </w:rPr>
            </w:pPr>
            <w:r>
              <w:rPr>
                <w:kern w:val="0"/>
                <w:szCs w:val="21"/>
              </w:rPr>
              <w:t>区域</w:t>
            </w:r>
          </w:p>
          <w:p>
            <w:pPr>
              <w:adjustRightInd w:val="0"/>
              <w:snapToGrid w:val="0"/>
              <w:jc w:val="center"/>
              <w:rPr>
                <w:kern w:val="0"/>
                <w:szCs w:val="21"/>
              </w:rPr>
            </w:pPr>
            <w:r>
              <w:rPr>
                <w:kern w:val="0"/>
                <w:szCs w:val="21"/>
              </w:rPr>
              <w:t>环境</w:t>
            </w:r>
          </w:p>
          <w:p>
            <w:pPr>
              <w:adjustRightInd w:val="0"/>
              <w:snapToGrid w:val="0"/>
              <w:jc w:val="center"/>
              <w:rPr>
                <w:kern w:val="0"/>
                <w:szCs w:val="21"/>
              </w:rPr>
            </w:pPr>
            <w:r>
              <w:rPr>
                <w:kern w:val="0"/>
                <w:szCs w:val="21"/>
              </w:rPr>
              <w:t>质量</w:t>
            </w:r>
          </w:p>
          <w:p>
            <w:pPr>
              <w:adjustRightInd w:val="0"/>
              <w:snapToGrid w:val="0"/>
              <w:jc w:val="center"/>
              <w:rPr>
                <w:kern w:val="0"/>
                <w:szCs w:val="21"/>
              </w:rPr>
            </w:pPr>
            <w:r>
              <w:rPr>
                <w:kern w:val="0"/>
                <w:szCs w:val="21"/>
              </w:rPr>
              <w:t>现状</w:t>
            </w:r>
          </w:p>
          <w:p>
            <w:pPr>
              <w:pStyle w:val="15"/>
            </w:pPr>
          </w:p>
          <w:p>
            <w:pPr>
              <w:pStyle w:val="15"/>
            </w:pPr>
          </w:p>
        </w:tc>
        <w:tc>
          <w:tcPr>
            <w:tcW w:w="8127" w:type="dxa"/>
            <w:tcBorders>
              <w:top w:val="single" w:color="auto" w:sz="8" w:space="0"/>
              <w:left w:val="single" w:color="auto" w:sz="4" w:space="0"/>
              <w:bottom w:val="single" w:color="auto" w:sz="4" w:space="0"/>
              <w:right w:val="single" w:color="auto" w:sz="8" w:space="0"/>
            </w:tcBorders>
            <w:vAlign w:val="center"/>
          </w:tcPr>
          <w:p>
            <w:pPr>
              <w:adjustRightInd w:val="0"/>
              <w:snapToGrid w:val="0"/>
              <w:spacing w:line="400" w:lineRule="exact"/>
              <w:ind w:left="-53" w:leftChars="-25" w:right="-53" w:rightChars="-25"/>
              <w:jc w:val="left"/>
              <w:rPr>
                <w:rFonts w:eastAsia="黑体"/>
                <w:bCs/>
                <w:sz w:val="22"/>
                <w:szCs w:val="22"/>
              </w:rPr>
            </w:pPr>
            <w:r>
              <w:rPr>
                <w:rFonts w:eastAsia="黑体"/>
                <w:bCs/>
                <w:sz w:val="22"/>
                <w:szCs w:val="22"/>
              </w:rPr>
              <w:t>1、环境空气质量现状及评价</w:t>
            </w:r>
          </w:p>
          <w:p>
            <w:pPr>
              <w:autoSpaceDE w:val="0"/>
              <w:autoSpaceDN w:val="0"/>
              <w:adjustRightInd w:val="0"/>
              <w:snapToGrid w:val="0"/>
              <w:spacing w:line="400" w:lineRule="exact"/>
              <w:ind w:firstLine="422" w:firstLineChars="200"/>
              <w:jc w:val="left"/>
              <w:rPr>
                <w:rFonts w:cs="宋体"/>
                <w:b/>
                <w:kern w:val="0"/>
                <w:szCs w:val="21"/>
              </w:rPr>
            </w:pPr>
            <w:r>
              <w:rPr>
                <w:rFonts w:hint="eastAsia" w:cs="宋体"/>
                <w:b/>
                <w:kern w:val="0"/>
                <w:szCs w:val="21"/>
              </w:rPr>
              <w:t>（1）达标区判定</w:t>
            </w:r>
          </w:p>
          <w:p>
            <w:pPr>
              <w:autoSpaceDE w:val="0"/>
              <w:autoSpaceDN w:val="0"/>
              <w:adjustRightInd w:val="0"/>
              <w:snapToGrid w:val="0"/>
              <w:spacing w:line="400" w:lineRule="exact"/>
              <w:ind w:firstLine="420" w:firstLineChars="200"/>
              <w:rPr>
                <w:kern w:val="0"/>
              </w:rPr>
            </w:pPr>
            <w:r>
              <w:rPr>
                <w:rFonts w:ascii="宋体" w:hAnsi="宋体"/>
                <w:kern w:val="0"/>
              </w:rPr>
              <w:t>根据达州市生态环境局官方网站发布的</w:t>
            </w:r>
            <w:r>
              <w:rPr>
                <w:kern w:val="0"/>
              </w:rPr>
              <w:t>2022</w:t>
            </w:r>
            <w:r>
              <w:rPr>
                <w:rFonts w:ascii="宋体" w:hAnsi="宋体"/>
                <w:kern w:val="0"/>
              </w:rPr>
              <w:t>年</w:t>
            </w:r>
            <w:r>
              <w:rPr>
                <w:kern w:val="0"/>
              </w:rPr>
              <w:t>1~12</w:t>
            </w:r>
            <w:r>
              <w:rPr>
                <w:rFonts w:ascii="宋体" w:hAnsi="宋体"/>
                <w:kern w:val="0"/>
              </w:rPr>
              <w:t>月《达州市各县（市、区）环境空气质量月报》，项目所在地东岳镇属于达州市通川区，评价采用</w:t>
            </w:r>
            <w:r>
              <w:rPr>
                <w:kern w:val="0"/>
              </w:rPr>
              <w:t>2022</w:t>
            </w:r>
            <w:r>
              <w:rPr>
                <w:rFonts w:ascii="宋体" w:hAnsi="宋体"/>
                <w:kern w:val="0"/>
              </w:rPr>
              <w:t>年通川区各月环境空气质量进行评价，见下表。</w:t>
            </w:r>
          </w:p>
          <w:p>
            <w:pPr>
              <w:autoSpaceDE w:val="0"/>
              <w:autoSpaceDN w:val="0"/>
              <w:adjustRightInd w:val="0"/>
              <w:snapToGrid w:val="0"/>
              <w:spacing w:line="360" w:lineRule="exact"/>
              <w:jc w:val="center"/>
              <w:rPr>
                <w:rFonts w:eastAsia="黑体"/>
                <w:kern w:val="0"/>
                <w:sz w:val="18"/>
                <w:szCs w:val="20"/>
              </w:rPr>
            </w:pPr>
            <w:r>
              <w:rPr>
                <w:rFonts w:hint="eastAsia" w:eastAsia="黑体"/>
                <w:kern w:val="0"/>
                <w:sz w:val="18"/>
                <w:szCs w:val="20"/>
              </w:rPr>
              <w:t xml:space="preserve">表3-1   </w:t>
            </w:r>
            <w:r>
              <w:rPr>
                <w:rFonts w:eastAsia="黑体"/>
                <w:kern w:val="0"/>
                <w:sz w:val="18"/>
                <w:szCs w:val="20"/>
              </w:rPr>
              <w:t>2022</w:t>
            </w:r>
            <w:r>
              <w:rPr>
                <w:rFonts w:ascii="黑体" w:hAnsi="黑体" w:eastAsia="黑体"/>
                <w:kern w:val="0"/>
                <w:sz w:val="18"/>
                <w:szCs w:val="20"/>
              </w:rPr>
              <w:t>年通川区环境空气质量统计表</w:t>
            </w:r>
          </w:p>
          <w:tbl>
            <w:tblPr>
              <w:tblStyle w:val="21"/>
              <w:tblW w:w="796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7"/>
              <w:gridCol w:w="550"/>
              <w:gridCol w:w="528"/>
              <w:gridCol w:w="571"/>
              <w:gridCol w:w="496"/>
              <w:gridCol w:w="562"/>
              <w:gridCol w:w="539"/>
              <w:gridCol w:w="919"/>
              <w:gridCol w:w="884"/>
              <w:gridCol w:w="611"/>
              <w:gridCol w:w="872"/>
              <w:gridCol w:w="8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 w:hRule="atLeast"/>
                <w:jc w:val="center"/>
              </w:trPr>
              <w:tc>
                <w:tcPr>
                  <w:tcW w:w="627" w:type="dxa"/>
                  <w:vAlign w:val="center"/>
                </w:tcPr>
                <w:p>
                  <w:pPr>
                    <w:pStyle w:val="19"/>
                    <w:autoSpaceDE w:val="0"/>
                    <w:spacing w:before="0" w:beforeAutospacing="0" w:after="0" w:afterAutospacing="0" w:line="280" w:lineRule="exact"/>
                    <w:jc w:val="center"/>
                    <w:rPr>
                      <w:rFonts w:ascii="Times New Roman" w:hAnsi="Times New Roman"/>
                      <w:b/>
                      <w:bCs/>
                      <w:sz w:val="18"/>
                      <w:szCs w:val="18"/>
                    </w:rPr>
                  </w:pPr>
                  <w:r>
                    <w:rPr>
                      <w:b/>
                      <w:bCs/>
                      <w:sz w:val="18"/>
                      <w:szCs w:val="18"/>
                    </w:rPr>
                    <w:t>月份</w:t>
                  </w:r>
                </w:p>
              </w:tc>
              <w:tc>
                <w:tcPr>
                  <w:tcW w:w="550" w:type="dxa"/>
                  <w:vAlign w:val="center"/>
                </w:tcPr>
                <w:p>
                  <w:pPr>
                    <w:pStyle w:val="19"/>
                    <w:autoSpaceDE w:val="0"/>
                    <w:spacing w:before="0" w:beforeAutospacing="0" w:after="0" w:afterAutospacing="0" w:line="280" w:lineRule="exact"/>
                    <w:jc w:val="center"/>
                    <w:rPr>
                      <w:rFonts w:ascii="Times New Roman" w:hAnsi="Times New Roman"/>
                      <w:b/>
                      <w:bCs/>
                      <w:kern w:val="0"/>
                      <w:sz w:val="18"/>
                      <w:szCs w:val="18"/>
                    </w:rPr>
                  </w:pPr>
                  <w:r>
                    <w:rPr>
                      <w:rFonts w:ascii="Times New Roman" w:hAnsi="Times New Roman"/>
                      <w:b/>
                      <w:bCs/>
                      <w:sz w:val="18"/>
                      <w:szCs w:val="18"/>
                    </w:rPr>
                    <w:t>SO</w:t>
                  </w:r>
                  <w:r>
                    <w:rPr>
                      <w:rFonts w:ascii="Times New Roman" w:hAnsi="Times New Roman"/>
                      <w:b/>
                      <w:bCs/>
                      <w:sz w:val="18"/>
                      <w:szCs w:val="18"/>
                      <w:vertAlign w:val="subscript"/>
                    </w:rPr>
                    <w:t>2</w:t>
                  </w:r>
                  <w:r>
                    <w:rPr>
                      <w:b/>
                      <w:bCs/>
                      <w:spacing w:val="-11"/>
                      <w:vertAlign w:val="subscript"/>
                    </w:rPr>
                    <w:t>（</w:t>
                  </w:r>
                  <w:r>
                    <w:rPr>
                      <w:rFonts w:ascii="Times New Roman" w:hAnsi="Times New Roman"/>
                      <w:b/>
                      <w:bCs/>
                      <w:spacing w:val="-11"/>
                      <w:vertAlign w:val="subscript"/>
                    </w:rPr>
                    <w:t>ug/m</w:t>
                  </w:r>
                  <w:r>
                    <w:rPr>
                      <w:rFonts w:ascii="Times New Roman" w:hAnsi="Times New Roman"/>
                      <w:b/>
                      <w:bCs/>
                      <w:spacing w:val="-11"/>
                      <w:sz w:val="16"/>
                      <w:szCs w:val="16"/>
                      <w:vertAlign w:val="superscript"/>
                    </w:rPr>
                    <w:t>3</w:t>
                  </w:r>
                  <w:r>
                    <w:rPr>
                      <w:b/>
                      <w:bCs/>
                      <w:spacing w:val="-11"/>
                      <w:vertAlign w:val="subscript"/>
                    </w:rPr>
                    <w:t>）</w:t>
                  </w:r>
                </w:p>
              </w:tc>
              <w:tc>
                <w:tcPr>
                  <w:tcW w:w="528" w:type="dxa"/>
                  <w:vAlign w:val="center"/>
                </w:tcPr>
                <w:p>
                  <w:pPr>
                    <w:pStyle w:val="19"/>
                    <w:autoSpaceDE w:val="0"/>
                    <w:spacing w:before="0" w:beforeAutospacing="0" w:after="0" w:afterAutospacing="0" w:line="280" w:lineRule="exact"/>
                    <w:jc w:val="center"/>
                    <w:rPr>
                      <w:rFonts w:ascii="Times New Roman" w:hAnsi="Times New Roman"/>
                      <w:b/>
                      <w:bCs/>
                      <w:kern w:val="0"/>
                      <w:sz w:val="18"/>
                      <w:szCs w:val="18"/>
                    </w:rPr>
                  </w:pPr>
                  <w:r>
                    <w:rPr>
                      <w:rFonts w:ascii="Times New Roman" w:hAnsi="Times New Roman"/>
                      <w:b/>
                      <w:bCs/>
                      <w:sz w:val="18"/>
                      <w:szCs w:val="18"/>
                    </w:rPr>
                    <w:t>NO</w:t>
                  </w:r>
                  <w:r>
                    <w:rPr>
                      <w:rFonts w:ascii="Times New Roman" w:hAnsi="Times New Roman"/>
                      <w:b/>
                      <w:bCs/>
                      <w:sz w:val="18"/>
                      <w:szCs w:val="18"/>
                      <w:vertAlign w:val="subscript"/>
                    </w:rPr>
                    <w:t>2</w:t>
                  </w:r>
                  <w:r>
                    <w:rPr>
                      <w:b/>
                      <w:bCs/>
                      <w:spacing w:val="-11"/>
                      <w:vertAlign w:val="subscript"/>
                    </w:rPr>
                    <w:t>（</w:t>
                  </w:r>
                  <w:r>
                    <w:rPr>
                      <w:rFonts w:ascii="Times New Roman" w:hAnsi="Times New Roman"/>
                      <w:b/>
                      <w:bCs/>
                      <w:spacing w:val="-11"/>
                      <w:vertAlign w:val="subscript"/>
                    </w:rPr>
                    <w:t>ug/m</w:t>
                  </w:r>
                  <w:r>
                    <w:rPr>
                      <w:rFonts w:ascii="Times New Roman" w:hAnsi="Times New Roman"/>
                      <w:b/>
                      <w:bCs/>
                      <w:spacing w:val="-11"/>
                      <w:sz w:val="16"/>
                      <w:szCs w:val="16"/>
                      <w:vertAlign w:val="superscript"/>
                    </w:rPr>
                    <w:t>3</w:t>
                  </w:r>
                  <w:r>
                    <w:rPr>
                      <w:b/>
                      <w:bCs/>
                      <w:spacing w:val="-11"/>
                      <w:vertAlign w:val="subscript"/>
                    </w:rPr>
                    <w:t>）</w:t>
                  </w:r>
                </w:p>
              </w:tc>
              <w:tc>
                <w:tcPr>
                  <w:tcW w:w="571" w:type="dxa"/>
                  <w:vAlign w:val="center"/>
                </w:tcPr>
                <w:p>
                  <w:pPr>
                    <w:pStyle w:val="19"/>
                    <w:autoSpaceDE w:val="0"/>
                    <w:spacing w:before="0" w:beforeAutospacing="0" w:after="0" w:afterAutospacing="0" w:line="280" w:lineRule="exact"/>
                    <w:jc w:val="center"/>
                    <w:rPr>
                      <w:rFonts w:ascii="Times New Roman" w:hAnsi="Times New Roman"/>
                      <w:b/>
                      <w:bCs/>
                      <w:sz w:val="18"/>
                      <w:szCs w:val="18"/>
                    </w:rPr>
                  </w:pPr>
                  <w:r>
                    <w:rPr>
                      <w:rFonts w:ascii="Times New Roman" w:hAnsi="Times New Roman"/>
                      <w:b/>
                      <w:bCs/>
                      <w:sz w:val="18"/>
                      <w:szCs w:val="18"/>
                    </w:rPr>
                    <w:t>CO</w:t>
                  </w:r>
                  <w:r>
                    <w:rPr>
                      <w:b/>
                      <w:bCs/>
                      <w:spacing w:val="-11"/>
                      <w:vertAlign w:val="subscript"/>
                    </w:rPr>
                    <w:t>（</w:t>
                  </w:r>
                  <w:r>
                    <w:rPr>
                      <w:rFonts w:ascii="Times New Roman" w:hAnsi="Times New Roman"/>
                      <w:b/>
                      <w:bCs/>
                      <w:spacing w:val="-11"/>
                      <w:vertAlign w:val="subscript"/>
                    </w:rPr>
                    <w:t>mg/m</w:t>
                  </w:r>
                  <w:r>
                    <w:rPr>
                      <w:rFonts w:ascii="Times New Roman" w:hAnsi="Times New Roman"/>
                      <w:b/>
                      <w:bCs/>
                      <w:spacing w:val="-11"/>
                      <w:sz w:val="16"/>
                      <w:szCs w:val="16"/>
                      <w:vertAlign w:val="superscript"/>
                    </w:rPr>
                    <w:t>3</w:t>
                  </w:r>
                  <w:r>
                    <w:rPr>
                      <w:b/>
                      <w:bCs/>
                      <w:spacing w:val="-11"/>
                      <w:vertAlign w:val="subscript"/>
                    </w:rPr>
                    <w:t>）</w:t>
                  </w:r>
                </w:p>
              </w:tc>
              <w:tc>
                <w:tcPr>
                  <w:tcW w:w="496" w:type="dxa"/>
                  <w:vAlign w:val="center"/>
                </w:tcPr>
                <w:p>
                  <w:pPr>
                    <w:pStyle w:val="19"/>
                    <w:autoSpaceDE w:val="0"/>
                    <w:spacing w:before="0" w:beforeAutospacing="0" w:after="0" w:afterAutospacing="0" w:line="280" w:lineRule="exact"/>
                    <w:jc w:val="center"/>
                    <w:rPr>
                      <w:rFonts w:ascii="Times New Roman" w:hAnsi="Times New Roman"/>
                      <w:b/>
                      <w:bCs/>
                      <w:sz w:val="18"/>
                      <w:szCs w:val="18"/>
                    </w:rPr>
                  </w:pPr>
                  <w:r>
                    <w:rPr>
                      <w:rFonts w:ascii="Times New Roman" w:hAnsi="Times New Roman"/>
                      <w:b/>
                      <w:bCs/>
                      <w:sz w:val="18"/>
                      <w:szCs w:val="18"/>
                    </w:rPr>
                    <w:t>O</w:t>
                  </w:r>
                  <w:r>
                    <w:rPr>
                      <w:rFonts w:ascii="Times New Roman" w:hAnsi="Times New Roman"/>
                      <w:b/>
                      <w:bCs/>
                      <w:sz w:val="18"/>
                      <w:szCs w:val="18"/>
                      <w:vertAlign w:val="subscript"/>
                    </w:rPr>
                    <w:t>3</w:t>
                  </w:r>
                  <w:r>
                    <w:rPr>
                      <w:b/>
                      <w:bCs/>
                      <w:spacing w:val="-11"/>
                      <w:vertAlign w:val="subscript"/>
                    </w:rPr>
                    <w:t>（</w:t>
                  </w:r>
                  <w:r>
                    <w:rPr>
                      <w:rFonts w:ascii="Times New Roman" w:hAnsi="Times New Roman"/>
                      <w:b/>
                      <w:bCs/>
                      <w:spacing w:val="-11"/>
                      <w:vertAlign w:val="subscript"/>
                    </w:rPr>
                    <w:t>ug/m</w:t>
                  </w:r>
                  <w:r>
                    <w:rPr>
                      <w:rFonts w:ascii="Times New Roman" w:hAnsi="Times New Roman"/>
                      <w:b/>
                      <w:bCs/>
                      <w:spacing w:val="-11"/>
                      <w:sz w:val="16"/>
                      <w:szCs w:val="16"/>
                      <w:vertAlign w:val="superscript"/>
                    </w:rPr>
                    <w:t>3</w:t>
                  </w:r>
                  <w:r>
                    <w:rPr>
                      <w:b/>
                      <w:bCs/>
                      <w:spacing w:val="-11"/>
                      <w:vertAlign w:val="subscript"/>
                    </w:rPr>
                    <w:t>）</w:t>
                  </w:r>
                </w:p>
              </w:tc>
              <w:tc>
                <w:tcPr>
                  <w:tcW w:w="562" w:type="dxa"/>
                  <w:vAlign w:val="center"/>
                </w:tcPr>
                <w:p>
                  <w:pPr>
                    <w:pStyle w:val="19"/>
                    <w:autoSpaceDE w:val="0"/>
                    <w:spacing w:before="0" w:beforeAutospacing="0" w:after="0" w:afterAutospacing="0" w:line="280" w:lineRule="exact"/>
                    <w:jc w:val="center"/>
                    <w:rPr>
                      <w:rFonts w:ascii="Times New Roman" w:hAnsi="Times New Roman"/>
                      <w:b/>
                      <w:bCs/>
                      <w:sz w:val="18"/>
                      <w:szCs w:val="18"/>
                    </w:rPr>
                  </w:pPr>
                  <w:r>
                    <w:rPr>
                      <w:rFonts w:ascii="Times New Roman" w:hAnsi="Times New Roman"/>
                      <w:b/>
                      <w:bCs/>
                      <w:sz w:val="18"/>
                      <w:szCs w:val="18"/>
                    </w:rPr>
                    <w:t>PM</w:t>
                  </w:r>
                  <w:r>
                    <w:rPr>
                      <w:rFonts w:ascii="Times New Roman" w:hAnsi="Times New Roman"/>
                      <w:b/>
                      <w:bCs/>
                      <w:sz w:val="18"/>
                      <w:szCs w:val="18"/>
                      <w:vertAlign w:val="subscript"/>
                    </w:rPr>
                    <w:t>2.5</w:t>
                  </w:r>
                  <w:r>
                    <w:rPr>
                      <w:b/>
                      <w:bCs/>
                      <w:spacing w:val="-11"/>
                      <w:vertAlign w:val="subscript"/>
                    </w:rPr>
                    <w:t>（</w:t>
                  </w:r>
                  <w:r>
                    <w:rPr>
                      <w:rFonts w:ascii="Times New Roman" w:hAnsi="Times New Roman"/>
                      <w:b/>
                      <w:bCs/>
                      <w:spacing w:val="-11"/>
                      <w:vertAlign w:val="subscript"/>
                    </w:rPr>
                    <w:t>ug/m</w:t>
                  </w:r>
                  <w:r>
                    <w:rPr>
                      <w:rFonts w:ascii="Times New Roman" w:hAnsi="Times New Roman"/>
                      <w:b/>
                      <w:bCs/>
                      <w:spacing w:val="-11"/>
                      <w:sz w:val="16"/>
                      <w:szCs w:val="16"/>
                      <w:vertAlign w:val="superscript"/>
                    </w:rPr>
                    <w:t>3</w:t>
                  </w:r>
                  <w:r>
                    <w:rPr>
                      <w:b/>
                      <w:bCs/>
                      <w:spacing w:val="-11"/>
                      <w:vertAlign w:val="subscript"/>
                    </w:rPr>
                    <w:t>）</w:t>
                  </w:r>
                </w:p>
              </w:tc>
              <w:tc>
                <w:tcPr>
                  <w:tcW w:w="539" w:type="dxa"/>
                  <w:vAlign w:val="center"/>
                </w:tcPr>
                <w:p>
                  <w:pPr>
                    <w:pStyle w:val="19"/>
                    <w:autoSpaceDE w:val="0"/>
                    <w:spacing w:before="0" w:beforeAutospacing="0" w:after="0" w:afterAutospacing="0" w:line="280" w:lineRule="exact"/>
                    <w:jc w:val="center"/>
                    <w:rPr>
                      <w:rFonts w:ascii="Times New Roman" w:hAnsi="Times New Roman"/>
                      <w:b/>
                      <w:bCs/>
                      <w:kern w:val="0"/>
                      <w:sz w:val="18"/>
                      <w:szCs w:val="18"/>
                    </w:rPr>
                  </w:pPr>
                  <w:r>
                    <w:rPr>
                      <w:rFonts w:ascii="Times New Roman" w:hAnsi="Times New Roman"/>
                      <w:b/>
                      <w:bCs/>
                      <w:sz w:val="18"/>
                      <w:szCs w:val="18"/>
                    </w:rPr>
                    <w:t>PM</w:t>
                  </w:r>
                  <w:r>
                    <w:rPr>
                      <w:rFonts w:ascii="Times New Roman" w:hAnsi="Times New Roman"/>
                      <w:b/>
                      <w:bCs/>
                      <w:sz w:val="18"/>
                      <w:szCs w:val="18"/>
                      <w:vertAlign w:val="subscript"/>
                    </w:rPr>
                    <w:t>10</w:t>
                  </w:r>
                  <w:r>
                    <w:rPr>
                      <w:b/>
                      <w:bCs/>
                      <w:spacing w:val="-11"/>
                      <w:vertAlign w:val="subscript"/>
                    </w:rPr>
                    <w:t>（</w:t>
                  </w:r>
                  <w:r>
                    <w:rPr>
                      <w:rFonts w:ascii="Times New Roman" w:hAnsi="Times New Roman"/>
                      <w:b/>
                      <w:bCs/>
                      <w:spacing w:val="-11"/>
                      <w:vertAlign w:val="subscript"/>
                    </w:rPr>
                    <w:t>ug/m</w:t>
                  </w:r>
                  <w:r>
                    <w:rPr>
                      <w:rFonts w:ascii="Times New Roman" w:hAnsi="Times New Roman"/>
                      <w:b/>
                      <w:bCs/>
                      <w:spacing w:val="-11"/>
                      <w:sz w:val="16"/>
                      <w:szCs w:val="16"/>
                      <w:vertAlign w:val="superscript"/>
                    </w:rPr>
                    <w:t>3</w:t>
                  </w:r>
                  <w:r>
                    <w:rPr>
                      <w:b/>
                      <w:bCs/>
                      <w:spacing w:val="-11"/>
                      <w:vertAlign w:val="subscript"/>
                    </w:rPr>
                    <w:t>）</w:t>
                  </w:r>
                </w:p>
              </w:tc>
              <w:tc>
                <w:tcPr>
                  <w:tcW w:w="919" w:type="dxa"/>
                  <w:vAlign w:val="center"/>
                </w:tcPr>
                <w:p>
                  <w:pPr>
                    <w:pStyle w:val="19"/>
                    <w:autoSpaceDE w:val="0"/>
                    <w:spacing w:before="0" w:beforeAutospacing="0" w:after="0" w:afterAutospacing="0" w:line="280" w:lineRule="exact"/>
                    <w:jc w:val="center"/>
                    <w:rPr>
                      <w:rFonts w:ascii="Times New Roman" w:hAnsi="Times New Roman"/>
                      <w:b/>
                      <w:bCs/>
                      <w:kern w:val="0"/>
                      <w:sz w:val="18"/>
                      <w:szCs w:val="18"/>
                    </w:rPr>
                  </w:pPr>
                  <w:r>
                    <w:rPr>
                      <w:b/>
                      <w:bCs/>
                      <w:sz w:val="18"/>
                      <w:szCs w:val="18"/>
                    </w:rPr>
                    <w:t>有效监测天数（天）</w:t>
                  </w:r>
                </w:p>
              </w:tc>
              <w:tc>
                <w:tcPr>
                  <w:tcW w:w="884" w:type="dxa"/>
                  <w:vAlign w:val="center"/>
                </w:tcPr>
                <w:p>
                  <w:pPr>
                    <w:pStyle w:val="19"/>
                    <w:autoSpaceDE w:val="0"/>
                    <w:spacing w:before="0" w:beforeAutospacing="0" w:after="0" w:afterAutospacing="0" w:line="280" w:lineRule="exact"/>
                    <w:jc w:val="center"/>
                    <w:rPr>
                      <w:rFonts w:ascii="Times New Roman" w:hAnsi="Times New Roman"/>
                      <w:b/>
                      <w:bCs/>
                      <w:kern w:val="0"/>
                      <w:sz w:val="18"/>
                      <w:szCs w:val="18"/>
                    </w:rPr>
                  </w:pPr>
                  <w:r>
                    <w:rPr>
                      <w:b/>
                      <w:bCs/>
                      <w:sz w:val="18"/>
                      <w:szCs w:val="18"/>
                    </w:rPr>
                    <w:t>达标天数（天）</w:t>
                  </w:r>
                </w:p>
              </w:tc>
              <w:tc>
                <w:tcPr>
                  <w:tcW w:w="611" w:type="dxa"/>
                  <w:vAlign w:val="center"/>
                </w:tcPr>
                <w:p>
                  <w:pPr>
                    <w:pStyle w:val="19"/>
                    <w:autoSpaceDE w:val="0"/>
                    <w:spacing w:before="0" w:beforeAutospacing="0" w:after="0" w:afterAutospacing="0" w:line="280" w:lineRule="exact"/>
                    <w:jc w:val="center"/>
                    <w:rPr>
                      <w:rFonts w:ascii="Times New Roman" w:hAnsi="Times New Roman"/>
                      <w:b/>
                      <w:bCs/>
                      <w:kern w:val="0"/>
                      <w:sz w:val="18"/>
                      <w:szCs w:val="18"/>
                    </w:rPr>
                  </w:pPr>
                  <w:r>
                    <w:rPr>
                      <w:b/>
                      <w:bCs/>
                      <w:sz w:val="18"/>
                      <w:szCs w:val="18"/>
                    </w:rPr>
                    <w:t>达标率（</w:t>
                  </w:r>
                  <w:r>
                    <w:rPr>
                      <w:rFonts w:ascii="Times New Roman" w:hAnsi="Times New Roman"/>
                      <w:b/>
                      <w:bCs/>
                      <w:sz w:val="18"/>
                      <w:szCs w:val="18"/>
                    </w:rPr>
                    <w:t>%</w:t>
                  </w:r>
                  <w:r>
                    <w:rPr>
                      <w:b/>
                      <w:bCs/>
                      <w:sz w:val="18"/>
                      <w:szCs w:val="18"/>
                    </w:rPr>
                    <w:t>）</w:t>
                  </w:r>
                </w:p>
              </w:tc>
              <w:tc>
                <w:tcPr>
                  <w:tcW w:w="872" w:type="dxa"/>
                  <w:vAlign w:val="center"/>
                </w:tcPr>
                <w:p>
                  <w:pPr>
                    <w:pStyle w:val="19"/>
                    <w:autoSpaceDE w:val="0"/>
                    <w:spacing w:before="0" w:beforeAutospacing="0" w:after="0" w:afterAutospacing="0" w:line="280" w:lineRule="exact"/>
                    <w:jc w:val="center"/>
                    <w:rPr>
                      <w:rFonts w:ascii="Times New Roman" w:hAnsi="Times New Roman"/>
                      <w:b/>
                      <w:bCs/>
                      <w:kern w:val="0"/>
                      <w:sz w:val="18"/>
                      <w:szCs w:val="18"/>
                    </w:rPr>
                  </w:pPr>
                  <w:r>
                    <w:rPr>
                      <w:b/>
                      <w:bCs/>
                      <w:sz w:val="18"/>
                      <w:szCs w:val="18"/>
                    </w:rPr>
                    <w:t>达标率同比（</w:t>
                  </w:r>
                  <w:r>
                    <w:rPr>
                      <w:rFonts w:ascii="Times New Roman" w:hAnsi="Times New Roman"/>
                      <w:b/>
                      <w:bCs/>
                      <w:sz w:val="18"/>
                      <w:szCs w:val="18"/>
                    </w:rPr>
                    <w:t>%</w:t>
                  </w:r>
                  <w:r>
                    <w:rPr>
                      <w:b/>
                      <w:bCs/>
                      <w:sz w:val="18"/>
                      <w:szCs w:val="18"/>
                    </w:rPr>
                    <w:t>）</w:t>
                  </w:r>
                </w:p>
              </w:tc>
              <w:tc>
                <w:tcPr>
                  <w:tcW w:w="803" w:type="dxa"/>
                  <w:vAlign w:val="center"/>
                </w:tcPr>
                <w:p>
                  <w:pPr>
                    <w:pStyle w:val="19"/>
                    <w:autoSpaceDE w:val="0"/>
                    <w:spacing w:before="0" w:beforeAutospacing="0" w:after="0" w:afterAutospacing="0" w:line="280" w:lineRule="exact"/>
                    <w:jc w:val="center"/>
                    <w:rPr>
                      <w:rFonts w:ascii="Times New Roman" w:hAnsi="Times New Roman"/>
                      <w:b/>
                      <w:bCs/>
                      <w:kern w:val="0"/>
                      <w:sz w:val="18"/>
                      <w:szCs w:val="18"/>
                    </w:rPr>
                  </w:pPr>
                  <w:r>
                    <w:rPr>
                      <w:b/>
                      <w:bCs/>
                      <w:sz w:val="18"/>
                      <w:szCs w:val="18"/>
                    </w:rPr>
                    <w:t>空气质量综合指数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 w:hRule="atLeast"/>
                <w:jc w:val="center"/>
              </w:trPr>
              <w:tc>
                <w:tcPr>
                  <w:tcW w:w="627" w:type="dxa"/>
                  <w:vAlign w:val="center"/>
                </w:tcPr>
                <w:p>
                  <w:pPr>
                    <w:widowControl/>
                    <w:jc w:val="center"/>
                    <w:textAlignment w:val="center"/>
                    <w:rPr>
                      <w:sz w:val="18"/>
                      <w:szCs w:val="18"/>
                    </w:rPr>
                  </w:pPr>
                  <w:r>
                    <w:rPr>
                      <w:sz w:val="18"/>
                      <w:szCs w:val="18"/>
                    </w:rPr>
                    <w:t>1</w:t>
                  </w:r>
                  <w:r>
                    <w:rPr>
                      <w:rFonts w:ascii="宋体" w:hAnsi="宋体"/>
                      <w:sz w:val="18"/>
                      <w:szCs w:val="18"/>
                    </w:rPr>
                    <w:t>月</w:t>
                  </w:r>
                </w:p>
              </w:tc>
              <w:tc>
                <w:tcPr>
                  <w:tcW w:w="550" w:type="dxa"/>
                  <w:vAlign w:val="center"/>
                </w:tcPr>
                <w:p>
                  <w:pPr>
                    <w:widowControl/>
                    <w:jc w:val="center"/>
                    <w:textAlignment w:val="center"/>
                    <w:rPr>
                      <w:sz w:val="18"/>
                      <w:szCs w:val="18"/>
                    </w:rPr>
                  </w:pPr>
                  <w:r>
                    <w:rPr>
                      <w:sz w:val="18"/>
                      <w:szCs w:val="18"/>
                    </w:rPr>
                    <w:t>7</w:t>
                  </w:r>
                </w:p>
              </w:tc>
              <w:tc>
                <w:tcPr>
                  <w:tcW w:w="528" w:type="dxa"/>
                  <w:vAlign w:val="center"/>
                </w:tcPr>
                <w:p>
                  <w:pPr>
                    <w:widowControl/>
                    <w:jc w:val="center"/>
                    <w:textAlignment w:val="center"/>
                    <w:rPr>
                      <w:sz w:val="18"/>
                      <w:szCs w:val="18"/>
                    </w:rPr>
                  </w:pPr>
                  <w:r>
                    <w:rPr>
                      <w:sz w:val="18"/>
                      <w:szCs w:val="18"/>
                    </w:rPr>
                    <w:t>36</w:t>
                  </w:r>
                </w:p>
              </w:tc>
              <w:tc>
                <w:tcPr>
                  <w:tcW w:w="571" w:type="dxa"/>
                  <w:vAlign w:val="center"/>
                </w:tcPr>
                <w:p>
                  <w:pPr>
                    <w:widowControl/>
                    <w:jc w:val="center"/>
                    <w:textAlignment w:val="center"/>
                    <w:rPr>
                      <w:sz w:val="18"/>
                      <w:szCs w:val="18"/>
                    </w:rPr>
                  </w:pPr>
                  <w:r>
                    <w:rPr>
                      <w:sz w:val="18"/>
                      <w:szCs w:val="18"/>
                    </w:rPr>
                    <w:t>1.5</w:t>
                  </w:r>
                </w:p>
              </w:tc>
              <w:tc>
                <w:tcPr>
                  <w:tcW w:w="496" w:type="dxa"/>
                  <w:vAlign w:val="center"/>
                </w:tcPr>
                <w:p>
                  <w:pPr>
                    <w:widowControl/>
                    <w:jc w:val="center"/>
                    <w:textAlignment w:val="center"/>
                    <w:rPr>
                      <w:sz w:val="18"/>
                      <w:szCs w:val="18"/>
                    </w:rPr>
                  </w:pPr>
                  <w:r>
                    <w:rPr>
                      <w:sz w:val="18"/>
                      <w:szCs w:val="18"/>
                    </w:rPr>
                    <w:t>46</w:t>
                  </w:r>
                </w:p>
              </w:tc>
              <w:tc>
                <w:tcPr>
                  <w:tcW w:w="562" w:type="dxa"/>
                  <w:vAlign w:val="center"/>
                </w:tcPr>
                <w:p>
                  <w:pPr>
                    <w:widowControl/>
                    <w:jc w:val="center"/>
                    <w:textAlignment w:val="center"/>
                    <w:rPr>
                      <w:sz w:val="18"/>
                      <w:szCs w:val="18"/>
                    </w:rPr>
                  </w:pPr>
                  <w:r>
                    <w:rPr>
                      <w:sz w:val="18"/>
                      <w:szCs w:val="18"/>
                    </w:rPr>
                    <w:t>60</w:t>
                  </w:r>
                </w:p>
              </w:tc>
              <w:tc>
                <w:tcPr>
                  <w:tcW w:w="539" w:type="dxa"/>
                  <w:vAlign w:val="center"/>
                </w:tcPr>
                <w:p>
                  <w:pPr>
                    <w:widowControl/>
                    <w:jc w:val="center"/>
                    <w:textAlignment w:val="center"/>
                    <w:rPr>
                      <w:sz w:val="18"/>
                      <w:szCs w:val="18"/>
                    </w:rPr>
                  </w:pPr>
                  <w:r>
                    <w:rPr>
                      <w:sz w:val="18"/>
                      <w:szCs w:val="18"/>
                    </w:rPr>
                    <w:t>76</w:t>
                  </w:r>
                </w:p>
              </w:tc>
              <w:tc>
                <w:tcPr>
                  <w:tcW w:w="919" w:type="dxa"/>
                  <w:vAlign w:val="center"/>
                </w:tcPr>
                <w:p>
                  <w:pPr>
                    <w:widowControl/>
                    <w:jc w:val="center"/>
                    <w:textAlignment w:val="center"/>
                    <w:rPr>
                      <w:sz w:val="18"/>
                      <w:szCs w:val="18"/>
                    </w:rPr>
                  </w:pPr>
                  <w:r>
                    <w:rPr>
                      <w:sz w:val="18"/>
                      <w:szCs w:val="18"/>
                    </w:rPr>
                    <w:t>31</w:t>
                  </w:r>
                </w:p>
              </w:tc>
              <w:tc>
                <w:tcPr>
                  <w:tcW w:w="884" w:type="dxa"/>
                  <w:vAlign w:val="center"/>
                </w:tcPr>
                <w:p>
                  <w:pPr>
                    <w:widowControl/>
                    <w:jc w:val="center"/>
                    <w:textAlignment w:val="center"/>
                    <w:rPr>
                      <w:sz w:val="18"/>
                      <w:szCs w:val="18"/>
                    </w:rPr>
                  </w:pPr>
                  <w:r>
                    <w:rPr>
                      <w:sz w:val="18"/>
                      <w:szCs w:val="18"/>
                    </w:rPr>
                    <w:t>21</w:t>
                  </w:r>
                </w:p>
              </w:tc>
              <w:tc>
                <w:tcPr>
                  <w:tcW w:w="611" w:type="dxa"/>
                  <w:vAlign w:val="center"/>
                </w:tcPr>
                <w:p>
                  <w:pPr>
                    <w:widowControl/>
                    <w:jc w:val="center"/>
                    <w:textAlignment w:val="center"/>
                    <w:rPr>
                      <w:sz w:val="18"/>
                      <w:szCs w:val="18"/>
                    </w:rPr>
                  </w:pPr>
                  <w:r>
                    <w:rPr>
                      <w:sz w:val="18"/>
                      <w:szCs w:val="18"/>
                    </w:rPr>
                    <w:t>67.7</w:t>
                  </w:r>
                </w:p>
              </w:tc>
              <w:tc>
                <w:tcPr>
                  <w:tcW w:w="872" w:type="dxa"/>
                  <w:vAlign w:val="center"/>
                </w:tcPr>
                <w:p>
                  <w:pPr>
                    <w:widowControl/>
                    <w:jc w:val="center"/>
                    <w:textAlignment w:val="center"/>
                    <w:rPr>
                      <w:sz w:val="18"/>
                      <w:szCs w:val="18"/>
                    </w:rPr>
                  </w:pPr>
                  <w:r>
                    <w:rPr>
                      <w:sz w:val="18"/>
                      <w:szCs w:val="18"/>
                    </w:rPr>
                    <w:t>25.8</w:t>
                  </w:r>
                </w:p>
              </w:tc>
              <w:tc>
                <w:tcPr>
                  <w:tcW w:w="803" w:type="dxa"/>
                  <w:vAlign w:val="center"/>
                </w:tcPr>
                <w:p>
                  <w:pPr>
                    <w:widowControl/>
                    <w:jc w:val="center"/>
                    <w:textAlignment w:val="center"/>
                    <w:rPr>
                      <w:sz w:val="18"/>
                      <w:szCs w:val="18"/>
                    </w:rPr>
                  </w:pPr>
                  <w:r>
                    <w:rPr>
                      <w:sz w:val="18"/>
                      <w:szCs w:val="18"/>
                    </w:rPr>
                    <w:t>4.48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 w:hRule="atLeast"/>
                <w:jc w:val="center"/>
              </w:trPr>
              <w:tc>
                <w:tcPr>
                  <w:tcW w:w="627" w:type="dxa"/>
                  <w:vAlign w:val="center"/>
                </w:tcPr>
                <w:p>
                  <w:pPr>
                    <w:widowControl/>
                    <w:jc w:val="center"/>
                    <w:textAlignment w:val="center"/>
                    <w:rPr>
                      <w:sz w:val="18"/>
                      <w:szCs w:val="18"/>
                    </w:rPr>
                  </w:pPr>
                  <w:r>
                    <w:rPr>
                      <w:sz w:val="18"/>
                      <w:szCs w:val="18"/>
                    </w:rPr>
                    <w:t>2</w:t>
                  </w:r>
                  <w:r>
                    <w:rPr>
                      <w:rFonts w:ascii="宋体" w:hAnsi="宋体"/>
                      <w:sz w:val="18"/>
                      <w:szCs w:val="18"/>
                    </w:rPr>
                    <w:t>月</w:t>
                  </w:r>
                </w:p>
              </w:tc>
              <w:tc>
                <w:tcPr>
                  <w:tcW w:w="550" w:type="dxa"/>
                  <w:vAlign w:val="center"/>
                </w:tcPr>
                <w:p>
                  <w:pPr>
                    <w:widowControl/>
                    <w:jc w:val="center"/>
                    <w:textAlignment w:val="center"/>
                    <w:rPr>
                      <w:sz w:val="18"/>
                      <w:szCs w:val="18"/>
                    </w:rPr>
                  </w:pPr>
                  <w:r>
                    <w:rPr>
                      <w:sz w:val="18"/>
                      <w:szCs w:val="18"/>
                    </w:rPr>
                    <w:t>7</w:t>
                  </w:r>
                </w:p>
              </w:tc>
              <w:tc>
                <w:tcPr>
                  <w:tcW w:w="528" w:type="dxa"/>
                  <w:vAlign w:val="center"/>
                </w:tcPr>
                <w:p>
                  <w:pPr>
                    <w:widowControl/>
                    <w:jc w:val="center"/>
                    <w:textAlignment w:val="center"/>
                    <w:rPr>
                      <w:sz w:val="18"/>
                      <w:szCs w:val="18"/>
                    </w:rPr>
                  </w:pPr>
                  <w:r>
                    <w:rPr>
                      <w:sz w:val="18"/>
                      <w:szCs w:val="18"/>
                    </w:rPr>
                    <w:t>32</w:t>
                  </w:r>
                </w:p>
              </w:tc>
              <w:tc>
                <w:tcPr>
                  <w:tcW w:w="571" w:type="dxa"/>
                  <w:vAlign w:val="center"/>
                </w:tcPr>
                <w:p>
                  <w:pPr>
                    <w:widowControl/>
                    <w:jc w:val="center"/>
                    <w:textAlignment w:val="center"/>
                    <w:rPr>
                      <w:sz w:val="18"/>
                      <w:szCs w:val="18"/>
                    </w:rPr>
                  </w:pPr>
                  <w:r>
                    <w:rPr>
                      <w:sz w:val="18"/>
                      <w:szCs w:val="18"/>
                    </w:rPr>
                    <w:t>1.1</w:t>
                  </w:r>
                </w:p>
              </w:tc>
              <w:tc>
                <w:tcPr>
                  <w:tcW w:w="496" w:type="dxa"/>
                  <w:vAlign w:val="center"/>
                </w:tcPr>
                <w:p>
                  <w:pPr>
                    <w:widowControl/>
                    <w:jc w:val="center"/>
                    <w:textAlignment w:val="center"/>
                    <w:rPr>
                      <w:sz w:val="18"/>
                      <w:szCs w:val="18"/>
                    </w:rPr>
                  </w:pPr>
                  <w:r>
                    <w:rPr>
                      <w:sz w:val="18"/>
                      <w:szCs w:val="18"/>
                    </w:rPr>
                    <w:t>66</w:t>
                  </w:r>
                </w:p>
              </w:tc>
              <w:tc>
                <w:tcPr>
                  <w:tcW w:w="562" w:type="dxa"/>
                  <w:vAlign w:val="center"/>
                </w:tcPr>
                <w:p>
                  <w:pPr>
                    <w:widowControl/>
                    <w:jc w:val="center"/>
                    <w:textAlignment w:val="center"/>
                    <w:rPr>
                      <w:sz w:val="18"/>
                      <w:szCs w:val="18"/>
                    </w:rPr>
                  </w:pPr>
                  <w:r>
                    <w:rPr>
                      <w:sz w:val="18"/>
                      <w:szCs w:val="18"/>
                    </w:rPr>
                    <w:t>39</w:t>
                  </w:r>
                </w:p>
              </w:tc>
              <w:tc>
                <w:tcPr>
                  <w:tcW w:w="539" w:type="dxa"/>
                  <w:vAlign w:val="center"/>
                </w:tcPr>
                <w:p>
                  <w:pPr>
                    <w:widowControl/>
                    <w:jc w:val="center"/>
                    <w:textAlignment w:val="center"/>
                    <w:rPr>
                      <w:sz w:val="18"/>
                      <w:szCs w:val="18"/>
                    </w:rPr>
                  </w:pPr>
                  <w:r>
                    <w:rPr>
                      <w:sz w:val="18"/>
                      <w:szCs w:val="18"/>
                    </w:rPr>
                    <w:t>51</w:t>
                  </w:r>
                </w:p>
              </w:tc>
              <w:tc>
                <w:tcPr>
                  <w:tcW w:w="919" w:type="dxa"/>
                  <w:vAlign w:val="center"/>
                </w:tcPr>
                <w:p>
                  <w:pPr>
                    <w:widowControl/>
                    <w:jc w:val="center"/>
                    <w:textAlignment w:val="center"/>
                    <w:rPr>
                      <w:sz w:val="18"/>
                      <w:szCs w:val="18"/>
                    </w:rPr>
                  </w:pPr>
                  <w:r>
                    <w:rPr>
                      <w:sz w:val="18"/>
                      <w:szCs w:val="18"/>
                    </w:rPr>
                    <w:t>28</w:t>
                  </w:r>
                </w:p>
              </w:tc>
              <w:tc>
                <w:tcPr>
                  <w:tcW w:w="884" w:type="dxa"/>
                  <w:vAlign w:val="center"/>
                </w:tcPr>
                <w:p>
                  <w:pPr>
                    <w:widowControl/>
                    <w:jc w:val="center"/>
                    <w:textAlignment w:val="center"/>
                    <w:rPr>
                      <w:sz w:val="18"/>
                      <w:szCs w:val="18"/>
                    </w:rPr>
                  </w:pPr>
                  <w:r>
                    <w:rPr>
                      <w:sz w:val="18"/>
                      <w:szCs w:val="18"/>
                    </w:rPr>
                    <w:t>28</w:t>
                  </w:r>
                </w:p>
              </w:tc>
              <w:tc>
                <w:tcPr>
                  <w:tcW w:w="611" w:type="dxa"/>
                  <w:vAlign w:val="center"/>
                </w:tcPr>
                <w:p>
                  <w:pPr>
                    <w:widowControl/>
                    <w:jc w:val="center"/>
                    <w:textAlignment w:val="center"/>
                    <w:rPr>
                      <w:sz w:val="18"/>
                      <w:szCs w:val="18"/>
                    </w:rPr>
                  </w:pPr>
                  <w:r>
                    <w:rPr>
                      <w:sz w:val="18"/>
                      <w:szCs w:val="18"/>
                    </w:rPr>
                    <w:t>100</w:t>
                  </w:r>
                </w:p>
              </w:tc>
              <w:tc>
                <w:tcPr>
                  <w:tcW w:w="872" w:type="dxa"/>
                  <w:vAlign w:val="center"/>
                </w:tcPr>
                <w:p>
                  <w:pPr>
                    <w:widowControl/>
                    <w:jc w:val="center"/>
                    <w:textAlignment w:val="center"/>
                    <w:rPr>
                      <w:sz w:val="18"/>
                      <w:szCs w:val="18"/>
                    </w:rPr>
                  </w:pPr>
                  <w:r>
                    <w:rPr>
                      <w:sz w:val="18"/>
                      <w:szCs w:val="18"/>
                    </w:rPr>
                    <w:t>21.4</w:t>
                  </w:r>
                </w:p>
              </w:tc>
              <w:tc>
                <w:tcPr>
                  <w:tcW w:w="803" w:type="dxa"/>
                  <w:vAlign w:val="center"/>
                </w:tcPr>
                <w:p>
                  <w:pPr>
                    <w:widowControl/>
                    <w:jc w:val="center"/>
                    <w:textAlignment w:val="center"/>
                    <w:rPr>
                      <w:sz w:val="18"/>
                      <w:szCs w:val="18"/>
                    </w:rPr>
                  </w:pPr>
                  <w:r>
                    <w:rPr>
                      <w:sz w:val="18"/>
                      <w:szCs w:val="18"/>
                    </w:rPr>
                    <w:t>3.45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 w:hRule="atLeast"/>
                <w:jc w:val="center"/>
              </w:trPr>
              <w:tc>
                <w:tcPr>
                  <w:tcW w:w="627" w:type="dxa"/>
                  <w:vAlign w:val="center"/>
                </w:tcPr>
                <w:p>
                  <w:pPr>
                    <w:widowControl/>
                    <w:jc w:val="center"/>
                    <w:textAlignment w:val="center"/>
                    <w:rPr>
                      <w:sz w:val="18"/>
                      <w:szCs w:val="18"/>
                    </w:rPr>
                  </w:pPr>
                  <w:r>
                    <w:rPr>
                      <w:sz w:val="18"/>
                      <w:szCs w:val="18"/>
                    </w:rPr>
                    <w:t>3</w:t>
                  </w:r>
                  <w:r>
                    <w:rPr>
                      <w:rFonts w:ascii="宋体" w:hAnsi="宋体"/>
                      <w:sz w:val="18"/>
                      <w:szCs w:val="18"/>
                    </w:rPr>
                    <w:t>月</w:t>
                  </w:r>
                </w:p>
              </w:tc>
              <w:tc>
                <w:tcPr>
                  <w:tcW w:w="550" w:type="dxa"/>
                  <w:vAlign w:val="center"/>
                </w:tcPr>
                <w:p>
                  <w:pPr>
                    <w:widowControl/>
                    <w:jc w:val="center"/>
                    <w:textAlignment w:val="center"/>
                    <w:rPr>
                      <w:sz w:val="18"/>
                      <w:szCs w:val="18"/>
                    </w:rPr>
                  </w:pPr>
                  <w:r>
                    <w:rPr>
                      <w:sz w:val="18"/>
                      <w:szCs w:val="18"/>
                    </w:rPr>
                    <w:t>8</w:t>
                  </w:r>
                </w:p>
              </w:tc>
              <w:tc>
                <w:tcPr>
                  <w:tcW w:w="528" w:type="dxa"/>
                  <w:vAlign w:val="center"/>
                </w:tcPr>
                <w:p>
                  <w:pPr>
                    <w:widowControl/>
                    <w:jc w:val="center"/>
                    <w:textAlignment w:val="center"/>
                    <w:rPr>
                      <w:sz w:val="18"/>
                      <w:szCs w:val="18"/>
                    </w:rPr>
                  </w:pPr>
                  <w:r>
                    <w:rPr>
                      <w:sz w:val="18"/>
                      <w:szCs w:val="18"/>
                    </w:rPr>
                    <w:t>41</w:t>
                  </w:r>
                </w:p>
              </w:tc>
              <w:tc>
                <w:tcPr>
                  <w:tcW w:w="571" w:type="dxa"/>
                  <w:vAlign w:val="center"/>
                </w:tcPr>
                <w:p>
                  <w:pPr>
                    <w:widowControl/>
                    <w:jc w:val="center"/>
                    <w:textAlignment w:val="center"/>
                    <w:rPr>
                      <w:sz w:val="18"/>
                      <w:szCs w:val="18"/>
                    </w:rPr>
                  </w:pPr>
                  <w:r>
                    <w:rPr>
                      <w:sz w:val="18"/>
                      <w:szCs w:val="18"/>
                    </w:rPr>
                    <w:t>1.1</w:t>
                  </w:r>
                </w:p>
              </w:tc>
              <w:tc>
                <w:tcPr>
                  <w:tcW w:w="496" w:type="dxa"/>
                  <w:vAlign w:val="center"/>
                </w:tcPr>
                <w:p>
                  <w:pPr>
                    <w:widowControl/>
                    <w:jc w:val="center"/>
                    <w:textAlignment w:val="center"/>
                    <w:rPr>
                      <w:sz w:val="18"/>
                      <w:szCs w:val="18"/>
                    </w:rPr>
                  </w:pPr>
                  <w:r>
                    <w:rPr>
                      <w:sz w:val="18"/>
                      <w:szCs w:val="18"/>
                    </w:rPr>
                    <w:t>98</w:t>
                  </w:r>
                </w:p>
              </w:tc>
              <w:tc>
                <w:tcPr>
                  <w:tcW w:w="562" w:type="dxa"/>
                  <w:vAlign w:val="center"/>
                </w:tcPr>
                <w:p>
                  <w:pPr>
                    <w:widowControl/>
                    <w:jc w:val="center"/>
                    <w:textAlignment w:val="center"/>
                    <w:rPr>
                      <w:sz w:val="18"/>
                      <w:szCs w:val="18"/>
                    </w:rPr>
                  </w:pPr>
                  <w:r>
                    <w:rPr>
                      <w:sz w:val="18"/>
                      <w:szCs w:val="18"/>
                    </w:rPr>
                    <w:t>30</w:t>
                  </w:r>
                </w:p>
              </w:tc>
              <w:tc>
                <w:tcPr>
                  <w:tcW w:w="539" w:type="dxa"/>
                  <w:vAlign w:val="center"/>
                </w:tcPr>
                <w:p>
                  <w:pPr>
                    <w:widowControl/>
                    <w:jc w:val="center"/>
                    <w:textAlignment w:val="center"/>
                    <w:rPr>
                      <w:sz w:val="18"/>
                      <w:szCs w:val="18"/>
                    </w:rPr>
                  </w:pPr>
                  <w:r>
                    <w:rPr>
                      <w:sz w:val="18"/>
                      <w:szCs w:val="18"/>
                    </w:rPr>
                    <w:t>57</w:t>
                  </w:r>
                </w:p>
              </w:tc>
              <w:tc>
                <w:tcPr>
                  <w:tcW w:w="919" w:type="dxa"/>
                  <w:vAlign w:val="center"/>
                </w:tcPr>
                <w:p>
                  <w:pPr>
                    <w:widowControl/>
                    <w:jc w:val="center"/>
                    <w:textAlignment w:val="center"/>
                    <w:rPr>
                      <w:sz w:val="18"/>
                      <w:szCs w:val="18"/>
                    </w:rPr>
                  </w:pPr>
                  <w:r>
                    <w:rPr>
                      <w:sz w:val="18"/>
                      <w:szCs w:val="18"/>
                    </w:rPr>
                    <w:t>31</w:t>
                  </w:r>
                </w:p>
              </w:tc>
              <w:tc>
                <w:tcPr>
                  <w:tcW w:w="884" w:type="dxa"/>
                  <w:vAlign w:val="center"/>
                </w:tcPr>
                <w:p>
                  <w:pPr>
                    <w:widowControl/>
                    <w:jc w:val="center"/>
                    <w:textAlignment w:val="center"/>
                    <w:rPr>
                      <w:sz w:val="18"/>
                      <w:szCs w:val="18"/>
                    </w:rPr>
                  </w:pPr>
                  <w:r>
                    <w:rPr>
                      <w:sz w:val="18"/>
                      <w:szCs w:val="18"/>
                    </w:rPr>
                    <w:t>31</w:t>
                  </w:r>
                </w:p>
              </w:tc>
              <w:tc>
                <w:tcPr>
                  <w:tcW w:w="611" w:type="dxa"/>
                  <w:vAlign w:val="center"/>
                </w:tcPr>
                <w:p>
                  <w:pPr>
                    <w:widowControl/>
                    <w:jc w:val="center"/>
                    <w:textAlignment w:val="center"/>
                    <w:rPr>
                      <w:sz w:val="18"/>
                      <w:szCs w:val="18"/>
                    </w:rPr>
                  </w:pPr>
                  <w:r>
                    <w:rPr>
                      <w:sz w:val="18"/>
                      <w:szCs w:val="18"/>
                    </w:rPr>
                    <w:t>100</w:t>
                  </w:r>
                </w:p>
              </w:tc>
              <w:tc>
                <w:tcPr>
                  <w:tcW w:w="872" w:type="dxa"/>
                  <w:vAlign w:val="center"/>
                </w:tcPr>
                <w:p>
                  <w:pPr>
                    <w:widowControl/>
                    <w:jc w:val="center"/>
                    <w:textAlignment w:val="center"/>
                    <w:rPr>
                      <w:sz w:val="18"/>
                      <w:szCs w:val="18"/>
                    </w:rPr>
                  </w:pPr>
                  <w:r>
                    <w:rPr>
                      <w:sz w:val="18"/>
                      <w:szCs w:val="18"/>
                    </w:rPr>
                    <w:t>0</w:t>
                  </w:r>
                </w:p>
              </w:tc>
              <w:tc>
                <w:tcPr>
                  <w:tcW w:w="803" w:type="dxa"/>
                  <w:vAlign w:val="center"/>
                </w:tcPr>
                <w:p>
                  <w:pPr>
                    <w:widowControl/>
                    <w:jc w:val="center"/>
                    <w:textAlignment w:val="center"/>
                    <w:rPr>
                      <w:sz w:val="18"/>
                      <w:szCs w:val="18"/>
                    </w:rPr>
                  </w:pPr>
                  <w:r>
                    <w:rPr>
                      <w:sz w:val="18"/>
                      <w:szCs w:val="18"/>
                    </w:rPr>
                    <w:t>3.72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 w:hRule="atLeast"/>
                <w:jc w:val="center"/>
              </w:trPr>
              <w:tc>
                <w:tcPr>
                  <w:tcW w:w="627" w:type="dxa"/>
                  <w:vAlign w:val="center"/>
                </w:tcPr>
                <w:p>
                  <w:pPr>
                    <w:widowControl/>
                    <w:jc w:val="center"/>
                    <w:textAlignment w:val="center"/>
                    <w:rPr>
                      <w:sz w:val="18"/>
                      <w:szCs w:val="18"/>
                    </w:rPr>
                  </w:pPr>
                  <w:r>
                    <w:rPr>
                      <w:sz w:val="18"/>
                      <w:szCs w:val="18"/>
                    </w:rPr>
                    <w:t>4</w:t>
                  </w:r>
                  <w:r>
                    <w:rPr>
                      <w:rFonts w:ascii="宋体" w:hAnsi="宋体"/>
                      <w:sz w:val="18"/>
                      <w:szCs w:val="18"/>
                    </w:rPr>
                    <w:t>月</w:t>
                  </w:r>
                </w:p>
              </w:tc>
              <w:tc>
                <w:tcPr>
                  <w:tcW w:w="550" w:type="dxa"/>
                  <w:vAlign w:val="center"/>
                </w:tcPr>
                <w:p>
                  <w:pPr>
                    <w:widowControl/>
                    <w:jc w:val="center"/>
                    <w:textAlignment w:val="center"/>
                    <w:rPr>
                      <w:sz w:val="18"/>
                      <w:szCs w:val="18"/>
                    </w:rPr>
                  </w:pPr>
                  <w:r>
                    <w:rPr>
                      <w:sz w:val="18"/>
                      <w:szCs w:val="18"/>
                    </w:rPr>
                    <w:t>8</w:t>
                  </w:r>
                </w:p>
              </w:tc>
              <w:tc>
                <w:tcPr>
                  <w:tcW w:w="528" w:type="dxa"/>
                  <w:vAlign w:val="center"/>
                </w:tcPr>
                <w:p>
                  <w:pPr>
                    <w:widowControl/>
                    <w:jc w:val="center"/>
                    <w:textAlignment w:val="center"/>
                    <w:rPr>
                      <w:sz w:val="18"/>
                      <w:szCs w:val="18"/>
                    </w:rPr>
                  </w:pPr>
                  <w:r>
                    <w:rPr>
                      <w:sz w:val="18"/>
                      <w:szCs w:val="18"/>
                    </w:rPr>
                    <w:t>36</w:t>
                  </w:r>
                </w:p>
              </w:tc>
              <w:tc>
                <w:tcPr>
                  <w:tcW w:w="571" w:type="dxa"/>
                  <w:vAlign w:val="center"/>
                </w:tcPr>
                <w:p>
                  <w:pPr>
                    <w:widowControl/>
                    <w:jc w:val="center"/>
                    <w:textAlignment w:val="center"/>
                    <w:rPr>
                      <w:sz w:val="18"/>
                      <w:szCs w:val="18"/>
                    </w:rPr>
                  </w:pPr>
                  <w:r>
                    <w:rPr>
                      <w:sz w:val="18"/>
                      <w:szCs w:val="18"/>
                    </w:rPr>
                    <w:t>1</w:t>
                  </w:r>
                </w:p>
              </w:tc>
              <w:tc>
                <w:tcPr>
                  <w:tcW w:w="496" w:type="dxa"/>
                  <w:vAlign w:val="center"/>
                </w:tcPr>
                <w:p>
                  <w:pPr>
                    <w:widowControl/>
                    <w:jc w:val="center"/>
                    <w:textAlignment w:val="center"/>
                    <w:rPr>
                      <w:sz w:val="18"/>
                      <w:szCs w:val="18"/>
                    </w:rPr>
                  </w:pPr>
                  <w:r>
                    <w:rPr>
                      <w:sz w:val="18"/>
                      <w:szCs w:val="18"/>
                    </w:rPr>
                    <w:t>123</w:t>
                  </w:r>
                </w:p>
              </w:tc>
              <w:tc>
                <w:tcPr>
                  <w:tcW w:w="562" w:type="dxa"/>
                  <w:vAlign w:val="center"/>
                </w:tcPr>
                <w:p>
                  <w:pPr>
                    <w:widowControl/>
                    <w:jc w:val="center"/>
                    <w:textAlignment w:val="center"/>
                    <w:rPr>
                      <w:sz w:val="18"/>
                      <w:szCs w:val="18"/>
                    </w:rPr>
                  </w:pPr>
                  <w:r>
                    <w:rPr>
                      <w:sz w:val="18"/>
                      <w:szCs w:val="18"/>
                    </w:rPr>
                    <w:t>22</w:t>
                  </w:r>
                </w:p>
              </w:tc>
              <w:tc>
                <w:tcPr>
                  <w:tcW w:w="539" w:type="dxa"/>
                  <w:vAlign w:val="center"/>
                </w:tcPr>
                <w:p>
                  <w:pPr>
                    <w:widowControl/>
                    <w:jc w:val="center"/>
                    <w:textAlignment w:val="center"/>
                    <w:rPr>
                      <w:sz w:val="18"/>
                      <w:szCs w:val="18"/>
                    </w:rPr>
                  </w:pPr>
                  <w:r>
                    <w:rPr>
                      <w:sz w:val="18"/>
                      <w:szCs w:val="18"/>
                    </w:rPr>
                    <w:t>43</w:t>
                  </w:r>
                </w:p>
              </w:tc>
              <w:tc>
                <w:tcPr>
                  <w:tcW w:w="919" w:type="dxa"/>
                  <w:vAlign w:val="center"/>
                </w:tcPr>
                <w:p>
                  <w:pPr>
                    <w:widowControl/>
                    <w:jc w:val="center"/>
                    <w:textAlignment w:val="center"/>
                    <w:rPr>
                      <w:sz w:val="18"/>
                      <w:szCs w:val="18"/>
                    </w:rPr>
                  </w:pPr>
                  <w:r>
                    <w:rPr>
                      <w:sz w:val="18"/>
                      <w:szCs w:val="18"/>
                    </w:rPr>
                    <w:t>30</w:t>
                  </w:r>
                </w:p>
              </w:tc>
              <w:tc>
                <w:tcPr>
                  <w:tcW w:w="884" w:type="dxa"/>
                  <w:vAlign w:val="center"/>
                </w:tcPr>
                <w:p>
                  <w:pPr>
                    <w:widowControl/>
                    <w:jc w:val="center"/>
                    <w:textAlignment w:val="center"/>
                    <w:rPr>
                      <w:sz w:val="18"/>
                      <w:szCs w:val="18"/>
                    </w:rPr>
                  </w:pPr>
                  <w:r>
                    <w:rPr>
                      <w:sz w:val="18"/>
                      <w:szCs w:val="18"/>
                    </w:rPr>
                    <w:t>30</w:t>
                  </w:r>
                </w:p>
              </w:tc>
              <w:tc>
                <w:tcPr>
                  <w:tcW w:w="611" w:type="dxa"/>
                  <w:vAlign w:val="center"/>
                </w:tcPr>
                <w:p>
                  <w:pPr>
                    <w:widowControl/>
                    <w:jc w:val="center"/>
                    <w:textAlignment w:val="center"/>
                    <w:rPr>
                      <w:sz w:val="18"/>
                      <w:szCs w:val="18"/>
                    </w:rPr>
                  </w:pPr>
                  <w:r>
                    <w:rPr>
                      <w:sz w:val="18"/>
                      <w:szCs w:val="18"/>
                    </w:rPr>
                    <w:t>100</w:t>
                  </w:r>
                </w:p>
              </w:tc>
              <w:tc>
                <w:tcPr>
                  <w:tcW w:w="872" w:type="dxa"/>
                  <w:vAlign w:val="center"/>
                </w:tcPr>
                <w:p>
                  <w:pPr>
                    <w:widowControl/>
                    <w:jc w:val="center"/>
                    <w:textAlignment w:val="center"/>
                    <w:rPr>
                      <w:sz w:val="18"/>
                      <w:szCs w:val="18"/>
                    </w:rPr>
                  </w:pPr>
                  <w:r>
                    <w:rPr>
                      <w:sz w:val="18"/>
                      <w:szCs w:val="18"/>
                    </w:rPr>
                    <w:t>0</w:t>
                  </w:r>
                </w:p>
              </w:tc>
              <w:tc>
                <w:tcPr>
                  <w:tcW w:w="803" w:type="dxa"/>
                  <w:vAlign w:val="center"/>
                </w:tcPr>
                <w:p>
                  <w:pPr>
                    <w:widowControl/>
                    <w:jc w:val="center"/>
                    <w:textAlignment w:val="center"/>
                    <w:rPr>
                      <w:sz w:val="18"/>
                      <w:szCs w:val="18"/>
                    </w:rPr>
                  </w:pPr>
                  <w:r>
                    <w:rPr>
                      <w:sz w:val="18"/>
                      <w:szCs w:val="18"/>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 w:hRule="atLeast"/>
                <w:jc w:val="center"/>
              </w:trPr>
              <w:tc>
                <w:tcPr>
                  <w:tcW w:w="627" w:type="dxa"/>
                  <w:vAlign w:val="center"/>
                </w:tcPr>
                <w:p>
                  <w:pPr>
                    <w:widowControl/>
                    <w:jc w:val="center"/>
                    <w:textAlignment w:val="center"/>
                    <w:rPr>
                      <w:sz w:val="18"/>
                      <w:szCs w:val="18"/>
                    </w:rPr>
                  </w:pPr>
                  <w:r>
                    <w:rPr>
                      <w:sz w:val="18"/>
                      <w:szCs w:val="18"/>
                    </w:rPr>
                    <w:t>5</w:t>
                  </w:r>
                  <w:r>
                    <w:rPr>
                      <w:rFonts w:ascii="宋体" w:hAnsi="宋体"/>
                      <w:sz w:val="18"/>
                      <w:szCs w:val="18"/>
                    </w:rPr>
                    <w:t>月</w:t>
                  </w:r>
                </w:p>
              </w:tc>
              <w:tc>
                <w:tcPr>
                  <w:tcW w:w="550" w:type="dxa"/>
                  <w:vAlign w:val="center"/>
                </w:tcPr>
                <w:p>
                  <w:pPr>
                    <w:widowControl/>
                    <w:jc w:val="center"/>
                    <w:textAlignment w:val="center"/>
                    <w:rPr>
                      <w:sz w:val="18"/>
                      <w:szCs w:val="18"/>
                    </w:rPr>
                  </w:pPr>
                  <w:r>
                    <w:rPr>
                      <w:sz w:val="18"/>
                      <w:szCs w:val="18"/>
                    </w:rPr>
                    <w:t>8</w:t>
                  </w:r>
                </w:p>
              </w:tc>
              <w:tc>
                <w:tcPr>
                  <w:tcW w:w="528" w:type="dxa"/>
                  <w:vAlign w:val="center"/>
                </w:tcPr>
                <w:p>
                  <w:pPr>
                    <w:widowControl/>
                    <w:jc w:val="center"/>
                    <w:textAlignment w:val="center"/>
                    <w:rPr>
                      <w:sz w:val="18"/>
                      <w:szCs w:val="18"/>
                    </w:rPr>
                  </w:pPr>
                  <w:r>
                    <w:rPr>
                      <w:sz w:val="18"/>
                      <w:szCs w:val="18"/>
                    </w:rPr>
                    <w:t>34</w:t>
                  </w:r>
                </w:p>
              </w:tc>
              <w:tc>
                <w:tcPr>
                  <w:tcW w:w="571" w:type="dxa"/>
                  <w:vAlign w:val="center"/>
                </w:tcPr>
                <w:p>
                  <w:pPr>
                    <w:widowControl/>
                    <w:jc w:val="center"/>
                    <w:textAlignment w:val="center"/>
                    <w:rPr>
                      <w:sz w:val="18"/>
                      <w:szCs w:val="18"/>
                    </w:rPr>
                  </w:pPr>
                  <w:r>
                    <w:rPr>
                      <w:sz w:val="18"/>
                      <w:szCs w:val="18"/>
                    </w:rPr>
                    <w:t>0.9</w:t>
                  </w:r>
                </w:p>
              </w:tc>
              <w:tc>
                <w:tcPr>
                  <w:tcW w:w="496" w:type="dxa"/>
                  <w:vAlign w:val="center"/>
                </w:tcPr>
                <w:p>
                  <w:pPr>
                    <w:widowControl/>
                    <w:jc w:val="center"/>
                    <w:textAlignment w:val="center"/>
                    <w:rPr>
                      <w:sz w:val="18"/>
                      <w:szCs w:val="18"/>
                    </w:rPr>
                  </w:pPr>
                  <w:r>
                    <w:rPr>
                      <w:sz w:val="18"/>
                      <w:szCs w:val="18"/>
                    </w:rPr>
                    <w:t>134</w:t>
                  </w:r>
                </w:p>
              </w:tc>
              <w:tc>
                <w:tcPr>
                  <w:tcW w:w="562" w:type="dxa"/>
                  <w:vAlign w:val="center"/>
                </w:tcPr>
                <w:p>
                  <w:pPr>
                    <w:widowControl/>
                    <w:jc w:val="center"/>
                    <w:textAlignment w:val="center"/>
                    <w:rPr>
                      <w:sz w:val="18"/>
                      <w:szCs w:val="18"/>
                    </w:rPr>
                  </w:pPr>
                  <w:r>
                    <w:rPr>
                      <w:sz w:val="18"/>
                      <w:szCs w:val="18"/>
                    </w:rPr>
                    <w:t>22</w:t>
                  </w:r>
                </w:p>
              </w:tc>
              <w:tc>
                <w:tcPr>
                  <w:tcW w:w="539" w:type="dxa"/>
                  <w:vAlign w:val="center"/>
                </w:tcPr>
                <w:p>
                  <w:pPr>
                    <w:widowControl/>
                    <w:jc w:val="center"/>
                    <w:textAlignment w:val="center"/>
                    <w:rPr>
                      <w:sz w:val="18"/>
                      <w:szCs w:val="18"/>
                    </w:rPr>
                  </w:pPr>
                  <w:r>
                    <w:rPr>
                      <w:sz w:val="18"/>
                      <w:szCs w:val="18"/>
                    </w:rPr>
                    <w:t>39</w:t>
                  </w:r>
                </w:p>
              </w:tc>
              <w:tc>
                <w:tcPr>
                  <w:tcW w:w="919" w:type="dxa"/>
                  <w:vAlign w:val="center"/>
                </w:tcPr>
                <w:p>
                  <w:pPr>
                    <w:widowControl/>
                    <w:jc w:val="center"/>
                    <w:textAlignment w:val="center"/>
                    <w:rPr>
                      <w:sz w:val="18"/>
                      <w:szCs w:val="18"/>
                    </w:rPr>
                  </w:pPr>
                  <w:r>
                    <w:rPr>
                      <w:sz w:val="18"/>
                      <w:szCs w:val="18"/>
                    </w:rPr>
                    <w:t>31</w:t>
                  </w:r>
                </w:p>
              </w:tc>
              <w:tc>
                <w:tcPr>
                  <w:tcW w:w="884" w:type="dxa"/>
                  <w:vAlign w:val="center"/>
                </w:tcPr>
                <w:p>
                  <w:pPr>
                    <w:widowControl/>
                    <w:jc w:val="center"/>
                    <w:textAlignment w:val="center"/>
                    <w:rPr>
                      <w:sz w:val="18"/>
                      <w:szCs w:val="18"/>
                    </w:rPr>
                  </w:pPr>
                  <w:r>
                    <w:rPr>
                      <w:sz w:val="18"/>
                      <w:szCs w:val="18"/>
                    </w:rPr>
                    <w:t>31</w:t>
                  </w:r>
                </w:p>
              </w:tc>
              <w:tc>
                <w:tcPr>
                  <w:tcW w:w="611" w:type="dxa"/>
                  <w:vAlign w:val="center"/>
                </w:tcPr>
                <w:p>
                  <w:pPr>
                    <w:widowControl/>
                    <w:jc w:val="center"/>
                    <w:textAlignment w:val="center"/>
                    <w:rPr>
                      <w:sz w:val="18"/>
                      <w:szCs w:val="18"/>
                    </w:rPr>
                  </w:pPr>
                  <w:r>
                    <w:rPr>
                      <w:sz w:val="18"/>
                      <w:szCs w:val="18"/>
                    </w:rPr>
                    <w:t>100</w:t>
                  </w:r>
                </w:p>
              </w:tc>
              <w:tc>
                <w:tcPr>
                  <w:tcW w:w="872" w:type="dxa"/>
                  <w:vAlign w:val="center"/>
                </w:tcPr>
                <w:p>
                  <w:pPr>
                    <w:widowControl/>
                    <w:jc w:val="center"/>
                    <w:textAlignment w:val="center"/>
                    <w:rPr>
                      <w:sz w:val="18"/>
                      <w:szCs w:val="18"/>
                    </w:rPr>
                  </w:pPr>
                  <w:r>
                    <w:rPr>
                      <w:sz w:val="18"/>
                      <w:szCs w:val="18"/>
                    </w:rPr>
                    <w:t>0</w:t>
                  </w:r>
                </w:p>
              </w:tc>
              <w:tc>
                <w:tcPr>
                  <w:tcW w:w="803" w:type="dxa"/>
                  <w:vAlign w:val="center"/>
                </w:tcPr>
                <w:p>
                  <w:pPr>
                    <w:widowControl/>
                    <w:jc w:val="center"/>
                    <w:textAlignment w:val="center"/>
                    <w:rPr>
                      <w:sz w:val="18"/>
                      <w:szCs w:val="18"/>
                    </w:rPr>
                  </w:pPr>
                  <w:r>
                    <w:rPr>
                      <w:sz w:val="18"/>
                      <w:szCs w:val="18"/>
                    </w:rPr>
                    <w:t>3.23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 w:hRule="atLeast"/>
                <w:jc w:val="center"/>
              </w:trPr>
              <w:tc>
                <w:tcPr>
                  <w:tcW w:w="627" w:type="dxa"/>
                  <w:vAlign w:val="center"/>
                </w:tcPr>
                <w:p>
                  <w:pPr>
                    <w:widowControl/>
                    <w:jc w:val="center"/>
                    <w:textAlignment w:val="center"/>
                    <w:rPr>
                      <w:sz w:val="18"/>
                      <w:szCs w:val="18"/>
                    </w:rPr>
                  </w:pPr>
                  <w:r>
                    <w:rPr>
                      <w:sz w:val="18"/>
                      <w:szCs w:val="18"/>
                    </w:rPr>
                    <w:t>6</w:t>
                  </w:r>
                  <w:r>
                    <w:rPr>
                      <w:rFonts w:ascii="宋体" w:hAnsi="宋体"/>
                      <w:sz w:val="18"/>
                      <w:szCs w:val="18"/>
                    </w:rPr>
                    <w:t>月</w:t>
                  </w:r>
                </w:p>
              </w:tc>
              <w:tc>
                <w:tcPr>
                  <w:tcW w:w="550" w:type="dxa"/>
                  <w:vAlign w:val="center"/>
                </w:tcPr>
                <w:p>
                  <w:pPr>
                    <w:widowControl/>
                    <w:jc w:val="center"/>
                    <w:textAlignment w:val="center"/>
                    <w:rPr>
                      <w:sz w:val="18"/>
                      <w:szCs w:val="18"/>
                    </w:rPr>
                  </w:pPr>
                  <w:r>
                    <w:rPr>
                      <w:sz w:val="18"/>
                      <w:szCs w:val="18"/>
                    </w:rPr>
                    <w:t>8</w:t>
                  </w:r>
                </w:p>
              </w:tc>
              <w:tc>
                <w:tcPr>
                  <w:tcW w:w="528" w:type="dxa"/>
                  <w:vAlign w:val="center"/>
                </w:tcPr>
                <w:p>
                  <w:pPr>
                    <w:widowControl/>
                    <w:jc w:val="center"/>
                    <w:textAlignment w:val="center"/>
                    <w:rPr>
                      <w:sz w:val="18"/>
                      <w:szCs w:val="18"/>
                    </w:rPr>
                  </w:pPr>
                  <w:r>
                    <w:rPr>
                      <w:sz w:val="18"/>
                      <w:szCs w:val="18"/>
                    </w:rPr>
                    <w:t>29</w:t>
                  </w:r>
                </w:p>
              </w:tc>
              <w:tc>
                <w:tcPr>
                  <w:tcW w:w="571" w:type="dxa"/>
                  <w:vAlign w:val="center"/>
                </w:tcPr>
                <w:p>
                  <w:pPr>
                    <w:widowControl/>
                    <w:jc w:val="center"/>
                    <w:textAlignment w:val="center"/>
                    <w:rPr>
                      <w:sz w:val="18"/>
                      <w:szCs w:val="18"/>
                    </w:rPr>
                  </w:pPr>
                  <w:r>
                    <w:rPr>
                      <w:sz w:val="18"/>
                      <w:szCs w:val="18"/>
                    </w:rPr>
                    <w:t>1.1</w:t>
                  </w:r>
                </w:p>
              </w:tc>
              <w:tc>
                <w:tcPr>
                  <w:tcW w:w="496" w:type="dxa"/>
                  <w:vAlign w:val="center"/>
                </w:tcPr>
                <w:p>
                  <w:pPr>
                    <w:widowControl/>
                    <w:jc w:val="center"/>
                    <w:textAlignment w:val="center"/>
                    <w:rPr>
                      <w:sz w:val="18"/>
                      <w:szCs w:val="18"/>
                    </w:rPr>
                  </w:pPr>
                  <w:r>
                    <w:rPr>
                      <w:sz w:val="18"/>
                      <w:szCs w:val="18"/>
                    </w:rPr>
                    <w:t>160</w:t>
                  </w:r>
                </w:p>
              </w:tc>
              <w:tc>
                <w:tcPr>
                  <w:tcW w:w="562" w:type="dxa"/>
                  <w:vAlign w:val="center"/>
                </w:tcPr>
                <w:p>
                  <w:pPr>
                    <w:widowControl/>
                    <w:jc w:val="center"/>
                    <w:textAlignment w:val="center"/>
                    <w:rPr>
                      <w:sz w:val="18"/>
                      <w:szCs w:val="18"/>
                    </w:rPr>
                  </w:pPr>
                  <w:r>
                    <w:rPr>
                      <w:sz w:val="18"/>
                      <w:szCs w:val="18"/>
                    </w:rPr>
                    <w:t>21</w:t>
                  </w:r>
                </w:p>
              </w:tc>
              <w:tc>
                <w:tcPr>
                  <w:tcW w:w="539" w:type="dxa"/>
                  <w:vAlign w:val="center"/>
                </w:tcPr>
                <w:p>
                  <w:pPr>
                    <w:widowControl/>
                    <w:jc w:val="center"/>
                    <w:textAlignment w:val="center"/>
                    <w:rPr>
                      <w:sz w:val="18"/>
                      <w:szCs w:val="18"/>
                    </w:rPr>
                  </w:pPr>
                  <w:r>
                    <w:rPr>
                      <w:sz w:val="18"/>
                      <w:szCs w:val="18"/>
                    </w:rPr>
                    <w:t>37</w:t>
                  </w:r>
                </w:p>
              </w:tc>
              <w:tc>
                <w:tcPr>
                  <w:tcW w:w="919" w:type="dxa"/>
                  <w:vAlign w:val="center"/>
                </w:tcPr>
                <w:p>
                  <w:pPr>
                    <w:widowControl/>
                    <w:jc w:val="center"/>
                    <w:textAlignment w:val="center"/>
                    <w:rPr>
                      <w:sz w:val="18"/>
                      <w:szCs w:val="18"/>
                    </w:rPr>
                  </w:pPr>
                  <w:r>
                    <w:rPr>
                      <w:sz w:val="18"/>
                      <w:szCs w:val="18"/>
                    </w:rPr>
                    <w:t>30</w:t>
                  </w:r>
                </w:p>
              </w:tc>
              <w:tc>
                <w:tcPr>
                  <w:tcW w:w="884" w:type="dxa"/>
                  <w:vAlign w:val="center"/>
                </w:tcPr>
                <w:p>
                  <w:pPr>
                    <w:widowControl/>
                    <w:jc w:val="center"/>
                    <w:textAlignment w:val="center"/>
                    <w:rPr>
                      <w:sz w:val="18"/>
                      <w:szCs w:val="18"/>
                    </w:rPr>
                  </w:pPr>
                  <w:r>
                    <w:rPr>
                      <w:sz w:val="18"/>
                      <w:szCs w:val="18"/>
                    </w:rPr>
                    <w:t>27</w:t>
                  </w:r>
                </w:p>
              </w:tc>
              <w:tc>
                <w:tcPr>
                  <w:tcW w:w="611" w:type="dxa"/>
                  <w:vAlign w:val="center"/>
                </w:tcPr>
                <w:p>
                  <w:pPr>
                    <w:widowControl/>
                    <w:jc w:val="center"/>
                    <w:textAlignment w:val="center"/>
                    <w:rPr>
                      <w:sz w:val="18"/>
                      <w:szCs w:val="18"/>
                    </w:rPr>
                  </w:pPr>
                  <w:r>
                    <w:rPr>
                      <w:sz w:val="18"/>
                      <w:szCs w:val="18"/>
                    </w:rPr>
                    <w:t>90</w:t>
                  </w:r>
                </w:p>
              </w:tc>
              <w:tc>
                <w:tcPr>
                  <w:tcW w:w="872" w:type="dxa"/>
                  <w:vAlign w:val="center"/>
                </w:tcPr>
                <w:p>
                  <w:pPr>
                    <w:widowControl/>
                    <w:jc w:val="center"/>
                    <w:textAlignment w:val="center"/>
                    <w:rPr>
                      <w:sz w:val="18"/>
                      <w:szCs w:val="18"/>
                    </w:rPr>
                  </w:pPr>
                  <w:r>
                    <w:rPr>
                      <w:sz w:val="18"/>
                      <w:szCs w:val="18"/>
                    </w:rPr>
                    <w:t>-6.7</w:t>
                  </w:r>
                </w:p>
              </w:tc>
              <w:tc>
                <w:tcPr>
                  <w:tcW w:w="803" w:type="dxa"/>
                  <w:vAlign w:val="center"/>
                </w:tcPr>
                <w:p>
                  <w:pPr>
                    <w:widowControl/>
                    <w:jc w:val="center"/>
                    <w:textAlignment w:val="center"/>
                    <w:rPr>
                      <w:sz w:val="18"/>
                      <w:szCs w:val="18"/>
                    </w:rPr>
                  </w:pPr>
                  <w:r>
                    <w:rPr>
                      <w:sz w:val="18"/>
                      <w:szCs w:val="18"/>
                    </w:rPr>
                    <w:t>3.26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 w:hRule="atLeast"/>
                <w:jc w:val="center"/>
              </w:trPr>
              <w:tc>
                <w:tcPr>
                  <w:tcW w:w="627" w:type="dxa"/>
                  <w:vAlign w:val="center"/>
                </w:tcPr>
                <w:p>
                  <w:pPr>
                    <w:widowControl/>
                    <w:jc w:val="center"/>
                    <w:textAlignment w:val="center"/>
                    <w:rPr>
                      <w:sz w:val="18"/>
                      <w:szCs w:val="18"/>
                    </w:rPr>
                  </w:pPr>
                  <w:r>
                    <w:rPr>
                      <w:sz w:val="18"/>
                      <w:szCs w:val="18"/>
                    </w:rPr>
                    <w:t>7</w:t>
                  </w:r>
                  <w:r>
                    <w:rPr>
                      <w:rFonts w:ascii="宋体" w:hAnsi="宋体"/>
                      <w:sz w:val="18"/>
                      <w:szCs w:val="18"/>
                    </w:rPr>
                    <w:t>月</w:t>
                  </w:r>
                </w:p>
              </w:tc>
              <w:tc>
                <w:tcPr>
                  <w:tcW w:w="550" w:type="dxa"/>
                  <w:vAlign w:val="center"/>
                </w:tcPr>
                <w:p>
                  <w:pPr>
                    <w:widowControl/>
                    <w:jc w:val="center"/>
                    <w:textAlignment w:val="center"/>
                    <w:rPr>
                      <w:sz w:val="18"/>
                      <w:szCs w:val="18"/>
                    </w:rPr>
                  </w:pPr>
                  <w:r>
                    <w:rPr>
                      <w:sz w:val="18"/>
                      <w:szCs w:val="18"/>
                    </w:rPr>
                    <w:t>6</w:t>
                  </w:r>
                </w:p>
              </w:tc>
              <w:tc>
                <w:tcPr>
                  <w:tcW w:w="528" w:type="dxa"/>
                  <w:vAlign w:val="center"/>
                </w:tcPr>
                <w:p>
                  <w:pPr>
                    <w:widowControl/>
                    <w:jc w:val="center"/>
                    <w:textAlignment w:val="center"/>
                    <w:rPr>
                      <w:sz w:val="18"/>
                      <w:szCs w:val="18"/>
                    </w:rPr>
                  </w:pPr>
                  <w:r>
                    <w:rPr>
                      <w:sz w:val="18"/>
                      <w:szCs w:val="18"/>
                    </w:rPr>
                    <w:t>27</w:t>
                  </w:r>
                </w:p>
              </w:tc>
              <w:tc>
                <w:tcPr>
                  <w:tcW w:w="571" w:type="dxa"/>
                  <w:vAlign w:val="center"/>
                </w:tcPr>
                <w:p>
                  <w:pPr>
                    <w:widowControl/>
                    <w:jc w:val="center"/>
                    <w:textAlignment w:val="center"/>
                    <w:rPr>
                      <w:sz w:val="18"/>
                      <w:szCs w:val="18"/>
                    </w:rPr>
                  </w:pPr>
                  <w:r>
                    <w:rPr>
                      <w:sz w:val="18"/>
                      <w:szCs w:val="18"/>
                    </w:rPr>
                    <w:t>0.8</w:t>
                  </w:r>
                </w:p>
              </w:tc>
              <w:tc>
                <w:tcPr>
                  <w:tcW w:w="496" w:type="dxa"/>
                  <w:vAlign w:val="center"/>
                </w:tcPr>
                <w:p>
                  <w:pPr>
                    <w:widowControl/>
                    <w:jc w:val="center"/>
                    <w:textAlignment w:val="center"/>
                    <w:rPr>
                      <w:sz w:val="18"/>
                      <w:szCs w:val="18"/>
                    </w:rPr>
                  </w:pPr>
                  <w:r>
                    <w:rPr>
                      <w:sz w:val="18"/>
                      <w:szCs w:val="18"/>
                    </w:rPr>
                    <w:t>128</w:t>
                  </w:r>
                </w:p>
              </w:tc>
              <w:tc>
                <w:tcPr>
                  <w:tcW w:w="562" w:type="dxa"/>
                  <w:vAlign w:val="center"/>
                </w:tcPr>
                <w:p>
                  <w:pPr>
                    <w:widowControl/>
                    <w:jc w:val="center"/>
                    <w:textAlignment w:val="center"/>
                    <w:rPr>
                      <w:sz w:val="18"/>
                      <w:szCs w:val="18"/>
                    </w:rPr>
                  </w:pPr>
                  <w:r>
                    <w:rPr>
                      <w:sz w:val="18"/>
                      <w:szCs w:val="18"/>
                    </w:rPr>
                    <w:t>13</w:t>
                  </w:r>
                </w:p>
              </w:tc>
              <w:tc>
                <w:tcPr>
                  <w:tcW w:w="539" w:type="dxa"/>
                  <w:vAlign w:val="center"/>
                </w:tcPr>
                <w:p>
                  <w:pPr>
                    <w:widowControl/>
                    <w:jc w:val="center"/>
                    <w:textAlignment w:val="center"/>
                    <w:rPr>
                      <w:sz w:val="18"/>
                      <w:szCs w:val="18"/>
                    </w:rPr>
                  </w:pPr>
                  <w:r>
                    <w:rPr>
                      <w:sz w:val="18"/>
                      <w:szCs w:val="18"/>
                    </w:rPr>
                    <w:t>26</w:t>
                  </w:r>
                </w:p>
              </w:tc>
              <w:tc>
                <w:tcPr>
                  <w:tcW w:w="919" w:type="dxa"/>
                  <w:vAlign w:val="center"/>
                </w:tcPr>
                <w:p>
                  <w:pPr>
                    <w:widowControl/>
                    <w:jc w:val="center"/>
                    <w:textAlignment w:val="center"/>
                    <w:rPr>
                      <w:sz w:val="18"/>
                      <w:szCs w:val="18"/>
                    </w:rPr>
                  </w:pPr>
                  <w:r>
                    <w:rPr>
                      <w:sz w:val="18"/>
                      <w:szCs w:val="18"/>
                    </w:rPr>
                    <w:t>31</w:t>
                  </w:r>
                </w:p>
              </w:tc>
              <w:tc>
                <w:tcPr>
                  <w:tcW w:w="884" w:type="dxa"/>
                  <w:vAlign w:val="center"/>
                </w:tcPr>
                <w:p>
                  <w:pPr>
                    <w:widowControl/>
                    <w:jc w:val="center"/>
                    <w:textAlignment w:val="center"/>
                    <w:rPr>
                      <w:sz w:val="18"/>
                      <w:szCs w:val="18"/>
                    </w:rPr>
                  </w:pPr>
                  <w:r>
                    <w:rPr>
                      <w:sz w:val="18"/>
                      <w:szCs w:val="18"/>
                    </w:rPr>
                    <w:t>30</w:t>
                  </w:r>
                </w:p>
              </w:tc>
              <w:tc>
                <w:tcPr>
                  <w:tcW w:w="611" w:type="dxa"/>
                  <w:vAlign w:val="center"/>
                </w:tcPr>
                <w:p>
                  <w:pPr>
                    <w:widowControl/>
                    <w:jc w:val="center"/>
                    <w:textAlignment w:val="center"/>
                    <w:rPr>
                      <w:sz w:val="18"/>
                      <w:szCs w:val="18"/>
                    </w:rPr>
                  </w:pPr>
                  <w:r>
                    <w:rPr>
                      <w:sz w:val="18"/>
                      <w:szCs w:val="18"/>
                    </w:rPr>
                    <w:t>96.8</w:t>
                  </w:r>
                </w:p>
              </w:tc>
              <w:tc>
                <w:tcPr>
                  <w:tcW w:w="872" w:type="dxa"/>
                  <w:vAlign w:val="center"/>
                </w:tcPr>
                <w:p>
                  <w:pPr>
                    <w:widowControl/>
                    <w:jc w:val="center"/>
                    <w:textAlignment w:val="center"/>
                    <w:rPr>
                      <w:sz w:val="18"/>
                      <w:szCs w:val="18"/>
                    </w:rPr>
                  </w:pPr>
                  <w:r>
                    <w:rPr>
                      <w:sz w:val="18"/>
                      <w:szCs w:val="18"/>
                    </w:rPr>
                    <w:t>-3.2</w:t>
                  </w:r>
                </w:p>
              </w:tc>
              <w:tc>
                <w:tcPr>
                  <w:tcW w:w="803" w:type="dxa"/>
                  <w:vAlign w:val="center"/>
                </w:tcPr>
                <w:p>
                  <w:pPr>
                    <w:widowControl/>
                    <w:jc w:val="center"/>
                    <w:textAlignment w:val="center"/>
                    <w:rPr>
                      <w:sz w:val="18"/>
                      <w:szCs w:val="18"/>
                    </w:rPr>
                  </w:pPr>
                  <w:r>
                    <w:rPr>
                      <w:sz w:val="18"/>
                      <w:szCs w:val="18"/>
                    </w:rPr>
                    <w:t>2.52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 w:hRule="atLeast"/>
                <w:jc w:val="center"/>
              </w:trPr>
              <w:tc>
                <w:tcPr>
                  <w:tcW w:w="627" w:type="dxa"/>
                  <w:vAlign w:val="center"/>
                </w:tcPr>
                <w:p>
                  <w:pPr>
                    <w:widowControl/>
                    <w:jc w:val="center"/>
                    <w:textAlignment w:val="center"/>
                    <w:rPr>
                      <w:sz w:val="18"/>
                      <w:szCs w:val="18"/>
                    </w:rPr>
                  </w:pPr>
                  <w:r>
                    <w:rPr>
                      <w:sz w:val="18"/>
                      <w:szCs w:val="18"/>
                    </w:rPr>
                    <w:t>8</w:t>
                  </w:r>
                  <w:r>
                    <w:rPr>
                      <w:rFonts w:ascii="宋体" w:hAnsi="宋体"/>
                      <w:sz w:val="18"/>
                      <w:szCs w:val="18"/>
                    </w:rPr>
                    <w:t>月</w:t>
                  </w:r>
                </w:p>
              </w:tc>
              <w:tc>
                <w:tcPr>
                  <w:tcW w:w="550" w:type="dxa"/>
                  <w:vAlign w:val="center"/>
                </w:tcPr>
                <w:p>
                  <w:pPr>
                    <w:widowControl/>
                    <w:jc w:val="center"/>
                    <w:textAlignment w:val="center"/>
                    <w:rPr>
                      <w:sz w:val="18"/>
                      <w:szCs w:val="18"/>
                    </w:rPr>
                  </w:pPr>
                  <w:r>
                    <w:rPr>
                      <w:sz w:val="18"/>
                      <w:szCs w:val="18"/>
                    </w:rPr>
                    <w:t>6</w:t>
                  </w:r>
                </w:p>
              </w:tc>
              <w:tc>
                <w:tcPr>
                  <w:tcW w:w="528" w:type="dxa"/>
                  <w:vAlign w:val="center"/>
                </w:tcPr>
                <w:p>
                  <w:pPr>
                    <w:widowControl/>
                    <w:jc w:val="center"/>
                    <w:textAlignment w:val="center"/>
                    <w:rPr>
                      <w:sz w:val="18"/>
                      <w:szCs w:val="18"/>
                    </w:rPr>
                  </w:pPr>
                  <w:r>
                    <w:rPr>
                      <w:sz w:val="18"/>
                      <w:szCs w:val="18"/>
                    </w:rPr>
                    <w:t>29</w:t>
                  </w:r>
                </w:p>
              </w:tc>
              <w:tc>
                <w:tcPr>
                  <w:tcW w:w="571" w:type="dxa"/>
                  <w:vAlign w:val="center"/>
                </w:tcPr>
                <w:p>
                  <w:pPr>
                    <w:widowControl/>
                    <w:jc w:val="center"/>
                    <w:textAlignment w:val="center"/>
                    <w:rPr>
                      <w:sz w:val="18"/>
                      <w:szCs w:val="18"/>
                    </w:rPr>
                  </w:pPr>
                  <w:r>
                    <w:rPr>
                      <w:sz w:val="18"/>
                      <w:szCs w:val="18"/>
                    </w:rPr>
                    <w:t>0.8</w:t>
                  </w:r>
                </w:p>
              </w:tc>
              <w:tc>
                <w:tcPr>
                  <w:tcW w:w="496" w:type="dxa"/>
                  <w:vAlign w:val="center"/>
                </w:tcPr>
                <w:p>
                  <w:pPr>
                    <w:widowControl/>
                    <w:jc w:val="center"/>
                    <w:textAlignment w:val="center"/>
                    <w:rPr>
                      <w:sz w:val="18"/>
                      <w:szCs w:val="18"/>
                    </w:rPr>
                  </w:pPr>
                  <w:r>
                    <w:rPr>
                      <w:sz w:val="18"/>
                      <w:szCs w:val="18"/>
                    </w:rPr>
                    <w:t>120</w:t>
                  </w:r>
                </w:p>
              </w:tc>
              <w:tc>
                <w:tcPr>
                  <w:tcW w:w="562" w:type="dxa"/>
                  <w:vAlign w:val="center"/>
                </w:tcPr>
                <w:p>
                  <w:pPr>
                    <w:widowControl/>
                    <w:jc w:val="center"/>
                    <w:textAlignment w:val="center"/>
                    <w:rPr>
                      <w:sz w:val="18"/>
                      <w:szCs w:val="18"/>
                    </w:rPr>
                  </w:pPr>
                  <w:r>
                    <w:rPr>
                      <w:sz w:val="18"/>
                      <w:szCs w:val="18"/>
                    </w:rPr>
                    <w:t>16</w:t>
                  </w:r>
                </w:p>
              </w:tc>
              <w:tc>
                <w:tcPr>
                  <w:tcW w:w="539" w:type="dxa"/>
                  <w:vAlign w:val="center"/>
                </w:tcPr>
                <w:p>
                  <w:pPr>
                    <w:widowControl/>
                    <w:jc w:val="center"/>
                    <w:textAlignment w:val="center"/>
                    <w:rPr>
                      <w:sz w:val="18"/>
                      <w:szCs w:val="18"/>
                    </w:rPr>
                  </w:pPr>
                  <w:r>
                    <w:rPr>
                      <w:sz w:val="18"/>
                      <w:szCs w:val="18"/>
                    </w:rPr>
                    <w:t>28</w:t>
                  </w:r>
                </w:p>
              </w:tc>
              <w:tc>
                <w:tcPr>
                  <w:tcW w:w="919" w:type="dxa"/>
                  <w:vAlign w:val="center"/>
                </w:tcPr>
                <w:p>
                  <w:pPr>
                    <w:widowControl/>
                    <w:jc w:val="center"/>
                    <w:textAlignment w:val="center"/>
                    <w:rPr>
                      <w:sz w:val="18"/>
                      <w:szCs w:val="18"/>
                    </w:rPr>
                  </w:pPr>
                  <w:r>
                    <w:rPr>
                      <w:sz w:val="18"/>
                      <w:szCs w:val="18"/>
                    </w:rPr>
                    <w:t>31</w:t>
                  </w:r>
                </w:p>
              </w:tc>
              <w:tc>
                <w:tcPr>
                  <w:tcW w:w="884" w:type="dxa"/>
                  <w:vAlign w:val="center"/>
                </w:tcPr>
                <w:p>
                  <w:pPr>
                    <w:widowControl/>
                    <w:jc w:val="center"/>
                    <w:textAlignment w:val="center"/>
                    <w:rPr>
                      <w:sz w:val="18"/>
                      <w:szCs w:val="18"/>
                    </w:rPr>
                  </w:pPr>
                  <w:r>
                    <w:rPr>
                      <w:sz w:val="18"/>
                      <w:szCs w:val="18"/>
                    </w:rPr>
                    <w:t>30</w:t>
                  </w:r>
                </w:p>
              </w:tc>
              <w:tc>
                <w:tcPr>
                  <w:tcW w:w="611" w:type="dxa"/>
                  <w:vAlign w:val="center"/>
                </w:tcPr>
                <w:p>
                  <w:pPr>
                    <w:widowControl/>
                    <w:jc w:val="center"/>
                    <w:textAlignment w:val="center"/>
                    <w:rPr>
                      <w:sz w:val="18"/>
                      <w:szCs w:val="18"/>
                    </w:rPr>
                  </w:pPr>
                  <w:r>
                    <w:rPr>
                      <w:sz w:val="18"/>
                      <w:szCs w:val="18"/>
                    </w:rPr>
                    <w:t>96.8</w:t>
                  </w:r>
                </w:p>
              </w:tc>
              <w:tc>
                <w:tcPr>
                  <w:tcW w:w="872" w:type="dxa"/>
                  <w:vAlign w:val="center"/>
                </w:tcPr>
                <w:p>
                  <w:pPr>
                    <w:widowControl/>
                    <w:jc w:val="center"/>
                    <w:textAlignment w:val="center"/>
                    <w:rPr>
                      <w:sz w:val="18"/>
                      <w:szCs w:val="18"/>
                    </w:rPr>
                  </w:pPr>
                  <w:r>
                    <w:rPr>
                      <w:sz w:val="18"/>
                      <w:szCs w:val="18"/>
                    </w:rPr>
                    <w:t>3.3</w:t>
                  </w:r>
                </w:p>
              </w:tc>
              <w:tc>
                <w:tcPr>
                  <w:tcW w:w="803" w:type="dxa"/>
                  <w:vAlign w:val="center"/>
                </w:tcPr>
                <w:p>
                  <w:pPr>
                    <w:widowControl/>
                    <w:jc w:val="center"/>
                    <w:textAlignment w:val="center"/>
                    <w:rPr>
                      <w:sz w:val="18"/>
                      <w:szCs w:val="18"/>
                    </w:rPr>
                  </w:pPr>
                  <w:r>
                    <w:rPr>
                      <w:sz w:val="18"/>
                      <w:szCs w:val="18"/>
                    </w:rPr>
                    <w:t>2.63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 w:hRule="atLeast"/>
                <w:jc w:val="center"/>
              </w:trPr>
              <w:tc>
                <w:tcPr>
                  <w:tcW w:w="627" w:type="dxa"/>
                  <w:vAlign w:val="center"/>
                </w:tcPr>
                <w:p>
                  <w:pPr>
                    <w:widowControl/>
                    <w:jc w:val="center"/>
                    <w:textAlignment w:val="center"/>
                    <w:rPr>
                      <w:sz w:val="18"/>
                      <w:szCs w:val="18"/>
                    </w:rPr>
                  </w:pPr>
                  <w:r>
                    <w:rPr>
                      <w:sz w:val="18"/>
                      <w:szCs w:val="18"/>
                    </w:rPr>
                    <w:t>9</w:t>
                  </w:r>
                  <w:r>
                    <w:rPr>
                      <w:rFonts w:ascii="宋体" w:hAnsi="宋体"/>
                      <w:sz w:val="18"/>
                      <w:szCs w:val="18"/>
                    </w:rPr>
                    <w:t>月</w:t>
                  </w:r>
                </w:p>
              </w:tc>
              <w:tc>
                <w:tcPr>
                  <w:tcW w:w="550" w:type="dxa"/>
                  <w:vAlign w:val="center"/>
                </w:tcPr>
                <w:p>
                  <w:pPr>
                    <w:widowControl/>
                    <w:jc w:val="center"/>
                    <w:textAlignment w:val="center"/>
                    <w:rPr>
                      <w:sz w:val="18"/>
                      <w:szCs w:val="18"/>
                    </w:rPr>
                  </w:pPr>
                  <w:r>
                    <w:rPr>
                      <w:sz w:val="18"/>
                      <w:szCs w:val="18"/>
                    </w:rPr>
                    <w:t>7</w:t>
                  </w:r>
                </w:p>
              </w:tc>
              <w:tc>
                <w:tcPr>
                  <w:tcW w:w="528" w:type="dxa"/>
                  <w:vAlign w:val="center"/>
                </w:tcPr>
                <w:p>
                  <w:pPr>
                    <w:widowControl/>
                    <w:jc w:val="center"/>
                    <w:textAlignment w:val="center"/>
                    <w:rPr>
                      <w:sz w:val="18"/>
                      <w:szCs w:val="18"/>
                    </w:rPr>
                  </w:pPr>
                  <w:r>
                    <w:rPr>
                      <w:sz w:val="18"/>
                      <w:szCs w:val="18"/>
                    </w:rPr>
                    <w:t>28</w:t>
                  </w:r>
                </w:p>
              </w:tc>
              <w:tc>
                <w:tcPr>
                  <w:tcW w:w="571" w:type="dxa"/>
                  <w:vAlign w:val="center"/>
                </w:tcPr>
                <w:p>
                  <w:pPr>
                    <w:widowControl/>
                    <w:jc w:val="center"/>
                    <w:textAlignment w:val="center"/>
                    <w:rPr>
                      <w:sz w:val="18"/>
                      <w:szCs w:val="18"/>
                    </w:rPr>
                  </w:pPr>
                  <w:r>
                    <w:rPr>
                      <w:sz w:val="18"/>
                      <w:szCs w:val="18"/>
                    </w:rPr>
                    <w:t>1</w:t>
                  </w:r>
                </w:p>
              </w:tc>
              <w:tc>
                <w:tcPr>
                  <w:tcW w:w="496" w:type="dxa"/>
                  <w:vAlign w:val="center"/>
                </w:tcPr>
                <w:p>
                  <w:pPr>
                    <w:widowControl/>
                    <w:jc w:val="center"/>
                    <w:textAlignment w:val="center"/>
                    <w:rPr>
                      <w:sz w:val="18"/>
                      <w:szCs w:val="18"/>
                    </w:rPr>
                  </w:pPr>
                  <w:r>
                    <w:rPr>
                      <w:sz w:val="18"/>
                      <w:szCs w:val="18"/>
                    </w:rPr>
                    <w:t>114</w:t>
                  </w:r>
                </w:p>
              </w:tc>
              <w:tc>
                <w:tcPr>
                  <w:tcW w:w="562" w:type="dxa"/>
                  <w:vAlign w:val="center"/>
                </w:tcPr>
                <w:p>
                  <w:pPr>
                    <w:widowControl/>
                    <w:jc w:val="center"/>
                    <w:textAlignment w:val="center"/>
                    <w:rPr>
                      <w:sz w:val="18"/>
                      <w:szCs w:val="18"/>
                    </w:rPr>
                  </w:pPr>
                  <w:r>
                    <w:rPr>
                      <w:sz w:val="18"/>
                      <w:szCs w:val="18"/>
                    </w:rPr>
                    <w:t>24</w:t>
                  </w:r>
                </w:p>
              </w:tc>
              <w:tc>
                <w:tcPr>
                  <w:tcW w:w="539" w:type="dxa"/>
                  <w:vAlign w:val="center"/>
                </w:tcPr>
                <w:p>
                  <w:pPr>
                    <w:widowControl/>
                    <w:jc w:val="center"/>
                    <w:textAlignment w:val="center"/>
                    <w:rPr>
                      <w:sz w:val="18"/>
                      <w:szCs w:val="18"/>
                    </w:rPr>
                  </w:pPr>
                  <w:r>
                    <w:rPr>
                      <w:sz w:val="18"/>
                      <w:szCs w:val="18"/>
                    </w:rPr>
                    <w:t>39</w:t>
                  </w:r>
                </w:p>
              </w:tc>
              <w:tc>
                <w:tcPr>
                  <w:tcW w:w="919" w:type="dxa"/>
                  <w:vAlign w:val="center"/>
                </w:tcPr>
                <w:p>
                  <w:pPr>
                    <w:widowControl/>
                    <w:jc w:val="center"/>
                    <w:textAlignment w:val="center"/>
                    <w:rPr>
                      <w:sz w:val="18"/>
                      <w:szCs w:val="18"/>
                    </w:rPr>
                  </w:pPr>
                  <w:r>
                    <w:rPr>
                      <w:sz w:val="18"/>
                      <w:szCs w:val="18"/>
                    </w:rPr>
                    <w:t>30</w:t>
                  </w:r>
                </w:p>
              </w:tc>
              <w:tc>
                <w:tcPr>
                  <w:tcW w:w="884" w:type="dxa"/>
                  <w:vAlign w:val="center"/>
                </w:tcPr>
                <w:p>
                  <w:pPr>
                    <w:widowControl/>
                    <w:jc w:val="center"/>
                    <w:textAlignment w:val="center"/>
                    <w:rPr>
                      <w:sz w:val="18"/>
                      <w:szCs w:val="18"/>
                    </w:rPr>
                  </w:pPr>
                  <w:r>
                    <w:rPr>
                      <w:sz w:val="18"/>
                      <w:szCs w:val="18"/>
                    </w:rPr>
                    <w:t>30</w:t>
                  </w:r>
                </w:p>
              </w:tc>
              <w:tc>
                <w:tcPr>
                  <w:tcW w:w="611" w:type="dxa"/>
                  <w:vAlign w:val="center"/>
                </w:tcPr>
                <w:p>
                  <w:pPr>
                    <w:widowControl/>
                    <w:jc w:val="center"/>
                    <w:textAlignment w:val="center"/>
                    <w:rPr>
                      <w:sz w:val="18"/>
                      <w:szCs w:val="18"/>
                    </w:rPr>
                  </w:pPr>
                  <w:r>
                    <w:rPr>
                      <w:sz w:val="18"/>
                      <w:szCs w:val="18"/>
                    </w:rPr>
                    <w:t>100</w:t>
                  </w:r>
                </w:p>
              </w:tc>
              <w:tc>
                <w:tcPr>
                  <w:tcW w:w="872" w:type="dxa"/>
                  <w:vAlign w:val="center"/>
                </w:tcPr>
                <w:p>
                  <w:pPr>
                    <w:widowControl/>
                    <w:jc w:val="center"/>
                    <w:textAlignment w:val="center"/>
                    <w:rPr>
                      <w:sz w:val="18"/>
                      <w:szCs w:val="18"/>
                    </w:rPr>
                  </w:pPr>
                  <w:r>
                    <w:rPr>
                      <w:sz w:val="18"/>
                      <w:szCs w:val="18"/>
                    </w:rPr>
                    <w:t>0</w:t>
                  </w:r>
                </w:p>
              </w:tc>
              <w:tc>
                <w:tcPr>
                  <w:tcW w:w="803" w:type="dxa"/>
                  <w:vAlign w:val="center"/>
                </w:tcPr>
                <w:p>
                  <w:pPr>
                    <w:widowControl/>
                    <w:jc w:val="center"/>
                    <w:textAlignment w:val="center"/>
                    <w:rPr>
                      <w:sz w:val="18"/>
                      <w:szCs w:val="18"/>
                    </w:rPr>
                  </w:pPr>
                  <w:r>
                    <w:rPr>
                      <w:sz w:val="18"/>
                      <w:szCs w:val="18"/>
                    </w:rPr>
                    <w:t>3.02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 w:hRule="atLeast"/>
                <w:jc w:val="center"/>
              </w:trPr>
              <w:tc>
                <w:tcPr>
                  <w:tcW w:w="627" w:type="dxa"/>
                  <w:vAlign w:val="center"/>
                </w:tcPr>
                <w:p>
                  <w:pPr>
                    <w:widowControl/>
                    <w:jc w:val="center"/>
                    <w:textAlignment w:val="center"/>
                    <w:rPr>
                      <w:sz w:val="18"/>
                      <w:szCs w:val="18"/>
                    </w:rPr>
                  </w:pPr>
                  <w:r>
                    <w:rPr>
                      <w:sz w:val="18"/>
                      <w:szCs w:val="18"/>
                    </w:rPr>
                    <w:t>10</w:t>
                  </w:r>
                  <w:r>
                    <w:rPr>
                      <w:rFonts w:ascii="宋体" w:hAnsi="宋体"/>
                      <w:sz w:val="18"/>
                      <w:szCs w:val="18"/>
                    </w:rPr>
                    <w:t>月</w:t>
                  </w:r>
                </w:p>
              </w:tc>
              <w:tc>
                <w:tcPr>
                  <w:tcW w:w="550" w:type="dxa"/>
                  <w:vAlign w:val="center"/>
                </w:tcPr>
                <w:p>
                  <w:pPr>
                    <w:widowControl/>
                    <w:jc w:val="center"/>
                    <w:textAlignment w:val="center"/>
                    <w:rPr>
                      <w:sz w:val="18"/>
                      <w:szCs w:val="18"/>
                    </w:rPr>
                  </w:pPr>
                  <w:r>
                    <w:rPr>
                      <w:sz w:val="18"/>
                      <w:szCs w:val="18"/>
                    </w:rPr>
                    <w:t>8</w:t>
                  </w:r>
                </w:p>
              </w:tc>
              <w:tc>
                <w:tcPr>
                  <w:tcW w:w="528" w:type="dxa"/>
                  <w:vAlign w:val="center"/>
                </w:tcPr>
                <w:p>
                  <w:pPr>
                    <w:widowControl/>
                    <w:jc w:val="center"/>
                    <w:textAlignment w:val="center"/>
                    <w:rPr>
                      <w:sz w:val="18"/>
                      <w:szCs w:val="18"/>
                    </w:rPr>
                  </w:pPr>
                  <w:r>
                    <w:rPr>
                      <w:sz w:val="18"/>
                      <w:szCs w:val="18"/>
                    </w:rPr>
                    <w:t>37</w:t>
                  </w:r>
                </w:p>
              </w:tc>
              <w:tc>
                <w:tcPr>
                  <w:tcW w:w="571" w:type="dxa"/>
                  <w:vAlign w:val="center"/>
                </w:tcPr>
                <w:p>
                  <w:pPr>
                    <w:widowControl/>
                    <w:jc w:val="center"/>
                    <w:textAlignment w:val="center"/>
                    <w:rPr>
                      <w:sz w:val="18"/>
                      <w:szCs w:val="18"/>
                    </w:rPr>
                  </w:pPr>
                  <w:r>
                    <w:rPr>
                      <w:sz w:val="18"/>
                      <w:szCs w:val="18"/>
                    </w:rPr>
                    <w:t>1.4</w:t>
                  </w:r>
                </w:p>
              </w:tc>
              <w:tc>
                <w:tcPr>
                  <w:tcW w:w="496" w:type="dxa"/>
                  <w:vAlign w:val="center"/>
                </w:tcPr>
                <w:p>
                  <w:pPr>
                    <w:widowControl/>
                    <w:jc w:val="center"/>
                    <w:textAlignment w:val="center"/>
                    <w:rPr>
                      <w:sz w:val="18"/>
                      <w:szCs w:val="18"/>
                    </w:rPr>
                  </w:pPr>
                  <w:r>
                    <w:rPr>
                      <w:sz w:val="18"/>
                      <w:szCs w:val="18"/>
                    </w:rPr>
                    <w:t>94</w:t>
                  </w:r>
                </w:p>
              </w:tc>
              <w:tc>
                <w:tcPr>
                  <w:tcW w:w="562" w:type="dxa"/>
                  <w:vAlign w:val="center"/>
                </w:tcPr>
                <w:p>
                  <w:pPr>
                    <w:widowControl/>
                    <w:jc w:val="center"/>
                    <w:textAlignment w:val="center"/>
                    <w:rPr>
                      <w:sz w:val="18"/>
                      <w:szCs w:val="18"/>
                    </w:rPr>
                  </w:pPr>
                  <w:r>
                    <w:rPr>
                      <w:sz w:val="18"/>
                      <w:szCs w:val="18"/>
                    </w:rPr>
                    <w:t>24</w:t>
                  </w:r>
                </w:p>
              </w:tc>
              <w:tc>
                <w:tcPr>
                  <w:tcW w:w="539" w:type="dxa"/>
                  <w:vAlign w:val="center"/>
                </w:tcPr>
                <w:p>
                  <w:pPr>
                    <w:widowControl/>
                    <w:jc w:val="center"/>
                    <w:textAlignment w:val="center"/>
                    <w:rPr>
                      <w:sz w:val="18"/>
                      <w:szCs w:val="18"/>
                    </w:rPr>
                  </w:pPr>
                  <w:r>
                    <w:rPr>
                      <w:sz w:val="18"/>
                      <w:szCs w:val="18"/>
                    </w:rPr>
                    <w:t>45</w:t>
                  </w:r>
                </w:p>
              </w:tc>
              <w:tc>
                <w:tcPr>
                  <w:tcW w:w="919" w:type="dxa"/>
                  <w:vAlign w:val="center"/>
                </w:tcPr>
                <w:p>
                  <w:pPr>
                    <w:widowControl/>
                    <w:jc w:val="center"/>
                    <w:textAlignment w:val="center"/>
                    <w:rPr>
                      <w:sz w:val="18"/>
                      <w:szCs w:val="18"/>
                    </w:rPr>
                  </w:pPr>
                  <w:r>
                    <w:rPr>
                      <w:sz w:val="18"/>
                      <w:szCs w:val="18"/>
                    </w:rPr>
                    <w:t>31</w:t>
                  </w:r>
                </w:p>
              </w:tc>
              <w:tc>
                <w:tcPr>
                  <w:tcW w:w="884" w:type="dxa"/>
                  <w:vAlign w:val="center"/>
                </w:tcPr>
                <w:p>
                  <w:pPr>
                    <w:widowControl/>
                    <w:jc w:val="center"/>
                    <w:textAlignment w:val="center"/>
                    <w:rPr>
                      <w:sz w:val="18"/>
                      <w:szCs w:val="18"/>
                    </w:rPr>
                  </w:pPr>
                  <w:r>
                    <w:rPr>
                      <w:sz w:val="18"/>
                      <w:szCs w:val="18"/>
                    </w:rPr>
                    <w:t>31</w:t>
                  </w:r>
                </w:p>
              </w:tc>
              <w:tc>
                <w:tcPr>
                  <w:tcW w:w="611" w:type="dxa"/>
                  <w:vAlign w:val="center"/>
                </w:tcPr>
                <w:p>
                  <w:pPr>
                    <w:widowControl/>
                    <w:jc w:val="center"/>
                    <w:textAlignment w:val="center"/>
                    <w:rPr>
                      <w:sz w:val="18"/>
                      <w:szCs w:val="18"/>
                    </w:rPr>
                  </w:pPr>
                  <w:r>
                    <w:rPr>
                      <w:sz w:val="18"/>
                      <w:szCs w:val="18"/>
                    </w:rPr>
                    <w:t>100</w:t>
                  </w:r>
                </w:p>
              </w:tc>
              <w:tc>
                <w:tcPr>
                  <w:tcW w:w="872" w:type="dxa"/>
                  <w:vAlign w:val="center"/>
                </w:tcPr>
                <w:p>
                  <w:pPr>
                    <w:widowControl/>
                    <w:jc w:val="center"/>
                    <w:textAlignment w:val="center"/>
                    <w:rPr>
                      <w:sz w:val="18"/>
                      <w:szCs w:val="18"/>
                    </w:rPr>
                  </w:pPr>
                  <w:r>
                    <w:rPr>
                      <w:sz w:val="18"/>
                      <w:szCs w:val="18"/>
                    </w:rPr>
                    <w:t>0</w:t>
                  </w:r>
                </w:p>
              </w:tc>
              <w:tc>
                <w:tcPr>
                  <w:tcW w:w="803" w:type="dxa"/>
                  <w:vAlign w:val="center"/>
                </w:tcPr>
                <w:p>
                  <w:pPr>
                    <w:widowControl/>
                    <w:jc w:val="center"/>
                    <w:textAlignment w:val="center"/>
                    <w:rPr>
                      <w:sz w:val="18"/>
                      <w:szCs w:val="18"/>
                    </w:rPr>
                  </w:pPr>
                  <w:r>
                    <w:rPr>
                      <w:sz w:val="18"/>
                      <w:szCs w:val="18"/>
                    </w:rPr>
                    <w:t>3.33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 w:hRule="atLeast"/>
                <w:jc w:val="center"/>
              </w:trPr>
              <w:tc>
                <w:tcPr>
                  <w:tcW w:w="627" w:type="dxa"/>
                  <w:vAlign w:val="center"/>
                </w:tcPr>
                <w:p>
                  <w:pPr>
                    <w:widowControl/>
                    <w:jc w:val="center"/>
                    <w:textAlignment w:val="center"/>
                    <w:rPr>
                      <w:sz w:val="18"/>
                      <w:szCs w:val="18"/>
                    </w:rPr>
                  </w:pPr>
                  <w:r>
                    <w:rPr>
                      <w:sz w:val="18"/>
                      <w:szCs w:val="18"/>
                    </w:rPr>
                    <w:t>11</w:t>
                  </w:r>
                  <w:r>
                    <w:rPr>
                      <w:rFonts w:ascii="宋体" w:hAnsi="宋体"/>
                      <w:sz w:val="18"/>
                      <w:szCs w:val="18"/>
                    </w:rPr>
                    <w:t>月</w:t>
                  </w:r>
                </w:p>
              </w:tc>
              <w:tc>
                <w:tcPr>
                  <w:tcW w:w="550" w:type="dxa"/>
                  <w:vAlign w:val="center"/>
                </w:tcPr>
                <w:p>
                  <w:pPr>
                    <w:widowControl/>
                    <w:jc w:val="center"/>
                    <w:textAlignment w:val="center"/>
                    <w:rPr>
                      <w:sz w:val="18"/>
                      <w:szCs w:val="18"/>
                    </w:rPr>
                  </w:pPr>
                  <w:r>
                    <w:rPr>
                      <w:sz w:val="18"/>
                      <w:szCs w:val="18"/>
                    </w:rPr>
                    <w:t>9</w:t>
                  </w:r>
                </w:p>
              </w:tc>
              <w:tc>
                <w:tcPr>
                  <w:tcW w:w="528" w:type="dxa"/>
                  <w:vAlign w:val="center"/>
                </w:tcPr>
                <w:p>
                  <w:pPr>
                    <w:widowControl/>
                    <w:jc w:val="center"/>
                    <w:textAlignment w:val="center"/>
                    <w:rPr>
                      <w:sz w:val="18"/>
                      <w:szCs w:val="18"/>
                    </w:rPr>
                  </w:pPr>
                  <w:r>
                    <w:rPr>
                      <w:sz w:val="18"/>
                      <w:szCs w:val="18"/>
                    </w:rPr>
                    <w:t>33</w:t>
                  </w:r>
                </w:p>
              </w:tc>
              <w:tc>
                <w:tcPr>
                  <w:tcW w:w="571" w:type="dxa"/>
                  <w:vAlign w:val="center"/>
                </w:tcPr>
                <w:p>
                  <w:pPr>
                    <w:widowControl/>
                    <w:jc w:val="center"/>
                    <w:textAlignment w:val="center"/>
                    <w:rPr>
                      <w:sz w:val="18"/>
                      <w:szCs w:val="18"/>
                    </w:rPr>
                  </w:pPr>
                  <w:r>
                    <w:rPr>
                      <w:sz w:val="18"/>
                      <w:szCs w:val="18"/>
                    </w:rPr>
                    <w:t>1.1</w:t>
                  </w:r>
                </w:p>
              </w:tc>
              <w:tc>
                <w:tcPr>
                  <w:tcW w:w="496" w:type="dxa"/>
                  <w:vAlign w:val="center"/>
                </w:tcPr>
                <w:p>
                  <w:pPr>
                    <w:widowControl/>
                    <w:jc w:val="center"/>
                    <w:textAlignment w:val="center"/>
                    <w:rPr>
                      <w:sz w:val="18"/>
                      <w:szCs w:val="18"/>
                    </w:rPr>
                  </w:pPr>
                  <w:r>
                    <w:rPr>
                      <w:sz w:val="18"/>
                      <w:szCs w:val="18"/>
                    </w:rPr>
                    <w:t>61</w:t>
                  </w:r>
                </w:p>
              </w:tc>
              <w:tc>
                <w:tcPr>
                  <w:tcW w:w="562" w:type="dxa"/>
                  <w:vAlign w:val="center"/>
                </w:tcPr>
                <w:p>
                  <w:pPr>
                    <w:widowControl/>
                    <w:jc w:val="center"/>
                    <w:textAlignment w:val="center"/>
                    <w:rPr>
                      <w:sz w:val="18"/>
                      <w:szCs w:val="18"/>
                    </w:rPr>
                  </w:pPr>
                  <w:r>
                    <w:rPr>
                      <w:sz w:val="18"/>
                      <w:szCs w:val="18"/>
                    </w:rPr>
                    <w:t>25</w:t>
                  </w:r>
                </w:p>
              </w:tc>
              <w:tc>
                <w:tcPr>
                  <w:tcW w:w="539" w:type="dxa"/>
                  <w:vAlign w:val="center"/>
                </w:tcPr>
                <w:p>
                  <w:pPr>
                    <w:widowControl/>
                    <w:jc w:val="center"/>
                    <w:textAlignment w:val="center"/>
                    <w:rPr>
                      <w:sz w:val="18"/>
                      <w:szCs w:val="18"/>
                    </w:rPr>
                  </w:pPr>
                  <w:r>
                    <w:rPr>
                      <w:sz w:val="18"/>
                      <w:szCs w:val="18"/>
                    </w:rPr>
                    <w:t>44</w:t>
                  </w:r>
                </w:p>
              </w:tc>
              <w:tc>
                <w:tcPr>
                  <w:tcW w:w="919" w:type="dxa"/>
                  <w:vAlign w:val="center"/>
                </w:tcPr>
                <w:p>
                  <w:pPr>
                    <w:widowControl/>
                    <w:jc w:val="center"/>
                    <w:textAlignment w:val="center"/>
                    <w:rPr>
                      <w:sz w:val="18"/>
                      <w:szCs w:val="18"/>
                    </w:rPr>
                  </w:pPr>
                  <w:r>
                    <w:rPr>
                      <w:sz w:val="18"/>
                      <w:szCs w:val="18"/>
                    </w:rPr>
                    <w:t>30</w:t>
                  </w:r>
                </w:p>
              </w:tc>
              <w:tc>
                <w:tcPr>
                  <w:tcW w:w="884" w:type="dxa"/>
                  <w:vAlign w:val="center"/>
                </w:tcPr>
                <w:p>
                  <w:pPr>
                    <w:widowControl/>
                    <w:jc w:val="center"/>
                    <w:textAlignment w:val="center"/>
                    <w:rPr>
                      <w:sz w:val="18"/>
                      <w:szCs w:val="18"/>
                    </w:rPr>
                  </w:pPr>
                  <w:r>
                    <w:rPr>
                      <w:sz w:val="18"/>
                      <w:szCs w:val="18"/>
                    </w:rPr>
                    <w:t>30</w:t>
                  </w:r>
                </w:p>
              </w:tc>
              <w:tc>
                <w:tcPr>
                  <w:tcW w:w="611" w:type="dxa"/>
                  <w:vAlign w:val="center"/>
                </w:tcPr>
                <w:p>
                  <w:pPr>
                    <w:widowControl/>
                    <w:jc w:val="center"/>
                    <w:textAlignment w:val="center"/>
                    <w:rPr>
                      <w:sz w:val="18"/>
                      <w:szCs w:val="18"/>
                    </w:rPr>
                  </w:pPr>
                  <w:r>
                    <w:rPr>
                      <w:sz w:val="18"/>
                      <w:szCs w:val="18"/>
                    </w:rPr>
                    <w:t>100</w:t>
                  </w:r>
                </w:p>
              </w:tc>
              <w:tc>
                <w:tcPr>
                  <w:tcW w:w="872" w:type="dxa"/>
                  <w:vAlign w:val="center"/>
                </w:tcPr>
                <w:p>
                  <w:pPr>
                    <w:widowControl/>
                    <w:jc w:val="center"/>
                    <w:textAlignment w:val="center"/>
                    <w:rPr>
                      <w:sz w:val="18"/>
                      <w:szCs w:val="18"/>
                    </w:rPr>
                  </w:pPr>
                  <w:r>
                    <w:rPr>
                      <w:sz w:val="18"/>
                      <w:szCs w:val="18"/>
                    </w:rPr>
                    <w:t>10</w:t>
                  </w:r>
                </w:p>
              </w:tc>
              <w:tc>
                <w:tcPr>
                  <w:tcW w:w="803" w:type="dxa"/>
                  <w:vAlign w:val="center"/>
                </w:tcPr>
                <w:p>
                  <w:pPr>
                    <w:widowControl/>
                    <w:jc w:val="center"/>
                    <w:textAlignment w:val="center"/>
                    <w:rPr>
                      <w:sz w:val="18"/>
                      <w:szCs w:val="18"/>
                    </w:rPr>
                  </w:pPr>
                  <w:r>
                    <w:rPr>
                      <w:sz w:val="18"/>
                      <w:szCs w:val="18"/>
                    </w:rPr>
                    <w:t>2.97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 w:hRule="atLeast"/>
                <w:jc w:val="center"/>
              </w:trPr>
              <w:tc>
                <w:tcPr>
                  <w:tcW w:w="627" w:type="dxa"/>
                  <w:vAlign w:val="center"/>
                </w:tcPr>
                <w:p>
                  <w:pPr>
                    <w:widowControl/>
                    <w:jc w:val="center"/>
                    <w:textAlignment w:val="center"/>
                    <w:rPr>
                      <w:sz w:val="18"/>
                      <w:szCs w:val="18"/>
                    </w:rPr>
                  </w:pPr>
                  <w:r>
                    <w:rPr>
                      <w:sz w:val="18"/>
                      <w:szCs w:val="18"/>
                    </w:rPr>
                    <w:t>12</w:t>
                  </w:r>
                  <w:r>
                    <w:rPr>
                      <w:rFonts w:ascii="宋体" w:hAnsi="宋体"/>
                      <w:sz w:val="18"/>
                      <w:szCs w:val="18"/>
                    </w:rPr>
                    <w:t>月</w:t>
                  </w:r>
                </w:p>
              </w:tc>
              <w:tc>
                <w:tcPr>
                  <w:tcW w:w="550" w:type="dxa"/>
                  <w:vAlign w:val="center"/>
                </w:tcPr>
                <w:p>
                  <w:pPr>
                    <w:widowControl/>
                    <w:jc w:val="center"/>
                    <w:textAlignment w:val="center"/>
                    <w:rPr>
                      <w:sz w:val="18"/>
                      <w:szCs w:val="18"/>
                    </w:rPr>
                  </w:pPr>
                  <w:r>
                    <w:rPr>
                      <w:sz w:val="18"/>
                      <w:szCs w:val="18"/>
                    </w:rPr>
                    <w:t>10</w:t>
                  </w:r>
                </w:p>
              </w:tc>
              <w:tc>
                <w:tcPr>
                  <w:tcW w:w="528" w:type="dxa"/>
                  <w:vAlign w:val="center"/>
                </w:tcPr>
                <w:p>
                  <w:pPr>
                    <w:widowControl/>
                    <w:jc w:val="center"/>
                    <w:textAlignment w:val="center"/>
                    <w:rPr>
                      <w:sz w:val="18"/>
                      <w:szCs w:val="18"/>
                    </w:rPr>
                  </w:pPr>
                  <w:r>
                    <w:rPr>
                      <w:sz w:val="18"/>
                      <w:szCs w:val="18"/>
                    </w:rPr>
                    <w:t>41</w:t>
                  </w:r>
                </w:p>
              </w:tc>
              <w:tc>
                <w:tcPr>
                  <w:tcW w:w="571" w:type="dxa"/>
                  <w:vAlign w:val="center"/>
                </w:tcPr>
                <w:p>
                  <w:pPr>
                    <w:widowControl/>
                    <w:jc w:val="center"/>
                    <w:textAlignment w:val="center"/>
                    <w:rPr>
                      <w:sz w:val="18"/>
                      <w:szCs w:val="18"/>
                    </w:rPr>
                  </w:pPr>
                  <w:r>
                    <w:rPr>
                      <w:sz w:val="18"/>
                      <w:szCs w:val="18"/>
                    </w:rPr>
                    <w:t>1.4</w:t>
                  </w:r>
                </w:p>
              </w:tc>
              <w:tc>
                <w:tcPr>
                  <w:tcW w:w="496" w:type="dxa"/>
                  <w:vAlign w:val="center"/>
                </w:tcPr>
                <w:p>
                  <w:pPr>
                    <w:widowControl/>
                    <w:jc w:val="center"/>
                    <w:textAlignment w:val="center"/>
                    <w:rPr>
                      <w:sz w:val="18"/>
                      <w:szCs w:val="18"/>
                    </w:rPr>
                  </w:pPr>
                  <w:r>
                    <w:rPr>
                      <w:sz w:val="18"/>
                      <w:szCs w:val="18"/>
                    </w:rPr>
                    <w:t>52</w:t>
                  </w:r>
                </w:p>
              </w:tc>
              <w:tc>
                <w:tcPr>
                  <w:tcW w:w="562" w:type="dxa"/>
                  <w:vAlign w:val="center"/>
                </w:tcPr>
                <w:p>
                  <w:pPr>
                    <w:widowControl/>
                    <w:jc w:val="center"/>
                    <w:textAlignment w:val="center"/>
                    <w:rPr>
                      <w:sz w:val="18"/>
                      <w:szCs w:val="18"/>
                    </w:rPr>
                  </w:pPr>
                  <w:r>
                    <w:rPr>
                      <w:sz w:val="18"/>
                      <w:szCs w:val="18"/>
                    </w:rPr>
                    <w:t>65</w:t>
                  </w:r>
                </w:p>
              </w:tc>
              <w:tc>
                <w:tcPr>
                  <w:tcW w:w="539" w:type="dxa"/>
                  <w:vAlign w:val="center"/>
                </w:tcPr>
                <w:p>
                  <w:pPr>
                    <w:widowControl/>
                    <w:jc w:val="center"/>
                    <w:textAlignment w:val="center"/>
                    <w:rPr>
                      <w:sz w:val="18"/>
                      <w:szCs w:val="18"/>
                    </w:rPr>
                  </w:pPr>
                  <w:r>
                    <w:rPr>
                      <w:sz w:val="18"/>
                      <w:szCs w:val="18"/>
                    </w:rPr>
                    <w:t>92</w:t>
                  </w:r>
                </w:p>
              </w:tc>
              <w:tc>
                <w:tcPr>
                  <w:tcW w:w="919" w:type="dxa"/>
                  <w:vAlign w:val="center"/>
                </w:tcPr>
                <w:p>
                  <w:pPr>
                    <w:widowControl/>
                    <w:jc w:val="center"/>
                    <w:textAlignment w:val="center"/>
                    <w:rPr>
                      <w:sz w:val="18"/>
                      <w:szCs w:val="18"/>
                    </w:rPr>
                  </w:pPr>
                  <w:r>
                    <w:rPr>
                      <w:sz w:val="18"/>
                      <w:szCs w:val="18"/>
                    </w:rPr>
                    <w:t>31</w:t>
                  </w:r>
                </w:p>
              </w:tc>
              <w:tc>
                <w:tcPr>
                  <w:tcW w:w="884" w:type="dxa"/>
                  <w:vAlign w:val="center"/>
                </w:tcPr>
                <w:p>
                  <w:pPr>
                    <w:widowControl/>
                    <w:jc w:val="center"/>
                    <w:textAlignment w:val="center"/>
                    <w:rPr>
                      <w:sz w:val="18"/>
                      <w:szCs w:val="18"/>
                    </w:rPr>
                  </w:pPr>
                  <w:r>
                    <w:rPr>
                      <w:sz w:val="18"/>
                      <w:szCs w:val="18"/>
                    </w:rPr>
                    <w:t>22</w:t>
                  </w:r>
                </w:p>
              </w:tc>
              <w:tc>
                <w:tcPr>
                  <w:tcW w:w="611" w:type="dxa"/>
                  <w:vAlign w:val="center"/>
                </w:tcPr>
                <w:p>
                  <w:pPr>
                    <w:widowControl/>
                    <w:jc w:val="center"/>
                    <w:textAlignment w:val="center"/>
                    <w:rPr>
                      <w:sz w:val="18"/>
                      <w:szCs w:val="18"/>
                    </w:rPr>
                  </w:pPr>
                  <w:r>
                    <w:rPr>
                      <w:sz w:val="18"/>
                      <w:szCs w:val="18"/>
                    </w:rPr>
                    <w:t>71</w:t>
                  </w:r>
                </w:p>
              </w:tc>
              <w:tc>
                <w:tcPr>
                  <w:tcW w:w="872" w:type="dxa"/>
                  <w:vAlign w:val="center"/>
                </w:tcPr>
                <w:p>
                  <w:pPr>
                    <w:widowControl/>
                    <w:jc w:val="center"/>
                    <w:textAlignment w:val="center"/>
                    <w:rPr>
                      <w:sz w:val="18"/>
                      <w:szCs w:val="18"/>
                    </w:rPr>
                  </w:pPr>
                  <w:r>
                    <w:rPr>
                      <w:sz w:val="18"/>
                      <w:szCs w:val="18"/>
                    </w:rPr>
                    <w:t>6.5</w:t>
                  </w:r>
                </w:p>
              </w:tc>
              <w:tc>
                <w:tcPr>
                  <w:tcW w:w="803" w:type="dxa"/>
                  <w:vAlign w:val="center"/>
                </w:tcPr>
                <w:p>
                  <w:pPr>
                    <w:widowControl/>
                    <w:jc w:val="center"/>
                    <w:textAlignment w:val="center"/>
                    <w:rPr>
                      <w:sz w:val="18"/>
                      <w:szCs w:val="18"/>
                    </w:rPr>
                  </w:pPr>
                  <w:r>
                    <w:rPr>
                      <w:sz w:val="18"/>
                      <w:szCs w:val="18"/>
                    </w:rPr>
                    <w:t>5.04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 w:hRule="atLeast"/>
                <w:jc w:val="center"/>
              </w:trPr>
              <w:tc>
                <w:tcPr>
                  <w:tcW w:w="627" w:type="dxa"/>
                  <w:vAlign w:val="center"/>
                </w:tcPr>
                <w:p>
                  <w:pPr>
                    <w:pStyle w:val="19"/>
                    <w:autoSpaceDE w:val="0"/>
                    <w:spacing w:before="0" w:beforeAutospacing="0" w:after="0" w:afterAutospacing="0" w:line="280" w:lineRule="exact"/>
                    <w:jc w:val="center"/>
                    <w:rPr>
                      <w:rFonts w:ascii="Times New Roman" w:hAnsi="Times New Roman"/>
                      <w:sz w:val="18"/>
                      <w:szCs w:val="18"/>
                    </w:rPr>
                  </w:pPr>
                  <w:r>
                    <w:rPr>
                      <w:sz w:val="18"/>
                      <w:szCs w:val="18"/>
                    </w:rPr>
                    <w:t>平均值</w:t>
                  </w:r>
                </w:p>
              </w:tc>
              <w:tc>
                <w:tcPr>
                  <w:tcW w:w="550" w:type="dxa"/>
                  <w:vAlign w:val="center"/>
                </w:tcPr>
                <w:p>
                  <w:pPr>
                    <w:widowControl/>
                    <w:jc w:val="center"/>
                    <w:textAlignment w:val="center"/>
                    <w:rPr>
                      <w:sz w:val="18"/>
                      <w:szCs w:val="18"/>
                    </w:rPr>
                  </w:pPr>
                  <w:r>
                    <w:rPr>
                      <w:sz w:val="18"/>
                      <w:szCs w:val="18"/>
                    </w:rPr>
                    <w:t>8</w:t>
                  </w:r>
                </w:p>
              </w:tc>
              <w:tc>
                <w:tcPr>
                  <w:tcW w:w="528" w:type="dxa"/>
                  <w:vAlign w:val="center"/>
                </w:tcPr>
                <w:p>
                  <w:pPr>
                    <w:widowControl/>
                    <w:jc w:val="center"/>
                    <w:textAlignment w:val="center"/>
                    <w:rPr>
                      <w:sz w:val="18"/>
                      <w:szCs w:val="18"/>
                    </w:rPr>
                  </w:pPr>
                  <w:r>
                    <w:rPr>
                      <w:sz w:val="18"/>
                      <w:szCs w:val="18"/>
                    </w:rPr>
                    <w:t>34</w:t>
                  </w:r>
                </w:p>
              </w:tc>
              <w:tc>
                <w:tcPr>
                  <w:tcW w:w="571" w:type="dxa"/>
                  <w:vAlign w:val="center"/>
                </w:tcPr>
                <w:p>
                  <w:pPr>
                    <w:widowControl/>
                    <w:jc w:val="center"/>
                    <w:textAlignment w:val="center"/>
                    <w:rPr>
                      <w:sz w:val="18"/>
                      <w:szCs w:val="18"/>
                    </w:rPr>
                  </w:pPr>
                  <w:r>
                    <w:rPr>
                      <w:sz w:val="18"/>
                      <w:szCs w:val="18"/>
                    </w:rPr>
                    <w:t>1.2</w:t>
                  </w:r>
                </w:p>
              </w:tc>
              <w:tc>
                <w:tcPr>
                  <w:tcW w:w="496" w:type="dxa"/>
                  <w:vAlign w:val="center"/>
                </w:tcPr>
                <w:p>
                  <w:pPr>
                    <w:widowControl/>
                    <w:jc w:val="center"/>
                    <w:textAlignment w:val="center"/>
                    <w:rPr>
                      <w:sz w:val="18"/>
                      <w:szCs w:val="18"/>
                    </w:rPr>
                  </w:pPr>
                  <w:r>
                    <w:rPr>
                      <w:sz w:val="18"/>
                      <w:szCs w:val="18"/>
                    </w:rPr>
                    <w:t>118</w:t>
                  </w:r>
                </w:p>
              </w:tc>
              <w:tc>
                <w:tcPr>
                  <w:tcW w:w="562" w:type="dxa"/>
                  <w:vAlign w:val="center"/>
                </w:tcPr>
                <w:p>
                  <w:pPr>
                    <w:widowControl/>
                    <w:jc w:val="center"/>
                    <w:textAlignment w:val="center"/>
                    <w:rPr>
                      <w:sz w:val="18"/>
                      <w:szCs w:val="18"/>
                    </w:rPr>
                  </w:pPr>
                  <w:r>
                    <w:rPr>
                      <w:sz w:val="18"/>
                      <w:szCs w:val="18"/>
                    </w:rPr>
                    <w:t>30</w:t>
                  </w:r>
                </w:p>
              </w:tc>
              <w:tc>
                <w:tcPr>
                  <w:tcW w:w="539" w:type="dxa"/>
                  <w:vAlign w:val="center"/>
                </w:tcPr>
                <w:p>
                  <w:pPr>
                    <w:widowControl/>
                    <w:jc w:val="center"/>
                    <w:textAlignment w:val="center"/>
                    <w:rPr>
                      <w:sz w:val="18"/>
                      <w:szCs w:val="18"/>
                    </w:rPr>
                  </w:pPr>
                  <w:r>
                    <w:rPr>
                      <w:sz w:val="18"/>
                      <w:szCs w:val="18"/>
                    </w:rPr>
                    <w:t>42</w:t>
                  </w:r>
                </w:p>
              </w:tc>
              <w:tc>
                <w:tcPr>
                  <w:tcW w:w="919" w:type="dxa"/>
                  <w:vAlign w:val="center"/>
                </w:tcPr>
                <w:p>
                  <w:pPr>
                    <w:widowControl/>
                    <w:jc w:val="center"/>
                    <w:textAlignment w:val="center"/>
                    <w:rPr>
                      <w:sz w:val="18"/>
                      <w:szCs w:val="18"/>
                    </w:rPr>
                  </w:pPr>
                  <w:r>
                    <w:rPr>
                      <w:sz w:val="18"/>
                      <w:szCs w:val="18"/>
                    </w:rPr>
                    <w:t>365</w:t>
                  </w:r>
                </w:p>
                <w:p>
                  <w:pPr>
                    <w:widowControl/>
                    <w:jc w:val="center"/>
                    <w:textAlignment w:val="center"/>
                    <w:rPr>
                      <w:sz w:val="18"/>
                      <w:szCs w:val="18"/>
                    </w:rPr>
                  </w:pPr>
                  <w:r>
                    <w:rPr>
                      <w:rFonts w:ascii="宋体" w:hAnsi="宋体"/>
                      <w:sz w:val="18"/>
                      <w:szCs w:val="18"/>
                    </w:rPr>
                    <w:t>（总天数）</w:t>
                  </w:r>
                </w:p>
              </w:tc>
              <w:tc>
                <w:tcPr>
                  <w:tcW w:w="884" w:type="dxa"/>
                  <w:vAlign w:val="center"/>
                </w:tcPr>
                <w:p>
                  <w:pPr>
                    <w:widowControl/>
                    <w:jc w:val="center"/>
                    <w:textAlignment w:val="center"/>
                    <w:rPr>
                      <w:sz w:val="18"/>
                      <w:szCs w:val="18"/>
                    </w:rPr>
                  </w:pPr>
                  <w:r>
                    <w:rPr>
                      <w:sz w:val="18"/>
                      <w:szCs w:val="18"/>
                    </w:rPr>
                    <w:t>341</w:t>
                  </w:r>
                </w:p>
                <w:p>
                  <w:pPr>
                    <w:widowControl/>
                    <w:jc w:val="center"/>
                    <w:textAlignment w:val="center"/>
                    <w:rPr>
                      <w:sz w:val="18"/>
                      <w:szCs w:val="18"/>
                    </w:rPr>
                  </w:pPr>
                  <w:r>
                    <w:rPr>
                      <w:rFonts w:ascii="宋体" w:hAnsi="宋体"/>
                      <w:sz w:val="18"/>
                      <w:szCs w:val="18"/>
                    </w:rPr>
                    <w:t>（总天数）</w:t>
                  </w:r>
                </w:p>
              </w:tc>
              <w:tc>
                <w:tcPr>
                  <w:tcW w:w="611" w:type="dxa"/>
                  <w:vAlign w:val="center"/>
                </w:tcPr>
                <w:p>
                  <w:pPr>
                    <w:widowControl/>
                    <w:jc w:val="center"/>
                    <w:textAlignment w:val="center"/>
                    <w:rPr>
                      <w:sz w:val="18"/>
                      <w:szCs w:val="18"/>
                    </w:rPr>
                  </w:pPr>
                  <w:r>
                    <w:rPr>
                      <w:sz w:val="18"/>
                      <w:szCs w:val="18"/>
                    </w:rPr>
                    <w:t>93.4</w:t>
                  </w:r>
                </w:p>
              </w:tc>
              <w:tc>
                <w:tcPr>
                  <w:tcW w:w="872" w:type="dxa"/>
                  <w:vAlign w:val="center"/>
                </w:tcPr>
                <w:p>
                  <w:pPr>
                    <w:widowControl/>
                    <w:jc w:val="center"/>
                    <w:textAlignment w:val="center"/>
                    <w:rPr>
                      <w:sz w:val="18"/>
                      <w:szCs w:val="18"/>
                    </w:rPr>
                  </w:pPr>
                  <w:r>
                    <w:rPr>
                      <w:sz w:val="18"/>
                      <w:szCs w:val="18"/>
                    </w:rPr>
                    <w:t>4.76</w:t>
                  </w:r>
                </w:p>
              </w:tc>
              <w:tc>
                <w:tcPr>
                  <w:tcW w:w="803" w:type="dxa"/>
                  <w:vAlign w:val="center"/>
                </w:tcPr>
                <w:p>
                  <w:pPr>
                    <w:widowControl/>
                    <w:jc w:val="center"/>
                    <w:textAlignment w:val="center"/>
                    <w:rPr>
                      <w:sz w:val="18"/>
                      <w:szCs w:val="18"/>
                    </w:rPr>
                  </w:pPr>
                  <w:r>
                    <w:rPr>
                      <w:sz w:val="18"/>
                      <w:szCs w:val="18"/>
                    </w:rPr>
                    <w:t>3.41</w:t>
                  </w:r>
                </w:p>
              </w:tc>
            </w:tr>
          </w:tbl>
          <w:p>
            <w:pPr>
              <w:autoSpaceDE w:val="0"/>
              <w:autoSpaceDN w:val="0"/>
              <w:adjustRightInd w:val="0"/>
              <w:snapToGrid w:val="0"/>
              <w:spacing w:line="400" w:lineRule="exact"/>
              <w:ind w:firstLine="420" w:firstLineChars="200"/>
              <w:jc w:val="left"/>
              <w:rPr>
                <w:rFonts w:cs="宋体"/>
                <w:szCs w:val="21"/>
              </w:rPr>
            </w:pPr>
            <w:r>
              <w:rPr>
                <w:rFonts w:hint="eastAsia" w:cs="宋体"/>
                <w:szCs w:val="21"/>
              </w:rPr>
              <w:t>根据</w:t>
            </w:r>
            <w:r>
              <w:rPr>
                <w:rFonts w:hint="eastAsia" w:cs="宋体"/>
                <w:kern w:val="0"/>
                <w:szCs w:val="21"/>
              </w:rPr>
              <w:t>《达州市2022年环境空气质量状况》，达州市通川区2022年环境空气质量达标率93.4%。</w:t>
            </w:r>
            <w:r>
              <w:rPr>
                <w:rFonts w:hint="eastAsia" w:cs="宋体"/>
                <w:szCs w:val="21"/>
              </w:rPr>
              <w:t>项目所在区域为环境空气质量达标区。</w:t>
            </w:r>
          </w:p>
          <w:p>
            <w:pPr>
              <w:autoSpaceDE w:val="0"/>
              <w:autoSpaceDN w:val="0"/>
              <w:adjustRightInd w:val="0"/>
              <w:snapToGrid w:val="0"/>
              <w:spacing w:line="400" w:lineRule="exact"/>
              <w:ind w:firstLine="422" w:firstLineChars="200"/>
              <w:jc w:val="left"/>
              <w:rPr>
                <w:rFonts w:cs="宋体"/>
                <w:b/>
                <w:bCs/>
                <w:kern w:val="0"/>
                <w:szCs w:val="21"/>
              </w:rPr>
            </w:pPr>
            <w:r>
              <w:rPr>
                <w:rFonts w:cs="宋体"/>
                <w:b/>
                <w:bCs/>
                <w:kern w:val="0"/>
                <w:szCs w:val="21"/>
              </w:rPr>
              <w:t>（</w:t>
            </w:r>
            <w:r>
              <w:rPr>
                <w:rFonts w:hint="eastAsia" w:cs="宋体"/>
                <w:b/>
                <w:bCs/>
                <w:kern w:val="0"/>
                <w:szCs w:val="21"/>
              </w:rPr>
              <w:t>2</w:t>
            </w:r>
            <w:r>
              <w:rPr>
                <w:rFonts w:cs="宋体"/>
                <w:b/>
                <w:bCs/>
                <w:kern w:val="0"/>
                <w:szCs w:val="21"/>
              </w:rPr>
              <w:t>）特征因子补充监测评价</w:t>
            </w:r>
          </w:p>
          <w:p>
            <w:pPr>
              <w:autoSpaceDE w:val="0"/>
              <w:autoSpaceDN w:val="0"/>
              <w:adjustRightInd w:val="0"/>
              <w:snapToGrid w:val="0"/>
              <w:spacing w:line="400" w:lineRule="exact"/>
              <w:ind w:firstLine="420" w:firstLineChars="200"/>
              <w:jc w:val="left"/>
              <w:rPr>
                <w:rFonts w:cs="宋体"/>
                <w:kern w:val="0"/>
              </w:rPr>
            </w:pPr>
            <w:r>
              <w:rPr>
                <w:rFonts w:hint="eastAsia" w:ascii="宋体" w:hAnsi="宋体"/>
                <w:kern w:val="0"/>
              </w:rPr>
              <w:t>根据引用“通川区东岳镇煤炭储棚建设项目”环境监测数据。四川融华环境检测有限公司于</w:t>
            </w:r>
            <w:r>
              <w:rPr>
                <w:rFonts w:hint="eastAsia"/>
                <w:kern w:val="0"/>
              </w:rPr>
              <w:t>2023</w:t>
            </w:r>
            <w:r>
              <w:rPr>
                <w:rFonts w:hint="eastAsia" w:ascii="宋体" w:hAnsi="宋体"/>
                <w:kern w:val="0"/>
              </w:rPr>
              <w:t>年</w:t>
            </w:r>
            <w:r>
              <w:rPr>
                <w:rFonts w:hint="eastAsia"/>
                <w:kern w:val="0"/>
              </w:rPr>
              <w:t>3</w:t>
            </w:r>
            <w:r>
              <w:rPr>
                <w:rFonts w:hint="eastAsia" w:ascii="宋体" w:hAnsi="宋体"/>
                <w:kern w:val="0"/>
              </w:rPr>
              <w:t>月</w:t>
            </w:r>
            <w:r>
              <w:rPr>
                <w:rFonts w:hint="eastAsia"/>
                <w:kern w:val="0"/>
              </w:rPr>
              <w:t>24</w:t>
            </w:r>
            <w:r>
              <w:rPr>
                <w:rFonts w:hint="eastAsia" w:ascii="宋体" w:hAnsi="宋体"/>
                <w:kern w:val="0"/>
              </w:rPr>
              <w:t>日</w:t>
            </w:r>
            <w:r>
              <w:rPr>
                <w:rFonts w:hint="eastAsia"/>
                <w:kern w:val="0"/>
              </w:rPr>
              <w:t>~26</w:t>
            </w:r>
            <w:r>
              <w:rPr>
                <w:rFonts w:hint="eastAsia" w:ascii="宋体" w:hAnsi="宋体"/>
                <w:kern w:val="0"/>
              </w:rPr>
              <w:t>日对“通川区东岳镇煤炭储棚建设项目”环境空气质量特征因子进行现状监测。监测因子：</w:t>
            </w:r>
            <w:r>
              <w:rPr>
                <w:rFonts w:hint="eastAsia"/>
                <w:kern w:val="0"/>
              </w:rPr>
              <w:t>TSP</w:t>
            </w:r>
            <w:r>
              <w:rPr>
                <w:rFonts w:hint="eastAsia" w:ascii="宋体" w:hAnsi="宋体"/>
                <w:kern w:val="0"/>
              </w:rPr>
              <w:t>。监测点位：项目西南侧下风向处。监测频次：连续检测</w:t>
            </w:r>
            <w:r>
              <w:rPr>
                <w:rFonts w:hint="eastAsia"/>
                <w:kern w:val="0"/>
              </w:rPr>
              <w:t>3</w:t>
            </w:r>
            <w:r>
              <w:rPr>
                <w:rFonts w:hint="eastAsia" w:ascii="宋体" w:hAnsi="宋体"/>
                <w:kern w:val="0"/>
              </w:rPr>
              <w:t>天，每天采样</w:t>
            </w:r>
            <w:r>
              <w:rPr>
                <w:rFonts w:hint="eastAsia"/>
                <w:kern w:val="0"/>
              </w:rPr>
              <w:t>4</w:t>
            </w:r>
            <w:r>
              <w:rPr>
                <w:rFonts w:hint="eastAsia" w:ascii="宋体" w:hAnsi="宋体"/>
                <w:kern w:val="0"/>
              </w:rPr>
              <w:t>次，取小时值。</w:t>
            </w:r>
            <w:r>
              <w:rPr>
                <w:rFonts w:ascii="宋体" w:hAnsi="宋体" w:cs="宋体"/>
                <w:kern w:val="0"/>
              </w:rPr>
              <w:t>评价标准：采用</w:t>
            </w:r>
            <w:r>
              <w:rPr>
                <w:rFonts w:hint="eastAsia" w:ascii="宋体" w:hAnsi="宋体"/>
                <w:kern w:val="0"/>
              </w:rPr>
              <w:t>《环境空气质量标准》（</w:t>
            </w:r>
            <w:r>
              <w:rPr>
                <w:rFonts w:hint="eastAsia"/>
                <w:kern w:val="0"/>
              </w:rPr>
              <w:t>GB 3095-2012</w:t>
            </w:r>
            <w:r>
              <w:rPr>
                <w:rFonts w:hint="eastAsia" w:ascii="宋体" w:hAnsi="宋体"/>
                <w:kern w:val="0"/>
              </w:rPr>
              <w:t>）的限值要求</w:t>
            </w:r>
            <w:r>
              <w:rPr>
                <w:rFonts w:ascii="宋体" w:hAnsi="宋体" w:cs="宋体"/>
                <w:kern w:val="0"/>
              </w:rPr>
              <w:t>。</w:t>
            </w:r>
          </w:p>
          <w:p>
            <w:pPr>
              <w:spacing w:line="400" w:lineRule="exact"/>
              <w:ind w:firstLine="420" w:firstLineChars="200"/>
            </w:pPr>
            <w:r>
              <w:rPr>
                <w:rFonts w:hint="eastAsia" w:ascii="宋体" w:hAnsi="宋体"/>
                <w:kern w:val="0"/>
              </w:rPr>
              <w:t>本项目与“通川区东岳镇煤炭储棚建设项目”相距约77</w:t>
            </w:r>
            <w:r>
              <w:rPr>
                <w:rFonts w:hint="eastAsia"/>
                <w:kern w:val="0"/>
              </w:rPr>
              <w:t>0m</w:t>
            </w:r>
            <w:r>
              <w:rPr>
                <w:rFonts w:hint="eastAsia" w:ascii="宋体" w:hAnsi="宋体"/>
                <w:kern w:val="0"/>
              </w:rPr>
              <w:t>，地形条件和区域污染源等基本一致；拟引用监测的监测因子及布点要求满足本项目需求；“通川区东岳镇煤炭储棚建设项目”监测时间为</w:t>
            </w:r>
            <w:r>
              <w:rPr>
                <w:rFonts w:hint="eastAsia"/>
                <w:kern w:val="0"/>
              </w:rPr>
              <w:t>2023</w:t>
            </w:r>
            <w:r>
              <w:rPr>
                <w:rFonts w:hint="eastAsia" w:ascii="宋体" w:hAnsi="宋体"/>
                <w:kern w:val="0"/>
              </w:rPr>
              <w:t>年</w:t>
            </w:r>
            <w:r>
              <w:rPr>
                <w:rFonts w:hint="eastAsia"/>
                <w:kern w:val="0"/>
              </w:rPr>
              <w:t>3</w:t>
            </w:r>
            <w:r>
              <w:rPr>
                <w:rFonts w:hint="eastAsia" w:ascii="宋体" w:hAnsi="宋体"/>
                <w:kern w:val="0"/>
              </w:rPr>
              <w:t>月，与本项目环评时间相隔较近，在其引用的时效范围内。</w:t>
            </w:r>
          </w:p>
          <w:p>
            <w:pPr>
              <w:autoSpaceDE w:val="0"/>
              <w:autoSpaceDN w:val="0"/>
              <w:adjustRightInd w:val="0"/>
              <w:snapToGrid w:val="0"/>
              <w:spacing w:line="400" w:lineRule="exact"/>
              <w:ind w:firstLine="420" w:firstLineChars="200"/>
              <w:jc w:val="left"/>
              <w:rPr>
                <w:rFonts w:cs="宋体"/>
                <w:kern w:val="0"/>
                <w:szCs w:val="21"/>
              </w:rPr>
            </w:pPr>
            <w:r>
              <w:rPr>
                <w:rFonts w:hint="eastAsia" w:cs="宋体"/>
                <w:kern w:val="0"/>
                <w:szCs w:val="21"/>
              </w:rPr>
              <w:t>监测结果及评价结果如下表：</w:t>
            </w:r>
          </w:p>
          <w:p>
            <w:pPr>
              <w:spacing w:line="100" w:lineRule="exact"/>
              <w:ind w:left="-53" w:leftChars="-25" w:right="-53" w:rightChars="-25"/>
              <w:jc w:val="center"/>
              <w:rPr>
                <w:rFonts w:eastAsia="黑体"/>
                <w:sz w:val="18"/>
                <w:szCs w:val="18"/>
              </w:rPr>
            </w:pPr>
          </w:p>
          <w:p>
            <w:pPr>
              <w:spacing w:line="100" w:lineRule="exact"/>
              <w:ind w:left="-53" w:leftChars="-25" w:right="-53" w:rightChars="-25"/>
              <w:jc w:val="center"/>
              <w:rPr>
                <w:rFonts w:eastAsia="黑体"/>
                <w:sz w:val="18"/>
                <w:szCs w:val="18"/>
              </w:rPr>
            </w:pPr>
          </w:p>
          <w:p>
            <w:pPr>
              <w:spacing w:line="100" w:lineRule="exact"/>
              <w:ind w:left="-53" w:leftChars="-25" w:right="-53" w:rightChars="-25"/>
              <w:jc w:val="center"/>
              <w:rPr>
                <w:rFonts w:eastAsia="黑体"/>
                <w:sz w:val="18"/>
                <w:szCs w:val="18"/>
              </w:rPr>
            </w:pPr>
          </w:p>
          <w:p>
            <w:pPr>
              <w:spacing w:line="100" w:lineRule="exact"/>
              <w:ind w:left="-53" w:leftChars="-25" w:right="-53" w:rightChars="-25"/>
              <w:jc w:val="center"/>
              <w:rPr>
                <w:rFonts w:eastAsia="黑体"/>
                <w:sz w:val="18"/>
                <w:szCs w:val="18"/>
              </w:rPr>
            </w:pPr>
          </w:p>
          <w:p>
            <w:pPr>
              <w:spacing w:line="100" w:lineRule="exact"/>
              <w:ind w:left="-53" w:leftChars="-25" w:right="-53" w:rightChars="-25"/>
              <w:jc w:val="center"/>
              <w:rPr>
                <w:rFonts w:eastAsia="黑体"/>
                <w:sz w:val="18"/>
                <w:szCs w:val="18"/>
              </w:rPr>
            </w:pPr>
          </w:p>
          <w:p>
            <w:pPr>
              <w:spacing w:line="100" w:lineRule="exact"/>
              <w:ind w:left="-53" w:leftChars="-25" w:right="-53" w:rightChars="-25"/>
              <w:jc w:val="center"/>
              <w:rPr>
                <w:rFonts w:eastAsia="黑体"/>
                <w:sz w:val="18"/>
                <w:szCs w:val="18"/>
              </w:rPr>
            </w:pPr>
          </w:p>
          <w:p>
            <w:pPr>
              <w:spacing w:line="400" w:lineRule="exact"/>
              <w:ind w:left="-53" w:leftChars="-25" w:right="-53" w:rightChars="-25"/>
              <w:jc w:val="center"/>
              <w:rPr>
                <w:rFonts w:eastAsia="黑体"/>
                <w:sz w:val="18"/>
                <w:szCs w:val="18"/>
              </w:rPr>
            </w:pPr>
            <w:r>
              <w:rPr>
                <w:rFonts w:eastAsia="黑体"/>
                <w:sz w:val="18"/>
                <w:szCs w:val="18"/>
              </w:rPr>
              <w:t>表</w:t>
            </w:r>
            <w:r>
              <w:rPr>
                <w:rFonts w:hint="eastAsia" w:eastAsia="黑体"/>
                <w:sz w:val="18"/>
                <w:szCs w:val="18"/>
              </w:rPr>
              <w:t xml:space="preserve">3-2  </w:t>
            </w:r>
            <w:r>
              <w:rPr>
                <w:rFonts w:eastAsia="黑体"/>
                <w:sz w:val="18"/>
                <w:szCs w:val="18"/>
              </w:rPr>
              <w:t>环境空气（</w:t>
            </w:r>
            <w:r>
              <w:rPr>
                <w:rFonts w:hint="eastAsia" w:eastAsia="黑体"/>
                <w:sz w:val="18"/>
                <w:szCs w:val="18"/>
              </w:rPr>
              <w:t>TSP</w:t>
            </w:r>
            <w:r>
              <w:rPr>
                <w:rFonts w:eastAsia="黑体"/>
                <w:sz w:val="18"/>
                <w:szCs w:val="18"/>
              </w:rPr>
              <w:t>）现状评价结果表</w:t>
            </w:r>
          </w:p>
          <w:tbl>
            <w:tblPr>
              <w:tblStyle w:val="21"/>
              <w:tblW w:w="78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47"/>
              <w:gridCol w:w="897"/>
              <w:gridCol w:w="564"/>
              <w:gridCol w:w="564"/>
              <w:gridCol w:w="564"/>
              <w:gridCol w:w="568"/>
              <w:gridCol w:w="617"/>
              <w:gridCol w:w="1219"/>
              <w:gridCol w:w="848"/>
              <w:gridCol w:w="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06" w:hRule="atLeast"/>
                <w:jc w:val="center"/>
              </w:trPr>
              <w:tc>
                <w:tcPr>
                  <w:tcW w:w="1047" w:type="dxa"/>
                  <w:vMerge w:val="restart"/>
                  <w:vAlign w:val="center"/>
                </w:tcPr>
                <w:p>
                  <w:pPr>
                    <w:adjustRightInd w:val="0"/>
                    <w:snapToGrid w:val="0"/>
                    <w:spacing w:line="360" w:lineRule="exact"/>
                    <w:jc w:val="center"/>
                    <w:rPr>
                      <w:b/>
                      <w:bCs/>
                      <w:sz w:val="16"/>
                      <w:szCs w:val="16"/>
                    </w:rPr>
                  </w:pPr>
                  <w:r>
                    <w:rPr>
                      <w:rFonts w:hAnsi="宋体"/>
                      <w:b/>
                      <w:bCs/>
                      <w:sz w:val="16"/>
                      <w:szCs w:val="16"/>
                    </w:rPr>
                    <w:t>监测点位</w:t>
                  </w:r>
                </w:p>
              </w:tc>
              <w:tc>
                <w:tcPr>
                  <w:tcW w:w="897" w:type="dxa"/>
                  <w:vMerge w:val="restart"/>
                  <w:vAlign w:val="center"/>
                </w:tcPr>
                <w:p>
                  <w:pPr>
                    <w:adjustRightInd w:val="0"/>
                    <w:snapToGrid w:val="0"/>
                    <w:spacing w:line="360" w:lineRule="exact"/>
                    <w:jc w:val="center"/>
                    <w:rPr>
                      <w:b/>
                      <w:bCs/>
                      <w:sz w:val="16"/>
                      <w:szCs w:val="16"/>
                    </w:rPr>
                  </w:pPr>
                  <w:r>
                    <w:rPr>
                      <w:rFonts w:hAnsi="宋体"/>
                      <w:b/>
                      <w:bCs/>
                      <w:sz w:val="16"/>
                      <w:szCs w:val="16"/>
                    </w:rPr>
                    <w:t>监测日期</w:t>
                  </w:r>
                </w:p>
              </w:tc>
              <w:tc>
                <w:tcPr>
                  <w:tcW w:w="2260" w:type="dxa"/>
                  <w:gridSpan w:val="4"/>
                  <w:vAlign w:val="center"/>
                </w:tcPr>
                <w:p>
                  <w:pPr>
                    <w:adjustRightInd w:val="0"/>
                    <w:snapToGrid w:val="0"/>
                    <w:spacing w:line="360" w:lineRule="exact"/>
                    <w:jc w:val="center"/>
                    <w:rPr>
                      <w:b/>
                      <w:bCs/>
                      <w:sz w:val="16"/>
                      <w:szCs w:val="16"/>
                    </w:rPr>
                  </w:pPr>
                  <w:r>
                    <w:rPr>
                      <w:rFonts w:hAnsi="宋体"/>
                      <w:b/>
                      <w:bCs/>
                      <w:sz w:val="16"/>
                      <w:szCs w:val="16"/>
                    </w:rPr>
                    <w:t>监测结果（</w:t>
                  </w:r>
                  <w:r>
                    <w:rPr>
                      <w:rFonts w:hint="eastAsia"/>
                      <w:sz w:val="16"/>
                      <w:szCs w:val="16"/>
                    </w:rPr>
                    <w:t>u</w:t>
                  </w:r>
                  <w:r>
                    <w:rPr>
                      <w:sz w:val="16"/>
                      <w:szCs w:val="16"/>
                    </w:rPr>
                    <w:t>g/m</w:t>
                  </w:r>
                  <w:r>
                    <w:rPr>
                      <w:sz w:val="16"/>
                      <w:szCs w:val="16"/>
                      <w:vertAlign w:val="superscript"/>
                    </w:rPr>
                    <w:t>3</w:t>
                  </w:r>
                  <w:r>
                    <w:rPr>
                      <w:rFonts w:hAnsi="宋体"/>
                      <w:b/>
                      <w:bCs/>
                      <w:sz w:val="16"/>
                      <w:szCs w:val="16"/>
                    </w:rPr>
                    <w:t>）</w:t>
                  </w:r>
                </w:p>
              </w:tc>
              <w:tc>
                <w:tcPr>
                  <w:tcW w:w="617" w:type="dxa"/>
                  <w:vMerge w:val="restart"/>
                  <w:vAlign w:val="center"/>
                </w:tcPr>
                <w:p>
                  <w:pPr>
                    <w:adjustRightInd w:val="0"/>
                    <w:snapToGrid w:val="0"/>
                    <w:spacing w:line="360" w:lineRule="exact"/>
                    <w:jc w:val="center"/>
                    <w:rPr>
                      <w:b/>
                      <w:bCs/>
                      <w:sz w:val="16"/>
                      <w:szCs w:val="16"/>
                    </w:rPr>
                  </w:pPr>
                  <w:r>
                    <w:rPr>
                      <w:b/>
                      <w:bCs/>
                      <w:sz w:val="16"/>
                      <w:szCs w:val="16"/>
                    </w:rPr>
                    <w:t>平均值</w:t>
                  </w:r>
                </w:p>
              </w:tc>
              <w:tc>
                <w:tcPr>
                  <w:tcW w:w="1219" w:type="dxa"/>
                  <w:vMerge w:val="restart"/>
                  <w:vAlign w:val="center"/>
                </w:tcPr>
                <w:p>
                  <w:pPr>
                    <w:adjustRightInd w:val="0"/>
                    <w:snapToGrid w:val="0"/>
                    <w:spacing w:line="360" w:lineRule="exact"/>
                    <w:jc w:val="center"/>
                    <w:rPr>
                      <w:b/>
                      <w:bCs/>
                      <w:sz w:val="16"/>
                      <w:szCs w:val="16"/>
                    </w:rPr>
                  </w:pPr>
                  <w:r>
                    <w:rPr>
                      <w:rFonts w:hAnsi="宋体"/>
                      <w:b/>
                      <w:bCs/>
                      <w:sz w:val="16"/>
                      <w:szCs w:val="16"/>
                    </w:rPr>
                    <w:t>标准值（日均值折算小时值）</w:t>
                  </w:r>
                </w:p>
              </w:tc>
              <w:tc>
                <w:tcPr>
                  <w:tcW w:w="848" w:type="dxa"/>
                  <w:vMerge w:val="restart"/>
                  <w:vAlign w:val="center"/>
                </w:tcPr>
                <w:p>
                  <w:pPr>
                    <w:adjustRightInd w:val="0"/>
                    <w:snapToGrid w:val="0"/>
                    <w:spacing w:line="360" w:lineRule="exact"/>
                    <w:jc w:val="center"/>
                    <w:rPr>
                      <w:b/>
                      <w:bCs/>
                      <w:sz w:val="16"/>
                      <w:szCs w:val="16"/>
                    </w:rPr>
                  </w:pPr>
                  <w:r>
                    <w:rPr>
                      <w:rFonts w:hAnsi="宋体"/>
                      <w:b/>
                      <w:bCs/>
                      <w:sz w:val="16"/>
                      <w:szCs w:val="16"/>
                    </w:rPr>
                    <w:t>占标率</w:t>
                  </w:r>
                </w:p>
              </w:tc>
              <w:tc>
                <w:tcPr>
                  <w:tcW w:w="952" w:type="dxa"/>
                  <w:vMerge w:val="restart"/>
                  <w:vAlign w:val="center"/>
                </w:tcPr>
                <w:p>
                  <w:pPr>
                    <w:adjustRightInd w:val="0"/>
                    <w:snapToGrid w:val="0"/>
                    <w:spacing w:line="360" w:lineRule="exact"/>
                    <w:jc w:val="center"/>
                    <w:rPr>
                      <w:rFonts w:hAnsi="宋体"/>
                      <w:b/>
                      <w:bCs/>
                      <w:sz w:val="16"/>
                      <w:szCs w:val="16"/>
                    </w:rPr>
                  </w:pPr>
                  <w:r>
                    <w:rPr>
                      <w:rFonts w:hAnsi="宋体"/>
                      <w:b/>
                      <w:bCs/>
                      <w:sz w:val="16"/>
                      <w:szCs w:val="16"/>
                    </w:rPr>
                    <w:t>超标率</w:t>
                  </w:r>
                </w:p>
                <w:p>
                  <w:pPr>
                    <w:adjustRightInd w:val="0"/>
                    <w:snapToGrid w:val="0"/>
                    <w:spacing w:line="360" w:lineRule="exact"/>
                    <w:jc w:val="center"/>
                    <w:rPr>
                      <w:b/>
                      <w:bCs/>
                      <w:sz w:val="16"/>
                      <w:szCs w:val="16"/>
                    </w:rPr>
                  </w:pPr>
                  <w:r>
                    <w:rPr>
                      <w:rFonts w:hAnsi="宋体"/>
                      <w:b/>
                      <w:bCs/>
                      <w:sz w:val="16"/>
                      <w:szCs w:val="16"/>
                    </w:rPr>
                    <w:t>（</w:t>
                  </w:r>
                  <w:r>
                    <w:rPr>
                      <w:b/>
                      <w:bCs/>
                      <w:sz w:val="16"/>
                      <w:szCs w:val="16"/>
                    </w:rPr>
                    <w:t>%</w:t>
                  </w:r>
                  <w:r>
                    <w:rPr>
                      <w:rFonts w:hAnsi="宋体"/>
                      <w:b/>
                      <w:bCs/>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06" w:hRule="atLeast"/>
                <w:jc w:val="center"/>
              </w:trPr>
              <w:tc>
                <w:tcPr>
                  <w:tcW w:w="1047" w:type="dxa"/>
                  <w:vMerge w:val="continue"/>
                  <w:vAlign w:val="center"/>
                </w:tcPr>
                <w:p>
                  <w:pPr>
                    <w:adjustRightInd w:val="0"/>
                    <w:snapToGrid w:val="0"/>
                    <w:spacing w:line="360" w:lineRule="exact"/>
                    <w:jc w:val="center"/>
                    <w:rPr>
                      <w:rFonts w:hAnsi="宋体"/>
                      <w:b/>
                      <w:bCs/>
                      <w:sz w:val="16"/>
                      <w:szCs w:val="16"/>
                    </w:rPr>
                  </w:pPr>
                </w:p>
              </w:tc>
              <w:tc>
                <w:tcPr>
                  <w:tcW w:w="897" w:type="dxa"/>
                  <w:vMerge w:val="continue"/>
                  <w:vAlign w:val="center"/>
                </w:tcPr>
                <w:p>
                  <w:pPr>
                    <w:adjustRightInd w:val="0"/>
                    <w:snapToGrid w:val="0"/>
                    <w:spacing w:line="360" w:lineRule="exact"/>
                    <w:jc w:val="center"/>
                    <w:rPr>
                      <w:rFonts w:hAnsi="宋体"/>
                      <w:b/>
                      <w:bCs/>
                      <w:sz w:val="16"/>
                      <w:szCs w:val="16"/>
                    </w:rPr>
                  </w:pPr>
                </w:p>
              </w:tc>
              <w:tc>
                <w:tcPr>
                  <w:tcW w:w="564" w:type="dxa"/>
                  <w:vAlign w:val="center"/>
                </w:tcPr>
                <w:p>
                  <w:pPr>
                    <w:adjustRightInd w:val="0"/>
                    <w:snapToGrid w:val="0"/>
                    <w:spacing w:line="360" w:lineRule="exact"/>
                    <w:jc w:val="center"/>
                    <w:rPr>
                      <w:rFonts w:hAnsi="宋体"/>
                      <w:b/>
                      <w:bCs/>
                      <w:sz w:val="16"/>
                      <w:szCs w:val="16"/>
                    </w:rPr>
                  </w:pPr>
                  <w:r>
                    <w:rPr>
                      <w:rFonts w:hAnsi="宋体"/>
                      <w:b/>
                      <w:bCs/>
                      <w:sz w:val="16"/>
                      <w:szCs w:val="16"/>
                    </w:rPr>
                    <w:t>第</w:t>
                  </w:r>
                  <w:r>
                    <w:rPr>
                      <w:rFonts w:hint="eastAsia" w:hAnsi="宋体"/>
                      <w:b/>
                      <w:bCs/>
                      <w:sz w:val="16"/>
                      <w:szCs w:val="16"/>
                    </w:rPr>
                    <w:t>1</w:t>
                  </w:r>
                  <w:r>
                    <w:rPr>
                      <w:rFonts w:hAnsi="宋体"/>
                      <w:b/>
                      <w:bCs/>
                      <w:sz w:val="16"/>
                      <w:szCs w:val="16"/>
                    </w:rPr>
                    <w:t>次</w:t>
                  </w:r>
                </w:p>
              </w:tc>
              <w:tc>
                <w:tcPr>
                  <w:tcW w:w="564" w:type="dxa"/>
                  <w:vAlign w:val="center"/>
                </w:tcPr>
                <w:p>
                  <w:pPr>
                    <w:adjustRightInd w:val="0"/>
                    <w:snapToGrid w:val="0"/>
                    <w:spacing w:line="360" w:lineRule="exact"/>
                    <w:jc w:val="center"/>
                    <w:rPr>
                      <w:rFonts w:hAnsi="宋体"/>
                      <w:b/>
                      <w:bCs/>
                      <w:sz w:val="16"/>
                      <w:szCs w:val="16"/>
                    </w:rPr>
                  </w:pPr>
                  <w:r>
                    <w:rPr>
                      <w:rFonts w:hAnsi="宋体"/>
                      <w:b/>
                      <w:bCs/>
                      <w:sz w:val="16"/>
                      <w:szCs w:val="16"/>
                    </w:rPr>
                    <w:t>第</w:t>
                  </w:r>
                  <w:r>
                    <w:rPr>
                      <w:rFonts w:hint="eastAsia" w:hAnsi="宋体"/>
                      <w:b/>
                      <w:bCs/>
                      <w:sz w:val="16"/>
                      <w:szCs w:val="16"/>
                    </w:rPr>
                    <w:t>2</w:t>
                  </w:r>
                  <w:r>
                    <w:rPr>
                      <w:rFonts w:hAnsi="宋体"/>
                      <w:b/>
                      <w:bCs/>
                      <w:sz w:val="16"/>
                      <w:szCs w:val="16"/>
                    </w:rPr>
                    <w:t>次</w:t>
                  </w:r>
                </w:p>
              </w:tc>
              <w:tc>
                <w:tcPr>
                  <w:tcW w:w="564" w:type="dxa"/>
                  <w:vAlign w:val="center"/>
                </w:tcPr>
                <w:p>
                  <w:pPr>
                    <w:adjustRightInd w:val="0"/>
                    <w:snapToGrid w:val="0"/>
                    <w:spacing w:line="360" w:lineRule="exact"/>
                    <w:jc w:val="center"/>
                    <w:rPr>
                      <w:rFonts w:hAnsi="宋体"/>
                      <w:b/>
                      <w:bCs/>
                      <w:sz w:val="16"/>
                      <w:szCs w:val="16"/>
                    </w:rPr>
                  </w:pPr>
                  <w:r>
                    <w:rPr>
                      <w:rFonts w:hAnsi="宋体"/>
                      <w:b/>
                      <w:bCs/>
                      <w:sz w:val="16"/>
                      <w:szCs w:val="16"/>
                    </w:rPr>
                    <w:t>第</w:t>
                  </w:r>
                  <w:r>
                    <w:rPr>
                      <w:rFonts w:hint="eastAsia" w:hAnsi="宋体"/>
                      <w:b/>
                      <w:bCs/>
                      <w:sz w:val="16"/>
                      <w:szCs w:val="16"/>
                    </w:rPr>
                    <w:t>3</w:t>
                  </w:r>
                  <w:r>
                    <w:rPr>
                      <w:rFonts w:hAnsi="宋体"/>
                      <w:b/>
                      <w:bCs/>
                      <w:sz w:val="16"/>
                      <w:szCs w:val="16"/>
                    </w:rPr>
                    <w:t>次</w:t>
                  </w:r>
                </w:p>
              </w:tc>
              <w:tc>
                <w:tcPr>
                  <w:tcW w:w="566" w:type="dxa"/>
                  <w:vAlign w:val="center"/>
                </w:tcPr>
                <w:p>
                  <w:pPr>
                    <w:adjustRightInd w:val="0"/>
                    <w:snapToGrid w:val="0"/>
                    <w:spacing w:line="360" w:lineRule="exact"/>
                    <w:jc w:val="center"/>
                    <w:rPr>
                      <w:rFonts w:hAnsi="宋体"/>
                      <w:b/>
                      <w:bCs/>
                      <w:sz w:val="16"/>
                      <w:szCs w:val="16"/>
                    </w:rPr>
                  </w:pPr>
                  <w:r>
                    <w:rPr>
                      <w:rFonts w:hAnsi="宋体"/>
                      <w:b/>
                      <w:bCs/>
                      <w:sz w:val="16"/>
                      <w:szCs w:val="16"/>
                    </w:rPr>
                    <w:t>第</w:t>
                  </w:r>
                  <w:r>
                    <w:rPr>
                      <w:rFonts w:hint="eastAsia" w:hAnsi="宋体"/>
                      <w:b/>
                      <w:bCs/>
                      <w:sz w:val="16"/>
                      <w:szCs w:val="16"/>
                    </w:rPr>
                    <w:t>4</w:t>
                  </w:r>
                  <w:r>
                    <w:rPr>
                      <w:rFonts w:hAnsi="宋体"/>
                      <w:b/>
                      <w:bCs/>
                      <w:sz w:val="16"/>
                      <w:szCs w:val="16"/>
                    </w:rPr>
                    <w:t>次</w:t>
                  </w:r>
                </w:p>
              </w:tc>
              <w:tc>
                <w:tcPr>
                  <w:tcW w:w="617" w:type="dxa"/>
                  <w:vMerge w:val="continue"/>
                  <w:vAlign w:val="center"/>
                </w:tcPr>
                <w:p>
                  <w:pPr>
                    <w:adjustRightInd w:val="0"/>
                    <w:snapToGrid w:val="0"/>
                    <w:spacing w:line="360" w:lineRule="exact"/>
                    <w:jc w:val="center"/>
                    <w:rPr>
                      <w:rFonts w:hAnsi="宋体"/>
                      <w:b/>
                      <w:bCs/>
                      <w:sz w:val="16"/>
                      <w:szCs w:val="16"/>
                    </w:rPr>
                  </w:pPr>
                </w:p>
              </w:tc>
              <w:tc>
                <w:tcPr>
                  <w:tcW w:w="1219" w:type="dxa"/>
                  <w:vMerge w:val="continue"/>
                  <w:vAlign w:val="center"/>
                </w:tcPr>
                <w:p>
                  <w:pPr>
                    <w:adjustRightInd w:val="0"/>
                    <w:snapToGrid w:val="0"/>
                    <w:spacing w:line="360" w:lineRule="exact"/>
                    <w:jc w:val="center"/>
                    <w:rPr>
                      <w:rFonts w:hAnsi="宋体"/>
                      <w:b/>
                      <w:bCs/>
                      <w:sz w:val="16"/>
                      <w:szCs w:val="16"/>
                    </w:rPr>
                  </w:pPr>
                </w:p>
              </w:tc>
              <w:tc>
                <w:tcPr>
                  <w:tcW w:w="848" w:type="dxa"/>
                  <w:vMerge w:val="continue"/>
                  <w:vAlign w:val="center"/>
                </w:tcPr>
                <w:p>
                  <w:pPr>
                    <w:adjustRightInd w:val="0"/>
                    <w:snapToGrid w:val="0"/>
                    <w:spacing w:line="360" w:lineRule="exact"/>
                    <w:jc w:val="center"/>
                    <w:rPr>
                      <w:rFonts w:hAnsi="宋体"/>
                      <w:b/>
                      <w:bCs/>
                      <w:sz w:val="16"/>
                      <w:szCs w:val="16"/>
                    </w:rPr>
                  </w:pPr>
                </w:p>
              </w:tc>
              <w:tc>
                <w:tcPr>
                  <w:tcW w:w="952" w:type="dxa"/>
                  <w:vMerge w:val="continue"/>
                  <w:vAlign w:val="center"/>
                </w:tcPr>
                <w:p>
                  <w:pPr>
                    <w:adjustRightInd w:val="0"/>
                    <w:snapToGrid w:val="0"/>
                    <w:spacing w:line="360" w:lineRule="exact"/>
                    <w:jc w:val="center"/>
                    <w:rPr>
                      <w:rFonts w:hAnsi="宋体"/>
                      <w:b/>
                      <w:bCs/>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06" w:hRule="atLeast"/>
                <w:jc w:val="center"/>
              </w:trPr>
              <w:tc>
                <w:tcPr>
                  <w:tcW w:w="1047" w:type="dxa"/>
                  <w:vMerge w:val="restart"/>
                  <w:vAlign w:val="center"/>
                </w:tcPr>
                <w:p>
                  <w:pPr>
                    <w:widowControl/>
                    <w:spacing w:line="360" w:lineRule="exact"/>
                    <w:jc w:val="left"/>
                    <w:rPr>
                      <w:sz w:val="16"/>
                      <w:szCs w:val="16"/>
                    </w:rPr>
                  </w:pPr>
                  <w:r>
                    <w:rPr>
                      <w:sz w:val="16"/>
                      <w:szCs w:val="16"/>
                    </w:rPr>
                    <w:t>储煤棚西南侧下风向处</w:t>
                  </w:r>
                </w:p>
              </w:tc>
              <w:tc>
                <w:tcPr>
                  <w:tcW w:w="897" w:type="dxa"/>
                  <w:vAlign w:val="center"/>
                </w:tcPr>
                <w:p>
                  <w:pPr>
                    <w:adjustRightInd w:val="0"/>
                    <w:snapToGrid w:val="0"/>
                    <w:spacing w:line="360" w:lineRule="exact"/>
                    <w:ind w:left="-105" w:leftChars="-50" w:right="-105" w:rightChars="-50"/>
                    <w:jc w:val="center"/>
                    <w:rPr>
                      <w:sz w:val="16"/>
                      <w:szCs w:val="16"/>
                    </w:rPr>
                  </w:pPr>
                  <w:r>
                    <w:rPr>
                      <w:rFonts w:hint="eastAsia"/>
                      <w:sz w:val="16"/>
                      <w:szCs w:val="16"/>
                    </w:rPr>
                    <w:t>2023.3.24</w:t>
                  </w:r>
                </w:p>
              </w:tc>
              <w:tc>
                <w:tcPr>
                  <w:tcW w:w="564" w:type="dxa"/>
                  <w:vAlign w:val="center"/>
                </w:tcPr>
                <w:p>
                  <w:pPr>
                    <w:spacing w:line="360" w:lineRule="exact"/>
                    <w:ind w:left="-105" w:leftChars="-50" w:right="-105" w:rightChars="-50"/>
                    <w:jc w:val="center"/>
                    <w:rPr>
                      <w:sz w:val="16"/>
                      <w:szCs w:val="16"/>
                    </w:rPr>
                  </w:pPr>
                  <w:r>
                    <w:rPr>
                      <w:rFonts w:hint="eastAsia"/>
                      <w:sz w:val="16"/>
                      <w:szCs w:val="16"/>
                    </w:rPr>
                    <w:t>189</w:t>
                  </w:r>
                </w:p>
              </w:tc>
              <w:tc>
                <w:tcPr>
                  <w:tcW w:w="564" w:type="dxa"/>
                  <w:vAlign w:val="center"/>
                </w:tcPr>
                <w:p>
                  <w:pPr>
                    <w:spacing w:line="360" w:lineRule="exact"/>
                    <w:ind w:left="-105" w:leftChars="-50" w:right="-105" w:rightChars="-50"/>
                    <w:jc w:val="center"/>
                    <w:rPr>
                      <w:sz w:val="16"/>
                      <w:szCs w:val="16"/>
                    </w:rPr>
                  </w:pPr>
                  <w:r>
                    <w:rPr>
                      <w:rFonts w:hint="eastAsia"/>
                      <w:sz w:val="16"/>
                      <w:szCs w:val="16"/>
                    </w:rPr>
                    <w:t>184</w:t>
                  </w:r>
                </w:p>
              </w:tc>
              <w:tc>
                <w:tcPr>
                  <w:tcW w:w="564" w:type="dxa"/>
                  <w:vAlign w:val="center"/>
                </w:tcPr>
                <w:p>
                  <w:pPr>
                    <w:spacing w:line="360" w:lineRule="exact"/>
                    <w:ind w:left="-105" w:leftChars="-50" w:right="-105" w:rightChars="-50"/>
                    <w:jc w:val="center"/>
                    <w:rPr>
                      <w:sz w:val="16"/>
                      <w:szCs w:val="16"/>
                    </w:rPr>
                  </w:pPr>
                  <w:r>
                    <w:rPr>
                      <w:rFonts w:hint="eastAsia"/>
                      <w:sz w:val="16"/>
                      <w:szCs w:val="16"/>
                    </w:rPr>
                    <w:t>194</w:t>
                  </w:r>
                </w:p>
              </w:tc>
              <w:tc>
                <w:tcPr>
                  <w:tcW w:w="566" w:type="dxa"/>
                  <w:vAlign w:val="center"/>
                </w:tcPr>
                <w:p>
                  <w:pPr>
                    <w:spacing w:line="360" w:lineRule="exact"/>
                    <w:ind w:left="-105" w:leftChars="-50" w:right="-105" w:rightChars="-50"/>
                    <w:jc w:val="center"/>
                    <w:rPr>
                      <w:sz w:val="16"/>
                      <w:szCs w:val="16"/>
                    </w:rPr>
                  </w:pPr>
                  <w:r>
                    <w:rPr>
                      <w:rFonts w:hint="eastAsia"/>
                      <w:sz w:val="16"/>
                      <w:szCs w:val="16"/>
                    </w:rPr>
                    <w:t>174</w:t>
                  </w:r>
                </w:p>
              </w:tc>
              <w:tc>
                <w:tcPr>
                  <w:tcW w:w="617" w:type="dxa"/>
                  <w:vAlign w:val="center"/>
                </w:tcPr>
                <w:p>
                  <w:pPr>
                    <w:spacing w:line="360" w:lineRule="exact"/>
                    <w:ind w:left="-105" w:leftChars="-50" w:right="-105" w:rightChars="-50"/>
                    <w:jc w:val="center"/>
                    <w:rPr>
                      <w:sz w:val="16"/>
                      <w:szCs w:val="16"/>
                    </w:rPr>
                  </w:pPr>
                  <w:r>
                    <w:rPr>
                      <w:rFonts w:hint="eastAsia"/>
                      <w:sz w:val="16"/>
                      <w:szCs w:val="16"/>
                    </w:rPr>
                    <w:t>185</w:t>
                  </w:r>
                </w:p>
              </w:tc>
              <w:tc>
                <w:tcPr>
                  <w:tcW w:w="1219" w:type="dxa"/>
                  <w:vAlign w:val="center"/>
                </w:tcPr>
                <w:p>
                  <w:pPr>
                    <w:adjustRightInd w:val="0"/>
                    <w:snapToGrid w:val="0"/>
                    <w:spacing w:line="360" w:lineRule="exact"/>
                    <w:jc w:val="center"/>
                    <w:rPr>
                      <w:sz w:val="16"/>
                      <w:szCs w:val="16"/>
                    </w:rPr>
                  </w:pPr>
                  <w:r>
                    <w:rPr>
                      <w:rFonts w:hint="eastAsia"/>
                      <w:sz w:val="16"/>
                      <w:szCs w:val="16"/>
                    </w:rPr>
                    <w:t>900u</w:t>
                  </w:r>
                  <w:r>
                    <w:rPr>
                      <w:sz w:val="16"/>
                      <w:szCs w:val="16"/>
                    </w:rPr>
                    <w:t>g/m</w:t>
                  </w:r>
                  <w:r>
                    <w:rPr>
                      <w:sz w:val="16"/>
                      <w:szCs w:val="16"/>
                      <w:vertAlign w:val="superscript"/>
                    </w:rPr>
                    <w:t>3</w:t>
                  </w:r>
                </w:p>
              </w:tc>
              <w:tc>
                <w:tcPr>
                  <w:tcW w:w="848" w:type="dxa"/>
                  <w:vAlign w:val="center"/>
                </w:tcPr>
                <w:p>
                  <w:pPr>
                    <w:adjustRightInd w:val="0"/>
                    <w:snapToGrid w:val="0"/>
                    <w:spacing w:line="360" w:lineRule="exact"/>
                    <w:jc w:val="center"/>
                    <w:rPr>
                      <w:sz w:val="16"/>
                      <w:szCs w:val="16"/>
                    </w:rPr>
                  </w:pPr>
                  <w:r>
                    <w:rPr>
                      <w:rFonts w:hint="eastAsia"/>
                      <w:sz w:val="16"/>
                      <w:szCs w:val="16"/>
                    </w:rPr>
                    <w:t>20.56%</w:t>
                  </w:r>
                </w:p>
              </w:tc>
              <w:tc>
                <w:tcPr>
                  <w:tcW w:w="952" w:type="dxa"/>
                  <w:vAlign w:val="center"/>
                </w:tcPr>
                <w:p>
                  <w:pPr>
                    <w:adjustRightInd w:val="0"/>
                    <w:snapToGrid w:val="0"/>
                    <w:spacing w:line="360" w:lineRule="exact"/>
                    <w:jc w:val="center"/>
                    <w:rPr>
                      <w:sz w:val="16"/>
                      <w:szCs w:val="16"/>
                    </w:rPr>
                  </w:pPr>
                  <w:r>
                    <w:rPr>
                      <w:rFonts w:hint="eastAsia"/>
                      <w:sz w:val="16"/>
                      <w:szCs w:val="16"/>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06" w:hRule="atLeast"/>
                <w:jc w:val="center"/>
              </w:trPr>
              <w:tc>
                <w:tcPr>
                  <w:tcW w:w="1047" w:type="dxa"/>
                  <w:vMerge w:val="continue"/>
                  <w:vAlign w:val="center"/>
                </w:tcPr>
                <w:p>
                  <w:pPr>
                    <w:widowControl/>
                    <w:spacing w:line="360" w:lineRule="exact"/>
                    <w:jc w:val="left"/>
                    <w:rPr>
                      <w:sz w:val="16"/>
                      <w:szCs w:val="16"/>
                    </w:rPr>
                  </w:pPr>
                </w:p>
              </w:tc>
              <w:tc>
                <w:tcPr>
                  <w:tcW w:w="897" w:type="dxa"/>
                  <w:vAlign w:val="center"/>
                </w:tcPr>
                <w:p>
                  <w:pPr>
                    <w:adjustRightInd w:val="0"/>
                    <w:snapToGrid w:val="0"/>
                    <w:spacing w:line="360" w:lineRule="exact"/>
                    <w:ind w:left="-105" w:leftChars="-50" w:right="-105" w:rightChars="-50"/>
                    <w:jc w:val="center"/>
                    <w:rPr>
                      <w:sz w:val="16"/>
                      <w:szCs w:val="16"/>
                    </w:rPr>
                  </w:pPr>
                  <w:r>
                    <w:rPr>
                      <w:rFonts w:hint="eastAsia"/>
                      <w:sz w:val="16"/>
                      <w:szCs w:val="16"/>
                    </w:rPr>
                    <w:t>2023.3.25</w:t>
                  </w:r>
                </w:p>
              </w:tc>
              <w:tc>
                <w:tcPr>
                  <w:tcW w:w="564" w:type="dxa"/>
                  <w:vAlign w:val="center"/>
                </w:tcPr>
                <w:p>
                  <w:pPr>
                    <w:spacing w:line="360" w:lineRule="exact"/>
                    <w:ind w:left="-105" w:leftChars="-50" w:right="-105" w:rightChars="-50"/>
                    <w:jc w:val="center"/>
                    <w:rPr>
                      <w:sz w:val="16"/>
                      <w:szCs w:val="16"/>
                    </w:rPr>
                  </w:pPr>
                  <w:r>
                    <w:rPr>
                      <w:rFonts w:hint="eastAsia"/>
                      <w:sz w:val="16"/>
                      <w:szCs w:val="16"/>
                    </w:rPr>
                    <w:t>197</w:t>
                  </w:r>
                </w:p>
              </w:tc>
              <w:tc>
                <w:tcPr>
                  <w:tcW w:w="564" w:type="dxa"/>
                  <w:vAlign w:val="center"/>
                </w:tcPr>
                <w:p>
                  <w:pPr>
                    <w:spacing w:line="360" w:lineRule="exact"/>
                    <w:ind w:left="-105" w:leftChars="-50" w:right="-105" w:rightChars="-50"/>
                    <w:jc w:val="center"/>
                    <w:rPr>
                      <w:sz w:val="16"/>
                      <w:szCs w:val="16"/>
                    </w:rPr>
                  </w:pPr>
                  <w:r>
                    <w:rPr>
                      <w:rFonts w:hint="eastAsia"/>
                      <w:sz w:val="16"/>
                      <w:szCs w:val="16"/>
                    </w:rPr>
                    <w:t>187</w:t>
                  </w:r>
                </w:p>
              </w:tc>
              <w:tc>
                <w:tcPr>
                  <w:tcW w:w="564" w:type="dxa"/>
                  <w:vAlign w:val="center"/>
                </w:tcPr>
                <w:p>
                  <w:pPr>
                    <w:spacing w:line="360" w:lineRule="exact"/>
                    <w:ind w:left="-105" w:leftChars="-50" w:right="-105" w:rightChars="-50"/>
                    <w:jc w:val="center"/>
                    <w:rPr>
                      <w:sz w:val="16"/>
                      <w:szCs w:val="16"/>
                    </w:rPr>
                  </w:pPr>
                  <w:r>
                    <w:rPr>
                      <w:rFonts w:hint="eastAsia"/>
                      <w:sz w:val="16"/>
                      <w:szCs w:val="16"/>
                    </w:rPr>
                    <w:t>170</w:t>
                  </w:r>
                </w:p>
              </w:tc>
              <w:tc>
                <w:tcPr>
                  <w:tcW w:w="566" w:type="dxa"/>
                  <w:vAlign w:val="center"/>
                </w:tcPr>
                <w:p>
                  <w:pPr>
                    <w:spacing w:line="360" w:lineRule="exact"/>
                    <w:ind w:left="-105" w:leftChars="-50" w:right="-105" w:rightChars="-50"/>
                    <w:jc w:val="center"/>
                    <w:rPr>
                      <w:sz w:val="16"/>
                      <w:szCs w:val="16"/>
                    </w:rPr>
                  </w:pPr>
                  <w:r>
                    <w:rPr>
                      <w:rFonts w:hint="eastAsia"/>
                      <w:sz w:val="16"/>
                      <w:szCs w:val="16"/>
                    </w:rPr>
                    <w:t>172</w:t>
                  </w:r>
                </w:p>
              </w:tc>
              <w:tc>
                <w:tcPr>
                  <w:tcW w:w="617" w:type="dxa"/>
                  <w:vAlign w:val="center"/>
                </w:tcPr>
                <w:p>
                  <w:pPr>
                    <w:spacing w:line="360" w:lineRule="exact"/>
                    <w:ind w:left="-105" w:leftChars="-50" w:right="-105" w:rightChars="-50"/>
                    <w:jc w:val="center"/>
                    <w:rPr>
                      <w:sz w:val="16"/>
                      <w:szCs w:val="16"/>
                    </w:rPr>
                  </w:pPr>
                  <w:r>
                    <w:rPr>
                      <w:rFonts w:hint="eastAsia"/>
                      <w:sz w:val="16"/>
                      <w:szCs w:val="16"/>
                    </w:rPr>
                    <w:t>182</w:t>
                  </w:r>
                </w:p>
              </w:tc>
              <w:tc>
                <w:tcPr>
                  <w:tcW w:w="1219" w:type="dxa"/>
                  <w:vAlign w:val="center"/>
                </w:tcPr>
                <w:p>
                  <w:pPr>
                    <w:adjustRightInd w:val="0"/>
                    <w:snapToGrid w:val="0"/>
                    <w:spacing w:line="360" w:lineRule="exact"/>
                    <w:jc w:val="center"/>
                    <w:rPr>
                      <w:sz w:val="16"/>
                      <w:szCs w:val="16"/>
                    </w:rPr>
                  </w:pPr>
                  <w:r>
                    <w:rPr>
                      <w:rFonts w:hint="eastAsia"/>
                      <w:sz w:val="16"/>
                      <w:szCs w:val="16"/>
                    </w:rPr>
                    <w:t>900u</w:t>
                  </w:r>
                  <w:r>
                    <w:rPr>
                      <w:sz w:val="16"/>
                      <w:szCs w:val="16"/>
                    </w:rPr>
                    <w:t>g/m</w:t>
                  </w:r>
                  <w:r>
                    <w:rPr>
                      <w:sz w:val="16"/>
                      <w:szCs w:val="16"/>
                      <w:vertAlign w:val="superscript"/>
                    </w:rPr>
                    <w:t>3</w:t>
                  </w:r>
                </w:p>
              </w:tc>
              <w:tc>
                <w:tcPr>
                  <w:tcW w:w="848" w:type="dxa"/>
                  <w:vAlign w:val="center"/>
                </w:tcPr>
                <w:p>
                  <w:pPr>
                    <w:adjustRightInd w:val="0"/>
                    <w:snapToGrid w:val="0"/>
                    <w:spacing w:line="360" w:lineRule="exact"/>
                    <w:jc w:val="center"/>
                    <w:rPr>
                      <w:sz w:val="16"/>
                      <w:szCs w:val="16"/>
                    </w:rPr>
                  </w:pPr>
                  <w:r>
                    <w:rPr>
                      <w:rFonts w:hint="eastAsia"/>
                      <w:sz w:val="16"/>
                      <w:szCs w:val="16"/>
                    </w:rPr>
                    <w:t>20.22%</w:t>
                  </w:r>
                </w:p>
              </w:tc>
              <w:tc>
                <w:tcPr>
                  <w:tcW w:w="952" w:type="dxa"/>
                  <w:vAlign w:val="center"/>
                </w:tcPr>
                <w:p>
                  <w:pPr>
                    <w:adjustRightInd w:val="0"/>
                    <w:snapToGrid w:val="0"/>
                    <w:spacing w:line="360" w:lineRule="exact"/>
                    <w:jc w:val="center"/>
                    <w:rPr>
                      <w:sz w:val="16"/>
                      <w:szCs w:val="16"/>
                    </w:rPr>
                  </w:pPr>
                  <w:r>
                    <w:rPr>
                      <w:rFonts w:hint="eastAsia"/>
                      <w:sz w:val="16"/>
                      <w:szCs w:val="16"/>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12" w:hRule="atLeast"/>
                <w:jc w:val="center"/>
              </w:trPr>
              <w:tc>
                <w:tcPr>
                  <w:tcW w:w="1047" w:type="dxa"/>
                  <w:vMerge w:val="continue"/>
                  <w:vAlign w:val="center"/>
                </w:tcPr>
                <w:p>
                  <w:pPr>
                    <w:widowControl/>
                    <w:spacing w:line="360" w:lineRule="exact"/>
                    <w:jc w:val="left"/>
                    <w:rPr>
                      <w:sz w:val="16"/>
                      <w:szCs w:val="16"/>
                    </w:rPr>
                  </w:pPr>
                </w:p>
              </w:tc>
              <w:tc>
                <w:tcPr>
                  <w:tcW w:w="897" w:type="dxa"/>
                  <w:vAlign w:val="center"/>
                </w:tcPr>
                <w:p>
                  <w:pPr>
                    <w:adjustRightInd w:val="0"/>
                    <w:snapToGrid w:val="0"/>
                    <w:spacing w:line="360" w:lineRule="exact"/>
                    <w:ind w:left="-105" w:leftChars="-50" w:right="-105" w:rightChars="-50"/>
                    <w:jc w:val="center"/>
                    <w:rPr>
                      <w:sz w:val="16"/>
                      <w:szCs w:val="16"/>
                    </w:rPr>
                  </w:pPr>
                  <w:r>
                    <w:rPr>
                      <w:rFonts w:hint="eastAsia"/>
                      <w:sz w:val="16"/>
                      <w:szCs w:val="16"/>
                    </w:rPr>
                    <w:t>2023.3.26</w:t>
                  </w:r>
                </w:p>
              </w:tc>
              <w:tc>
                <w:tcPr>
                  <w:tcW w:w="564" w:type="dxa"/>
                  <w:vAlign w:val="center"/>
                </w:tcPr>
                <w:p>
                  <w:pPr>
                    <w:spacing w:line="360" w:lineRule="exact"/>
                    <w:ind w:left="-105" w:leftChars="-50" w:right="-105" w:rightChars="-50"/>
                    <w:jc w:val="center"/>
                    <w:rPr>
                      <w:sz w:val="16"/>
                      <w:szCs w:val="16"/>
                    </w:rPr>
                  </w:pPr>
                  <w:r>
                    <w:rPr>
                      <w:rFonts w:hint="eastAsia"/>
                      <w:sz w:val="16"/>
                      <w:szCs w:val="16"/>
                    </w:rPr>
                    <w:t>180</w:t>
                  </w:r>
                </w:p>
              </w:tc>
              <w:tc>
                <w:tcPr>
                  <w:tcW w:w="564" w:type="dxa"/>
                  <w:vAlign w:val="center"/>
                </w:tcPr>
                <w:p>
                  <w:pPr>
                    <w:spacing w:line="360" w:lineRule="exact"/>
                    <w:ind w:left="-105" w:leftChars="-50" w:right="-105" w:rightChars="-50"/>
                    <w:jc w:val="center"/>
                    <w:rPr>
                      <w:sz w:val="16"/>
                      <w:szCs w:val="16"/>
                    </w:rPr>
                  </w:pPr>
                  <w:r>
                    <w:rPr>
                      <w:rFonts w:hint="eastAsia"/>
                      <w:sz w:val="16"/>
                      <w:szCs w:val="16"/>
                    </w:rPr>
                    <w:t>179</w:t>
                  </w:r>
                </w:p>
              </w:tc>
              <w:tc>
                <w:tcPr>
                  <w:tcW w:w="564" w:type="dxa"/>
                  <w:vAlign w:val="center"/>
                </w:tcPr>
                <w:p>
                  <w:pPr>
                    <w:spacing w:line="360" w:lineRule="exact"/>
                    <w:ind w:left="-105" w:leftChars="-50" w:right="-105" w:rightChars="-50"/>
                    <w:jc w:val="center"/>
                    <w:rPr>
                      <w:sz w:val="16"/>
                      <w:szCs w:val="16"/>
                    </w:rPr>
                  </w:pPr>
                  <w:r>
                    <w:rPr>
                      <w:rFonts w:hint="eastAsia"/>
                      <w:sz w:val="16"/>
                      <w:szCs w:val="16"/>
                    </w:rPr>
                    <w:t>192</w:t>
                  </w:r>
                </w:p>
              </w:tc>
              <w:tc>
                <w:tcPr>
                  <w:tcW w:w="566" w:type="dxa"/>
                  <w:vAlign w:val="center"/>
                </w:tcPr>
                <w:p>
                  <w:pPr>
                    <w:spacing w:line="360" w:lineRule="exact"/>
                    <w:ind w:left="-105" w:leftChars="-50" w:right="-105" w:rightChars="-50"/>
                    <w:jc w:val="center"/>
                    <w:rPr>
                      <w:sz w:val="16"/>
                      <w:szCs w:val="16"/>
                    </w:rPr>
                  </w:pPr>
                  <w:r>
                    <w:rPr>
                      <w:rFonts w:hint="eastAsia"/>
                      <w:sz w:val="16"/>
                      <w:szCs w:val="16"/>
                    </w:rPr>
                    <w:t>169</w:t>
                  </w:r>
                </w:p>
              </w:tc>
              <w:tc>
                <w:tcPr>
                  <w:tcW w:w="617" w:type="dxa"/>
                  <w:vAlign w:val="center"/>
                </w:tcPr>
                <w:p>
                  <w:pPr>
                    <w:spacing w:line="360" w:lineRule="exact"/>
                    <w:ind w:left="-105" w:leftChars="-50" w:right="-105" w:rightChars="-50"/>
                    <w:jc w:val="center"/>
                    <w:rPr>
                      <w:sz w:val="16"/>
                      <w:szCs w:val="16"/>
                    </w:rPr>
                  </w:pPr>
                  <w:r>
                    <w:rPr>
                      <w:rFonts w:hint="eastAsia"/>
                      <w:sz w:val="16"/>
                      <w:szCs w:val="16"/>
                    </w:rPr>
                    <w:t>180</w:t>
                  </w:r>
                </w:p>
              </w:tc>
              <w:tc>
                <w:tcPr>
                  <w:tcW w:w="1219" w:type="dxa"/>
                  <w:vAlign w:val="center"/>
                </w:tcPr>
                <w:p>
                  <w:pPr>
                    <w:adjustRightInd w:val="0"/>
                    <w:snapToGrid w:val="0"/>
                    <w:spacing w:line="360" w:lineRule="exact"/>
                    <w:jc w:val="center"/>
                    <w:rPr>
                      <w:sz w:val="16"/>
                      <w:szCs w:val="16"/>
                    </w:rPr>
                  </w:pPr>
                  <w:r>
                    <w:rPr>
                      <w:rFonts w:hint="eastAsia"/>
                      <w:sz w:val="16"/>
                      <w:szCs w:val="16"/>
                    </w:rPr>
                    <w:t>900u</w:t>
                  </w:r>
                  <w:r>
                    <w:rPr>
                      <w:sz w:val="16"/>
                      <w:szCs w:val="16"/>
                    </w:rPr>
                    <w:t>g/m</w:t>
                  </w:r>
                  <w:r>
                    <w:rPr>
                      <w:sz w:val="16"/>
                      <w:szCs w:val="16"/>
                      <w:vertAlign w:val="superscript"/>
                    </w:rPr>
                    <w:t>3</w:t>
                  </w:r>
                </w:p>
              </w:tc>
              <w:tc>
                <w:tcPr>
                  <w:tcW w:w="848" w:type="dxa"/>
                  <w:vAlign w:val="center"/>
                </w:tcPr>
                <w:p>
                  <w:pPr>
                    <w:adjustRightInd w:val="0"/>
                    <w:snapToGrid w:val="0"/>
                    <w:spacing w:line="360" w:lineRule="exact"/>
                    <w:jc w:val="center"/>
                    <w:rPr>
                      <w:sz w:val="16"/>
                      <w:szCs w:val="16"/>
                    </w:rPr>
                  </w:pPr>
                  <w:r>
                    <w:rPr>
                      <w:rFonts w:hint="eastAsia"/>
                      <w:sz w:val="16"/>
                      <w:szCs w:val="16"/>
                    </w:rPr>
                    <w:t>20.00%</w:t>
                  </w:r>
                </w:p>
              </w:tc>
              <w:tc>
                <w:tcPr>
                  <w:tcW w:w="952" w:type="dxa"/>
                  <w:vAlign w:val="center"/>
                </w:tcPr>
                <w:p>
                  <w:pPr>
                    <w:adjustRightInd w:val="0"/>
                    <w:snapToGrid w:val="0"/>
                    <w:spacing w:line="360" w:lineRule="exact"/>
                    <w:jc w:val="center"/>
                    <w:rPr>
                      <w:sz w:val="16"/>
                      <w:szCs w:val="16"/>
                    </w:rPr>
                  </w:pPr>
                  <w:r>
                    <w:rPr>
                      <w:rFonts w:hint="eastAsia"/>
                      <w:sz w:val="16"/>
                      <w:szCs w:val="16"/>
                    </w:rPr>
                    <w:t>0</w:t>
                  </w:r>
                </w:p>
              </w:tc>
            </w:tr>
          </w:tbl>
          <w:p>
            <w:pPr>
              <w:autoSpaceDE w:val="0"/>
              <w:autoSpaceDN w:val="0"/>
              <w:adjustRightInd w:val="0"/>
              <w:snapToGrid w:val="0"/>
              <w:spacing w:line="400" w:lineRule="exact"/>
              <w:ind w:firstLine="420" w:firstLineChars="200"/>
              <w:jc w:val="left"/>
              <w:rPr>
                <w:rFonts w:cs="宋体"/>
                <w:szCs w:val="21"/>
              </w:rPr>
            </w:pPr>
            <w:r>
              <w:rPr>
                <w:rFonts w:cs="宋体"/>
                <w:kern w:val="0"/>
                <w:szCs w:val="21"/>
              </w:rPr>
              <w:t>由上表可见，项目区环境空气特征因子</w:t>
            </w:r>
            <w:r>
              <w:rPr>
                <w:rFonts w:hint="eastAsia" w:eastAsia="黑体"/>
                <w:szCs w:val="21"/>
              </w:rPr>
              <w:t>TSP</w:t>
            </w:r>
            <w:r>
              <w:rPr>
                <w:rFonts w:cs="宋体"/>
                <w:kern w:val="0"/>
                <w:szCs w:val="21"/>
              </w:rPr>
              <w:t>评价指标的占标率均小于100%。评价结果表明，项目所在地环境空气质量（</w:t>
            </w:r>
            <w:r>
              <w:rPr>
                <w:rFonts w:hint="eastAsia" w:eastAsia="黑体"/>
                <w:szCs w:val="21"/>
              </w:rPr>
              <w:t>TSP</w:t>
            </w:r>
            <w:r>
              <w:rPr>
                <w:rFonts w:cs="宋体"/>
                <w:kern w:val="0"/>
                <w:szCs w:val="21"/>
              </w:rPr>
              <w:t>）能够满足相关要求。</w:t>
            </w:r>
          </w:p>
          <w:p>
            <w:pPr>
              <w:adjustRightInd w:val="0"/>
              <w:snapToGrid w:val="0"/>
              <w:spacing w:line="400" w:lineRule="exact"/>
              <w:ind w:left="-53" w:leftChars="-25" w:right="-53" w:rightChars="-25"/>
              <w:jc w:val="left"/>
              <w:rPr>
                <w:rFonts w:eastAsia="黑体"/>
                <w:bCs/>
                <w:szCs w:val="21"/>
              </w:rPr>
            </w:pPr>
            <w:r>
              <w:rPr>
                <w:rFonts w:eastAsia="黑体"/>
                <w:bCs/>
                <w:szCs w:val="21"/>
              </w:rPr>
              <w:t>2、地表水环境质量现状及评价</w:t>
            </w:r>
          </w:p>
          <w:p>
            <w:pPr>
              <w:autoSpaceDE w:val="0"/>
              <w:autoSpaceDN w:val="0"/>
              <w:adjustRightInd w:val="0"/>
              <w:snapToGrid w:val="0"/>
              <w:spacing w:line="400" w:lineRule="exact"/>
              <w:ind w:firstLine="420" w:firstLineChars="200"/>
              <w:jc w:val="left"/>
            </w:pPr>
            <w:r>
              <w:rPr>
                <w:rFonts w:hint="eastAsia"/>
              </w:rPr>
              <w:t>本项目无外排废水，根据调查，项目附近的地表水体为东面的双龙河，双龙河属州河右岸一级支流，因此本报告采用州河的水质月报数据说明区域的水环境质量。</w:t>
            </w:r>
          </w:p>
          <w:p>
            <w:pPr>
              <w:autoSpaceDE w:val="0"/>
              <w:autoSpaceDN w:val="0"/>
              <w:adjustRightInd w:val="0"/>
              <w:snapToGrid w:val="0"/>
              <w:spacing w:line="400" w:lineRule="exact"/>
              <w:ind w:firstLine="420" w:firstLineChars="200"/>
              <w:jc w:val="left"/>
              <w:rPr>
                <w:rFonts w:cs="宋体"/>
                <w:kern w:val="0"/>
              </w:rPr>
            </w:pPr>
            <w:r>
              <w:t>2023年4月全市35个河流断面中，优（Ⅰ~Ⅱ类）良（Ⅲ类）水质断面30个，占比85.7%；轻度污染（Ⅳ类）水质断面5个，占比14.3%。全市河流超标情况为：御临河双河口大桥、任市河联盟桥、袁驿河速建桥、平滩河碧山中学、平滩河牛角滩断面受到轻度污染，主要污染指标为高锰酸盐指数、化学需氧量。</w:t>
            </w:r>
          </w:p>
          <w:p>
            <w:pPr>
              <w:autoSpaceDE w:val="0"/>
              <w:autoSpaceDN w:val="0"/>
              <w:adjustRightInd w:val="0"/>
              <w:snapToGrid w:val="0"/>
              <w:spacing w:line="400" w:lineRule="exact"/>
              <w:ind w:firstLine="420" w:firstLineChars="200"/>
              <w:jc w:val="left"/>
              <w:rPr>
                <w:rFonts w:cs="宋体"/>
                <w:kern w:val="0"/>
                <w:sz w:val="24"/>
              </w:rPr>
            </w:pPr>
            <w:r>
              <w:rPr>
                <w:rFonts w:hint="eastAsia" w:ascii="宋体" w:hAnsi="宋体"/>
                <w:kern w:val="0"/>
              </w:rPr>
              <w:t>水质评价结果表见下表。</w:t>
            </w:r>
          </w:p>
          <w:p>
            <w:pPr>
              <w:overflowPunct w:val="0"/>
              <w:autoSpaceDE w:val="0"/>
              <w:autoSpaceDN w:val="0"/>
              <w:spacing w:line="400" w:lineRule="exact"/>
              <w:ind w:left="57" w:right="57" w:firstLine="360" w:firstLineChars="200"/>
              <w:jc w:val="center"/>
              <w:rPr>
                <w:rFonts w:eastAsia="黑体"/>
                <w:sz w:val="18"/>
                <w:szCs w:val="18"/>
              </w:rPr>
            </w:pPr>
            <w:r>
              <w:rPr>
                <w:rFonts w:hint="eastAsia" w:ascii="黑体" w:hAnsi="黑体" w:eastAsia="黑体"/>
                <w:sz w:val="18"/>
                <w:szCs w:val="18"/>
              </w:rPr>
              <w:t xml:space="preserve">表3-3    </w:t>
            </w:r>
            <w:r>
              <w:rPr>
                <w:rFonts w:eastAsia="黑体"/>
                <w:sz w:val="18"/>
                <w:szCs w:val="18"/>
              </w:rPr>
              <w:t>20</w:t>
            </w:r>
            <w:r>
              <w:rPr>
                <w:rFonts w:hint="eastAsia" w:ascii="黑体" w:hAnsi="黑体" w:eastAsia="黑体"/>
                <w:sz w:val="18"/>
                <w:szCs w:val="18"/>
              </w:rPr>
              <w:t>23年4月达州市河流水质评价结果表</w:t>
            </w:r>
          </w:p>
          <w:tbl>
            <w:tblPr>
              <w:tblStyle w:val="21"/>
              <w:tblW w:w="787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8"/>
              <w:gridCol w:w="594"/>
              <w:gridCol w:w="568"/>
              <w:gridCol w:w="851"/>
              <w:gridCol w:w="1419"/>
              <w:gridCol w:w="1277"/>
              <w:gridCol w:w="567"/>
              <w:gridCol w:w="567"/>
              <w:gridCol w:w="567"/>
              <w:gridCol w:w="9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jc w:val="center"/>
              </w:trPr>
              <w:tc>
                <w:tcPr>
                  <w:tcW w:w="508" w:type="dxa"/>
                  <w:tcBorders>
                    <w:top w:val="single" w:color="000000" w:sz="4" w:space="0"/>
                    <w:left w:val="single" w:color="000000" w:sz="4" w:space="0"/>
                    <w:bottom w:val="single" w:color="000000" w:sz="4" w:space="0"/>
                    <w:right w:val="single" w:color="000000" w:sz="4" w:space="0"/>
                  </w:tcBorders>
                  <w:vAlign w:val="center"/>
                </w:tcPr>
                <w:p>
                  <w:pPr>
                    <w:pStyle w:val="19"/>
                    <w:spacing w:before="0" w:beforeAutospacing="0" w:after="0" w:afterAutospacing="0" w:line="300" w:lineRule="exact"/>
                    <w:jc w:val="center"/>
                    <w:rPr>
                      <w:sz w:val="18"/>
                      <w:szCs w:val="18"/>
                    </w:rPr>
                  </w:pPr>
                  <w:r>
                    <w:rPr>
                      <w:rFonts w:hint="eastAsia"/>
                      <w:sz w:val="18"/>
                      <w:szCs w:val="18"/>
                    </w:rPr>
                    <w:t>序号</w:t>
                  </w:r>
                </w:p>
              </w:tc>
              <w:tc>
                <w:tcPr>
                  <w:tcW w:w="1162" w:type="dxa"/>
                  <w:gridSpan w:val="2"/>
                  <w:tcBorders>
                    <w:top w:val="single" w:color="000000" w:sz="4" w:space="0"/>
                    <w:left w:val="single" w:color="000000" w:sz="4" w:space="0"/>
                    <w:bottom w:val="single" w:color="000000" w:sz="4" w:space="0"/>
                    <w:right w:val="single" w:color="000000" w:sz="4" w:space="0"/>
                  </w:tcBorders>
                  <w:vAlign w:val="center"/>
                </w:tcPr>
                <w:p>
                  <w:pPr>
                    <w:pStyle w:val="19"/>
                    <w:spacing w:before="0" w:beforeAutospacing="0" w:after="0" w:afterAutospacing="0" w:line="300" w:lineRule="exact"/>
                    <w:jc w:val="center"/>
                    <w:rPr>
                      <w:sz w:val="18"/>
                      <w:szCs w:val="18"/>
                    </w:rPr>
                  </w:pPr>
                  <w:r>
                    <w:rPr>
                      <w:rFonts w:hint="eastAsia"/>
                      <w:sz w:val="18"/>
                      <w:szCs w:val="18"/>
                    </w:rPr>
                    <w:t>河流</w:t>
                  </w: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19"/>
                    <w:spacing w:before="0" w:beforeAutospacing="0" w:after="0" w:afterAutospacing="0" w:line="300" w:lineRule="exact"/>
                    <w:jc w:val="center"/>
                    <w:rPr>
                      <w:sz w:val="18"/>
                      <w:szCs w:val="18"/>
                    </w:rPr>
                  </w:pPr>
                  <w:r>
                    <w:rPr>
                      <w:rFonts w:hint="eastAsia"/>
                      <w:sz w:val="18"/>
                      <w:szCs w:val="18"/>
                    </w:rPr>
                    <w:t>断面名称</w:t>
                  </w:r>
                </w:p>
              </w:tc>
              <w:tc>
                <w:tcPr>
                  <w:tcW w:w="1419" w:type="dxa"/>
                  <w:tcBorders>
                    <w:top w:val="single" w:color="000000" w:sz="4" w:space="0"/>
                    <w:left w:val="single" w:color="000000" w:sz="4" w:space="0"/>
                    <w:bottom w:val="single" w:color="000000" w:sz="4" w:space="0"/>
                    <w:right w:val="single" w:color="000000" w:sz="4" w:space="0"/>
                  </w:tcBorders>
                  <w:vAlign w:val="center"/>
                </w:tcPr>
                <w:p>
                  <w:pPr>
                    <w:pStyle w:val="19"/>
                    <w:spacing w:before="0" w:beforeAutospacing="0" w:after="0" w:afterAutospacing="0" w:line="300" w:lineRule="exact"/>
                    <w:jc w:val="center"/>
                    <w:rPr>
                      <w:sz w:val="18"/>
                      <w:szCs w:val="18"/>
                    </w:rPr>
                  </w:pPr>
                  <w:r>
                    <w:rPr>
                      <w:rFonts w:hint="eastAsia"/>
                      <w:sz w:val="18"/>
                      <w:szCs w:val="18"/>
                    </w:rPr>
                    <w:t>断面属性</w:t>
                  </w:r>
                </w:p>
              </w:tc>
              <w:tc>
                <w:tcPr>
                  <w:tcW w:w="1277" w:type="dxa"/>
                  <w:tcBorders>
                    <w:top w:val="single" w:color="000000" w:sz="4" w:space="0"/>
                    <w:left w:val="single" w:color="000000" w:sz="4" w:space="0"/>
                    <w:bottom w:val="single" w:color="000000" w:sz="4" w:space="0"/>
                    <w:right w:val="single" w:color="000000" w:sz="4" w:space="0"/>
                  </w:tcBorders>
                  <w:vAlign w:val="center"/>
                </w:tcPr>
                <w:p>
                  <w:pPr>
                    <w:pStyle w:val="19"/>
                    <w:spacing w:before="0" w:beforeAutospacing="0" w:after="0" w:afterAutospacing="0" w:line="300" w:lineRule="exact"/>
                    <w:jc w:val="center"/>
                    <w:rPr>
                      <w:sz w:val="18"/>
                      <w:szCs w:val="18"/>
                    </w:rPr>
                  </w:pPr>
                  <w:r>
                    <w:rPr>
                      <w:rFonts w:hint="eastAsia"/>
                      <w:sz w:val="18"/>
                      <w:szCs w:val="18"/>
                    </w:rPr>
                    <w:t>断面性质</w:t>
                  </w:r>
                </w:p>
              </w:tc>
              <w:tc>
                <w:tcPr>
                  <w:tcW w:w="567" w:type="dxa"/>
                  <w:tcBorders>
                    <w:top w:val="single" w:color="000000" w:sz="4" w:space="0"/>
                    <w:left w:val="single" w:color="000000" w:sz="4" w:space="0"/>
                    <w:bottom w:val="single" w:color="000000" w:sz="4" w:space="0"/>
                    <w:right w:val="single" w:color="000000" w:sz="4" w:space="0"/>
                  </w:tcBorders>
                  <w:vAlign w:val="center"/>
                </w:tcPr>
                <w:p>
                  <w:pPr>
                    <w:pStyle w:val="19"/>
                    <w:spacing w:before="0" w:beforeAutospacing="0" w:after="0" w:afterAutospacing="0" w:line="300" w:lineRule="exact"/>
                    <w:jc w:val="center"/>
                    <w:rPr>
                      <w:sz w:val="18"/>
                      <w:szCs w:val="18"/>
                    </w:rPr>
                  </w:pPr>
                  <w:r>
                    <w:rPr>
                      <w:rFonts w:hint="eastAsia"/>
                      <w:sz w:val="18"/>
                      <w:szCs w:val="18"/>
                    </w:rPr>
                    <w:t>上年</w:t>
                  </w:r>
                </w:p>
                <w:p>
                  <w:pPr>
                    <w:pStyle w:val="19"/>
                    <w:spacing w:before="0" w:beforeAutospacing="0" w:after="0" w:afterAutospacing="0" w:line="300" w:lineRule="exact"/>
                    <w:jc w:val="center"/>
                    <w:rPr>
                      <w:sz w:val="18"/>
                      <w:szCs w:val="18"/>
                    </w:rPr>
                  </w:pPr>
                  <w:r>
                    <w:rPr>
                      <w:rFonts w:hint="eastAsia"/>
                      <w:sz w:val="18"/>
                      <w:szCs w:val="18"/>
                    </w:rPr>
                    <w:t>同期</w:t>
                  </w:r>
                </w:p>
              </w:tc>
              <w:tc>
                <w:tcPr>
                  <w:tcW w:w="567" w:type="dxa"/>
                  <w:tcBorders>
                    <w:top w:val="single" w:color="000000" w:sz="4" w:space="0"/>
                    <w:left w:val="single" w:color="000000" w:sz="4" w:space="0"/>
                    <w:bottom w:val="single" w:color="000000" w:sz="4" w:space="0"/>
                    <w:right w:val="single" w:color="000000" w:sz="4" w:space="0"/>
                  </w:tcBorders>
                  <w:vAlign w:val="center"/>
                </w:tcPr>
                <w:p>
                  <w:pPr>
                    <w:pStyle w:val="19"/>
                    <w:spacing w:before="0" w:beforeAutospacing="0" w:after="0" w:afterAutospacing="0" w:line="300" w:lineRule="exact"/>
                    <w:jc w:val="center"/>
                    <w:rPr>
                      <w:sz w:val="18"/>
                      <w:szCs w:val="18"/>
                    </w:rPr>
                  </w:pPr>
                  <w:r>
                    <w:rPr>
                      <w:rFonts w:hint="eastAsia"/>
                      <w:sz w:val="18"/>
                      <w:szCs w:val="18"/>
                    </w:rPr>
                    <w:t>上月</w:t>
                  </w:r>
                </w:p>
                <w:p>
                  <w:pPr>
                    <w:pStyle w:val="19"/>
                    <w:spacing w:before="0" w:beforeAutospacing="0" w:after="0" w:afterAutospacing="0" w:line="300" w:lineRule="exact"/>
                    <w:jc w:val="center"/>
                    <w:rPr>
                      <w:sz w:val="18"/>
                      <w:szCs w:val="18"/>
                    </w:rPr>
                  </w:pPr>
                  <w:r>
                    <w:rPr>
                      <w:rFonts w:hint="eastAsia"/>
                      <w:sz w:val="18"/>
                      <w:szCs w:val="18"/>
                    </w:rPr>
                    <w:t>类别</w:t>
                  </w:r>
                </w:p>
              </w:tc>
              <w:tc>
                <w:tcPr>
                  <w:tcW w:w="567" w:type="dxa"/>
                  <w:tcBorders>
                    <w:top w:val="single" w:color="000000" w:sz="4" w:space="0"/>
                    <w:left w:val="single" w:color="000000" w:sz="4" w:space="0"/>
                    <w:bottom w:val="single" w:color="000000" w:sz="4" w:space="0"/>
                    <w:right w:val="single" w:color="000000" w:sz="4" w:space="0"/>
                  </w:tcBorders>
                  <w:vAlign w:val="center"/>
                </w:tcPr>
                <w:p>
                  <w:pPr>
                    <w:pStyle w:val="19"/>
                    <w:spacing w:before="0" w:beforeAutospacing="0" w:after="0" w:afterAutospacing="0" w:line="300" w:lineRule="exact"/>
                    <w:jc w:val="center"/>
                    <w:rPr>
                      <w:sz w:val="18"/>
                      <w:szCs w:val="18"/>
                    </w:rPr>
                  </w:pPr>
                  <w:r>
                    <w:rPr>
                      <w:rFonts w:hint="eastAsia"/>
                      <w:sz w:val="18"/>
                      <w:szCs w:val="18"/>
                    </w:rPr>
                    <w:t>本月</w:t>
                  </w:r>
                </w:p>
                <w:p>
                  <w:pPr>
                    <w:pStyle w:val="19"/>
                    <w:spacing w:before="0" w:beforeAutospacing="0" w:after="0" w:afterAutospacing="0" w:line="300" w:lineRule="exact"/>
                    <w:jc w:val="center"/>
                    <w:rPr>
                      <w:sz w:val="18"/>
                      <w:szCs w:val="18"/>
                    </w:rPr>
                  </w:pPr>
                  <w:r>
                    <w:rPr>
                      <w:rFonts w:hint="eastAsia"/>
                      <w:sz w:val="18"/>
                      <w:szCs w:val="18"/>
                    </w:rPr>
                    <w:t>类别</w:t>
                  </w:r>
                </w:p>
              </w:tc>
              <w:tc>
                <w:tcPr>
                  <w:tcW w:w="957" w:type="dxa"/>
                  <w:tcBorders>
                    <w:top w:val="single" w:color="000000" w:sz="4" w:space="0"/>
                    <w:left w:val="single" w:color="000000" w:sz="4" w:space="0"/>
                    <w:bottom w:val="single" w:color="000000" w:sz="4" w:space="0"/>
                    <w:right w:val="single" w:color="000000" w:sz="4" w:space="0"/>
                  </w:tcBorders>
                  <w:vAlign w:val="center"/>
                </w:tcPr>
                <w:p>
                  <w:pPr>
                    <w:pStyle w:val="19"/>
                    <w:spacing w:before="0" w:beforeAutospacing="0" w:after="0" w:afterAutospacing="0" w:line="300" w:lineRule="exact"/>
                    <w:jc w:val="center"/>
                    <w:rPr>
                      <w:sz w:val="18"/>
                      <w:szCs w:val="18"/>
                    </w:rPr>
                  </w:pPr>
                  <w:r>
                    <w:rPr>
                      <w:rFonts w:hint="eastAsia"/>
                      <w:sz w:val="18"/>
                      <w:szCs w:val="18"/>
                    </w:rPr>
                    <w:t>主要污染指标（类别）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jc w:val="center"/>
              </w:trPr>
              <w:tc>
                <w:tcPr>
                  <w:tcW w:w="508" w:type="dxa"/>
                  <w:tcBorders>
                    <w:top w:val="single" w:color="000000" w:sz="4" w:space="0"/>
                    <w:left w:val="single" w:color="000000" w:sz="4" w:space="0"/>
                    <w:bottom w:val="single" w:color="000000" w:sz="4" w:space="0"/>
                    <w:right w:val="single" w:color="000000" w:sz="4" w:space="0"/>
                  </w:tcBorders>
                  <w:vAlign w:val="center"/>
                </w:tcPr>
                <w:p>
                  <w:pPr>
                    <w:pStyle w:val="19"/>
                    <w:spacing w:before="0" w:beforeAutospacing="0" w:after="0" w:afterAutospacing="0" w:line="300" w:lineRule="exact"/>
                    <w:jc w:val="center"/>
                    <w:rPr>
                      <w:sz w:val="18"/>
                      <w:szCs w:val="18"/>
                    </w:rPr>
                  </w:pPr>
                  <w:r>
                    <w:rPr>
                      <w:rFonts w:hint="eastAsia"/>
                      <w:sz w:val="18"/>
                      <w:szCs w:val="18"/>
                    </w:rPr>
                    <w:t>1</w:t>
                  </w:r>
                </w:p>
              </w:tc>
              <w:tc>
                <w:tcPr>
                  <w:tcW w:w="594" w:type="dxa"/>
                  <w:vMerge w:val="restart"/>
                  <w:tcBorders>
                    <w:top w:val="single" w:color="000000" w:sz="4" w:space="0"/>
                    <w:left w:val="single" w:color="000000" w:sz="4" w:space="0"/>
                    <w:right w:val="single" w:color="000000" w:sz="4" w:space="0"/>
                  </w:tcBorders>
                  <w:vAlign w:val="center"/>
                </w:tcPr>
                <w:p>
                  <w:pPr>
                    <w:pStyle w:val="19"/>
                    <w:spacing w:before="0" w:beforeAutospacing="0" w:after="0" w:afterAutospacing="0" w:line="300" w:lineRule="exact"/>
                    <w:jc w:val="center"/>
                    <w:rPr>
                      <w:sz w:val="18"/>
                      <w:szCs w:val="18"/>
                    </w:rPr>
                  </w:pPr>
                  <w:r>
                    <w:rPr>
                      <w:rFonts w:hint="eastAsia"/>
                      <w:sz w:val="18"/>
                      <w:szCs w:val="18"/>
                    </w:rPr>
                    <w:t>州河</w:t>
                  </w:r>
                </w:p>
                <w:p>
                  <w:pPr>
                    <w:pStyle w:val="19"/>
                    <w:spacing w:before="0" w:beforeAutospacing="0" w:after="0" w:afterAutospacing="0" w:line="300" w:lineRule="exact"/>
                    <w:jc w:val="center"/>
                    <w:rPr>
                      <w:sz w:val="18"/>
                      <w:szCs w:val="18"/>
                    </w:rPr>
                  </w:pPr>
                  <w:r>
                    <w:rPr>
                      <w:rFonts w:hint="eastAsia"/>
                      <w:sz w:val="18"/>
                      <w:szCs w:val="18"/>
                    </w:rPr>
                    <w:t>水系</w:t>
                  </w:r>
                </w:p>
              </w:tc>
              <w:tc>
                <w:tcPr>
                  <w:tcW w:w="568" w:type="dxa"/>
                  <w:vMerge w:val="restart"/>
                  <w:tcBorders>
                    <w:top w:val="single" w:color="000000" w:sz="4" w:space="0"/>
                    <w:left w:val="single" w:color="000000" w:sz="4" w:space="0"/>
                    <w:right w:val="single" w:color="000000" w:sz="4" w:space="0"/>
                  </w:tcBorders>
                  <w:vAlign w:val="center"/>
                </w:tcPr>
                <w:p>
                  <w:pPr>
                    <w:pStyle w:val="19"/>
                    <w:spacing w:before="0" w:beforeAutospacing="0" w:after="0" w:afterAutospacing="0" w:line="300" w:lineRule="exact"/>
                    <w:jc w:val="center"/>
                    <w:rPr>
                      <w:rFonts w:ascii="Times New Roman" w:hAnsi="Times New Roman"/>
                      <w:sz w:val="18"/>
                      <w:szCs w:val="18"/>
                    </w:rPr>
                  </w:pPr>
                  <w:r>
                    <w:rPr>
                      <w:rFonts w:ascii="Times New Roman" w:hAnsi="Times New Roman"/>
                      <w:sz w:val="18"/>
                      <w:szCs w:val="18"/>
                    </w:rPr>
                    <w:t>干流</w:t>
                  </w: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19"/>
                    <w:spacing w:line="300" w:lineRule="exact"/>
                    <w:jc w:val="center"/>
                    <w:rPr>
                      <w:rFonts w:ascii="Times New Roman" w:hAnsi="Times New Roman"/>
                      <w:sz w:val="18"/>
                      <w:szCs w:val="18"/>
                    </w:rPr>
                  </w:pPr>
                  <w:r>
                    <w:rPr>
                      <w:rFonts w:ascii="Times New Roman" w:hAnsi="Times New Roman"/>
                      <w:sz w:val="18"/>
                      <w:szCs w:val="18"/>
                    </w:rPr>
                    <w:t>舵盘石</w:t>
                  </w:r>
                </w:p>
              </w:tc>
              <w:tc>
                <w:tcPr>
                  <w:tcW w:w="1419" w:type="dxa"/>
                  <w:tcBorders>
                    <w:top w:val="single" w:color="000000" w:sz="4" w:space="0"/>
                    <w:left w:val="single" w:color="000000" w:sz="4" w:space="0"/>
                    <w:bottom w:val="single" w:color="000000" w:sz="4" w:space="0"/>
                    <w:right w:val="single" w:color="000000" w:sz="4" w:space="0"/>
                  </w:tcBorders>
                  <w:vAlign w:val="center"/>
                </w:tcPr>
                <w:p>
                  <w:pPr>
                    <w:pStyle w:val="19"/>
                    <w:spacing w:line="300" w:lineRule="exact"/>
                    <w:jc w:val="center"/>
                    <w:rPr>
                      <w:rFonts w:ascii="Times New Roman" w:hAnsi="Times New Roman"/>
                      <w:sz w:val="18"/>
                      <w:szCs w:val="18"/>
                    </w:rPr>
                  </w:pPr>
                  <w:r>
                    <w:rPr>
                      <w:rFonts w:ascii="Times New Roman" w:hAnsi="Times New Roman"/>
                      <w:sz w:val="18"/>
                      <w:szCs w:val="18"/>
                    </w:rPr>
                    <w:t>渠县境内</w:t>
                  </w:r>
                </w:p>
              </w:tc>
              <w:tc>
                <w:tcPr>
                  <w:tcW w:w="1277" w:type="dxa"/>
                  <w:tcBorders>
                    <w:top w:val="single" w:color="000000" w:sz="4" w:space="0"/>
                    <w:left w:val="single" w:color="000000" w:sz="4" w:space="0"/>
                    <w:bottom w:val="single" w:color="000000" w:sz="4" w:space="0"/>
                    <w:right w:val="single" w:color="000000" w:sz="4" w:space="0"/>
                  </w:tcBorders>
                  <w:vAlign w:val="center"/>
                </w:tcPr>
                <w:p>
                  <w:pPr>
                    <w:pStyle w:val="19"/>
                    <w:spacing w:line="300" w:lineRule="exact"/>
                    <w:jc w:val="center"/>
                    <w:rPr>
                      <w:rFonts w:ascii="Times New Roman" w:hAnsi="Times New Roman"/>
                      <w:sz w:val="18"/>
                      <w:szCs w:val="18"/>
                    </w:rPr>
                  </w:pPr>
                  <w:r>
                    <w:rPr>
                      <w:rFonts w:hint="eastAsia"/>
                      <w:sz w:val="18"/>
                      <w:szCs w:val="18"/>
                    </w:rPr>
                    <w:t>国考</w:t>
                  </w:r>
                </w:p>
              </w:tc>
              <w:tc>
                <w:tcPr>
                  <w:tcW w:w="567" w:type="dxa"/>
                  <w:tcBorders>
                    <w:top w:val="single" w:color="000000" w:sz="4" w:space="0"/>
                    <w:left w:val="single" w:color="000000" w:sz="4" w:space="0"/>
                    <w:bottom w:val="single" w:color="000000" w:sz="4" w:space="0"/>
                    <w:right w:val="single" w:color="000000" w:sz="4" w:space="0"/>
                  </w:tcBorders>
                  <w:vAlign w:val="center"/>
                </w:tcPr>
                <w:p>
                  <w:pPr>
                    <w:pStyle w:val="19"/>
                    <w:spacing w:line="300" w:lineRule="exact"/>
                    <w:jc w:val="center"/>
                    <w:rPr>
                      <w:rFonts w:ascii="Times New Roman" w:hAnsi="Times New Roman"/>
                      <w:sz w:val="18"/>
                      <w:szCs w:val="18"/>
                    </w:rPr>
                  </w:pPr>
                  <w:r>
                    <w:rPr>
                      <w:rFonts w:ascii="Times New Roman" w:hAnsi="Times New Roman"/>
                      <w:sz w:val="18"/>
                      <w:szCs w:val="18"/>
                    </w:rPr>
                    <w:t>II</w:t>
                  </w:r>
                </w:p>
              </w:tc>
              <w:tc>
                <w:tcPr>
                  <w:tcW w:w="567" w:type="dxa"/>
                  <w:tcBorders>
                    <w:top w:val="single" w:color="000000" w:sz="4" w:space="0"/>
                    <w:left w:val="single" w:color="000000" w:sz="4" w:space="0"/>
                    <w:bottom w:val="single" w:color="000000" w:sz="4" w:space="0"/>
                    <w:right w:val="single" w:color="000000" w:sz="4" w:space="0"/>
                  </w:tcBorders>
                  <w:vAlign w:val="center"/>
                </w:tcPr>
                <w:p>
                  <w:pPr>
                    <w:pStyle w:val="19"/>
                    <w:spacing w:line="300" w:lineRule="exact"/>
                    <w:jc w:val="center"/>
                    <w:rPr>
                      <w:rFonts w:ascii="Times New Roman" w:hAnsi="Times New Roman"/>
                      <w:sz w:val="18"/>
                      <w:szCs w:val="18"/>
                    </w:rPr>
                  </w:pPr>
                  <w:r>
                    <w:rPr>
                      <w:rFonts w:ascii="Times New Roman" w:hAnsi="Times New Roman"/>
                      <w:sz w:val="18"/>
                      <w:szCs w:val="18"/>
                    </w:rPr>
                    <w:t xml:space="preserve">II </w:t>
                  </w:r>
                </w:p>
              </w:tc>
              <w:tc>
                <w:tcPr>
                  <w:tcW w:w="567" w:type="dxa"/>
                  <w:tcBorders>
                    <w:top w:val="single" w:color="000000" w:sz="4" w:space="0"/>
                    <w:left w:val="single" w:color="000000" w:sz="4" w:space="0"/>
                    <w:bottom w:val="single" w:color="000000" w:sz="4" w:space="0"/>
                    <w:right w:val="single" w:color="000000" w:sz="4" w:space="0"/>
                  </w:tcBorders>
                  <w:vAlign w:val="center"/>
                </w:tcPr>
                <w:p>
                  <w:pPr>
                    <w:pStyle w:val="19"/>
                    <w:spacing w:line="300" w:lineRule="exact"/>
                    <w:jc w:val="center"/>
                    <w:rPr>
                      <w:rFonts w:ascii="Times New Roman" w:hAnsi="Times New Roman"/>
                      <w:sz w:val="18"/>
                      <w:szCs w:val="18"/>
                    </w:rPr>
                  </w:pPr>
                  <w:r>
                    <w:rPr>
                      <w:rFonts w:ascii="Times New Roman" w:hAnsi="Times New Roman"/>
                      <w:sz w:val="18"/>
                      <w:szCs w:val="18"/>
                    </w:rPr>
                    <w:t xml:space="preserve">II </w:t>
                  </w:r>
                </w:p>
              </w:tc>
              <w:tc>
                <w:tcPr>
                  <w:tcW w:w="957" w:type="dxa"/>
                  <w:tcBorders>
                    <w:top w:val="single" w:color="000000" w:sz="4" w:space="0"/>
                    <w:left w:val="single" w:color="000000" w:sz="4" w:space="0"/>
                    <w:bottom w:val="single" w:color="000000" w:sz="4" w:space="0"/>
                    <w:right w:val="single" w:color="000000" w:sz="4" w:space="0"/>
                  </w:tcBorders>
                  <w:vAlign w:val="center"/>
                </w:tcPr>
                <w:p>
                  <w:pPr>
                    <w:pStyle w:val="19"/>
                    <w:spacing w:before="0" w:beforeAutospacing="0" w:after="0" w:afterAutospacing="0" w:line="300" w:lineRule="exact"/>
                    <w:jc w:val="center"/>
                    <w:rPr>
                      <w:rFonts w:ascii="Times New Roman" w:hAnsi="Times New Roman"/>
                      <w:sz w:val="18"/>
                      <w:szCs w:val="18"/>
                    </w:rPr>
                  </w:pPr>
                  <w:r>
                    <w:rPr>
                      <w:rFonts w:ascii="Times New Roman" w:hAnsi="Times New Roman"/>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508" w:type="dxa"/>
                  <w:tcBorders>
                    <w:top w:val="single" w:color="000000" w:sz="4" w:space="0"/>
                    <w:left w:val="single" w:color="000000" w:sz="4" w:space="0"/>
                    <w:bottom w:val="single" w:color="000000" w:sz="4" w:space="0"/>
                    <w:right w:val="single" w:color="000000" w:sz="4" w:space="0"/>
                  </w:tcBorders>
                  <w:vAlign w:val="center"/>
                </w:tcPr>
                <w:p>
                  <w:pPr>
                    <w:pStyle w:val="19"/>
                    <w:spacing w:before="0" w:beforeAutospacing="0" w:after="0" w:afterAutospacing="0" w:line="300" w:lineRule="exact"/>
                    <w:jc w:val="center"/>
                    <w:rPr>
                      <w:sz w:val="18"/>
                      <w:szCs w:val="18"/>
                    </w:rPr>
                  </w:pPr>
                  <w:r>
                    <w:rPr>
                      <w:rFonts w:hint="eastAsia"/>
                      <w:sz w:val="18"/>
                      <w:szCs w:val="18"/>
                    </w:rPr>
                    <w:t>2</w:t>
                  </w:r>
                </w:p>
              </w:tc>
              <w:tc>
                <w:tcPr>
                  <w:tcW w:w="594" w:type="dxa"/>
                  <w:vMerge w:val="continue"/>
                  <w:tcBorders>
                    <w:left w:val="single" w:color="000000" w:sz="4" w:space="0"/>
                    <w:right w:val="single" w:color="000000" w:sz="4" w:space="0"/>
                  </w:tcBorders>
                  <w:vAlign w:val="center"/>
                </w:tcPr>
                <w:p>
                  <w:pPr>
                    <w:pStyle w:val="19"/>
                    <w:spacing w:before="0" w:beforeAutospacing="0" w:after="0" w:afterAutospacing="0" w:line="300" w:lineRule="exact"/>
                    <w:jc w:val="center"/>
                    <w:rPr>
                      <w:sz w:val="18"/>
                      <w:szCs w:val="18"/>
                    </w:rPr>
                  </w:pPr>
                </w:p>
              </w:tc>
              <w:tc>
                <w:tcPr>
                  <w:tcW w:w="568" w:type="dxa"/>
                  <w:vMerge w:val="continue"/>
                  <w:tcBorders>
                    <w:left w:val="single" w:color="000000" w:sz="4" w:space="0"/>
                    <w:right w:val="single" w:color="000000" w:sz="4" w:space="0"/>
                  </w:tcBorders>
                  <w:vAlign w:val="center"/>
                </w:tcPr>
                <w:p>
                  <w:pPr>
                    <w:pStyle w:val="19"/>
                    <w:spacing w:before="0" w:beforeAutospacing="0" w:after="0" w:afterAutospacing="0" w:line="300" w:lineRule="exact"/>
                    <w:jc w:val="center"/>
                    <w:rPr>
                      <w:rFonts w:ascii="Times New Roman" w:hAnsi="Times New Roman"/>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19"/>
                    <w:spacing w:line="300" w:lineRule="exact"/>
                    <w:jc w:val="center"/>
                    <w:rPr>
                      <w:sz w:val="18"/>
                      <w:szCs w:val="18"/>
                    </w:rPr>
                  </w:pPr>
                  <w:r>
                    <w:rPr>
                      <w:rFonts w:hint="eastAsia"/>
                      <w:sz w:val="18"/>
                      <w:szCs w:val="18"/>
                    </w:rPr>
                    <w:t>车家河</w:t>
                  </w:r>
                </w:p>
              </w:tc>
              <w:tc>
                <w:tcPr>
                  <w:tcW w:w="1419" w:type="dxa"/>
                  <w:tcBorders>
                    <w:top w:val="single" w:color="000000" w:sz="4" w:space="0"/>
                    <w:left w:val="single" w:color="000000" w:sz="4" w:space="0"/>
                    <w:bottom w:val="single" w:color="000000" w:sz="4" w:space="0"/>
                    <w:right w:val="single" w:color="000000" w:sz="4" w:space="0"/>
                  </w:tcBorders>
                  <w:vAlign w:val="center"/>
                </w:tcPr>
                <w:p>
                  <w:pPr>
                    <w:pStyle w:val="19"/>
                    <w:spacing w:line="300" w:lineRule="exact"/>
                    <w:jc w:val="center"/>
                    <w:rPr>
                      <w:sz w:val="18"/>
                      <w:szCs w:val="18"/>
                    </w:rPr>
                  </w:pPr>
                  <w:r>
                    <w:rPr>
                      <w:rFonts w:hint="eastAsia"/>
                      <w:sz w:val="18"/>
                      <w:szCs w:val="18"/>
                    </w:rPr>
                    <w:t>市城区</w:t>
                  </w:r>
                </w:p>
              </w:tc>
              <w:tc>
                <w:tcPr>
                  <w:tcW w:w="1277" w:type="dxa"/>
                  <w:tcBorders>
                    <w:top w:val="single" w:color="000000" w:sz="4" w:space="0"/>
                    <w:left w:val="single" w:color="000000" w:sz="4" w:space="0"/>
                    <w:bottom w:val="single" w:color="000000" w:sz="4" w:space="0"/>
                    <w:right w:val="single" w:color="000000" w:sz="4" w:space="0"/>
                  </w:tcBorders>
                  <w:vAlign w:val="center"/>
                </w:tcPr>
                <w:p>
                  <w:pPr>
                    <w:pStyle w:val="19"/>
                    <w:spacing w:line="300" w:lineRule="exact"/>
                    <w:jc w:val="center"/>
                    <w:rPr>
                      <w:sz w:val="18"/>
                      <w:szCs w:val="18"/>
                    </w:rPr>
                  </w:pPr>
                  <w:r>
                    <w:rPr>
                      <w:rFonts w:hint="eastAsia"/>
                      <w:sz w:val="18"/>
                      <w:szCs w:val="18"/>
                    </w:rPr>
                    <w:t>国考</w:t>
                  </w:r>
                </w:p>
              </w:tc>
              <w:tc>
                <w:tcPr>
                  <w:tcW w:w="567" w:type="dxa"/>
                  <w:tcBorders>
                    <w:top w:val="single" w:color="000000" w:sz="4" w:space="0"/>
                    <w:left w:val="single" w:color="000000" w:sz="4" w:space="0"/>
                    <w:bottom w:val="single" w:color="000000" w:sz="4" w:space="0"/>
                    <w:right w:val="single" w:color="000000" w:sz="4" w:space="0"/>
                  </w:tcBorders>
                  <w:vAlign w:val="center"/>
                </w:tcPr>
                <w:p>
                  <w:pPr>
                    <w:pStyle w:val="19"/>
                    <w:spacing w:line="300" w:lineRule="exact"/>
                    <w:jc w:val="center"/>
                    <w:rPr>
                      <w:rFonts w:ascii="Times New Roman" w:hAnsi="Times New Roman"/>
                      <w:sz w:val="18"/>
                      <w:szCs w:val="18"/>
                    </w:rPr>
                  </w:pPr>
                  <w:r>
                    <w:rPr>
                      <w:rFonts w:ascii="Times New Roman" w:hAnsi="Times New Roman"/>
                      <w:sz w:val="18"/>
                      <w:szCs w:val="18"/>
                    </w:rPr>
                    <w:t>II</w:t>
                  </w:r>
                </w:p>
              </w:tc>
              <w:tc>
                <w:tcPr>
                  <w:tcW w:w="567" w:type="dxa"/>
                  <w:tcBorders>
                    <w:top w:val="single" w:color="000000" w:sz="4" w:space="0"/>
                    <w:left w:val="single" w:color="000000" w:sz="4" w:space="0"/>
                    <w:bottom w:val="single" w:color="000000" w:sz="4" w:space="0"/>
                    <w:right w:val="single" w:color="000000" w:sz="4" w:space="0"/>
                  </w:tcBorders>
                  <w:vAlign w:val="center"/>
                </w:tcPr>
                <w:p>
                  <w:pPr>
                    <w:pStyle w:val="19"/>
                    <w:spacing w:line="300" w:lineRule="exact"/>
                    <w:jc w:val="center"/>
                    <w:rPr>
                      <w:rFonts w:ascii="Times New Roman" w:hAnsi="Times New Roman"/>
                      <w:sz w:val="18"/>
                      <w:szCs w:val="18"/>
                    </w:rPr>
                  </w:pPr>
                  <w:r>
                    <w:rPr>
                      <w:rFonts w:ascii="Times New Roman" w:hAnsi="Times New Roman"/>
                      <w:sz w:val="18"/>
                      <w:szCs w:val="18"/>
                    </w:rPr>
                    <w:t xml:space="preserve">II </w:t>
                  </w:r>
                </w:p>
              </w:tc>
              <w:tc>
                <w:tcPr>
                  <w:tcW w:w="567" w:type="dxa"/>
                  <w:tcBorders>
                    <w:top w:val="single" w:color="000000" w:sz="4" w:space="0"/>
                    <w:left w:val="single" w:color="000000" w:sz="4" w:space="0"/>
                    <w:bottom w:val="single" w:color="000000" w:sz="4" w:space="0"/>
                    <w:right w:val="single" w:color="000000" w:sz="4" w:space="0"/>
                  </w:tcBorders>
                  <w:vAlign w:val="center"/>
                </w:tcPr>
                <w:p>
                  <w:pPr>
                    <w:pStyle w:val="19"/>
                    <w:spacing w:line="300" w:lineRule="exact"/>
                    <w:jc w:val="center"/>
                    <w:rPr>
                      <w:rFonts w:ascii="Times New Roman" w:hAnsi="Times New Roman"/>
                      <w:sz w:val="18"/>
                      <w:szCs w:val="18"/>
                    </w:rPr>
                  </w:pPr>
                  <w:r>
                    <w:rPr>
                      <w:rFonts w:ascii="Times New Roman" w:hAnsi="Times New Roman"/>
                      <w:sz w:val="18"/>
                      <w:szCs w:val="18"/>
                    </w:rPr>
                    <w:t xml:space="preserve">II </w:t>
                  </w:r>
                </w:p>
              </w:tc>
              <w:tc>
                <w:tcPr>
                  <w:tcW w:w="957" w:type="dxa"/>
                  <w:tcBorders>
                    <w:top w:val="single" w:color="000000" w:sz="4" w:space="0"/>
                    <w:left w:val="single" w:color="000000" w:sz="4" w:space="0"/>
                    <w:bottom w:val="single" w:color="000000" w:sz="4" w:space="0"/>
                    <w:right w:val="single" w:color="000000" w:sz="4" w:space="0"/>
                  </w:tcBorders>
                  <w:vAlign w:val="center"/>
                </w:tcPr>
                <w:p>
                  <w:pPr>
                    <w:pStyle w:val="19"/>
                    <w:spacing w:before="0" w:beforeAutospacing="0" w:after="0" w:afterAutospacing="0" w:line="300" w:lineRule="exact"/>
                    <w:jc w:val="center"/>
                    <w:rPr>
                      <w:rFonts w:ascii="Times New Roman" w:hAnsi="Times New Roman"/>
                      <w:sz w:val="18"/>
                      <w:szCs w:val="18"/>
                    </w:rPr>
                  </w:pPr>
                  <w:r>
                    <w:rPr>
                      <w:rFonts w:hint="eastAsia" w:ascii="Times New Roman" w:hAnsi="Times New Roman"/>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jc w:val="center"/>
              </w:trPr>
              <w:tc>
                <w:tcPr>
                  <w:tcW w:w="508" w:type="dxa"/>
                  <w:tcBorders>
                    <w:top w:val="single" w:color="000000" w:sz="4" w:space="0"/>
                    <w:left w:val="single" w:color="000000" w:sz="4" w:space="0"/>
                    <w:bottom w:val="single" w:color="000000" w:sz="4" w:space="0"/>
                    <w:right w:val="single" w:color="000000" w:sz="4" w:space="0"/>
                  </w:tcBorders>
                  <w:vAlign w:val="center"/>
                </w:tcPr>
                <w:p>
                  <w:pPr>
                    <w:pStyle w:val="19"/>
                    <w:spacing w:before="0" w:beforeAutospacing="0" w:after="0" w:afterAutospacing="0" w:line="300" w:lineRule="exact"/>
                    <w:jc w:val="center"/>
                    <w:rPr>
                      <w:sz w:val="18"/>
                      <w:szCs w:val="18"/>
                    </w:rPr>
                  </w:pPr>
                  <w:r>
                    <w:rPr>
                      <w:rFonts w:hint="eastAsia"/>
                      <w:sz w:val="18"/>
                      <w:szCs w:val="18"/>
                    </w:rPr>
                    <w:t>3</w:t>
                  </w:r>
                </w:p>
              </w:tc>
              <w:tc>
                <w:tcPr>
                  <w:tcW w:w="594" w:type="dxa"/>
                  <w:vMerge w:val="continue"/>
                  <w:tcBorders>
                    <w:left w:val="single" w:color="000000" w:sz="4" w:space="0"/>
                    <w:right w:val="single" w:color="000000" w:sz="4" w:space="0"/>
                  </w:tcBorders>
                  <w:vAlign w:val="center"/>
                </w:tcPr>
                <w:p>
                  <w:pPr>
                    <w:pStyle w:val="19"/>
                    <w:spacing w:before="0" w:beforeAutospacing="0" w:after="0" w:afterAutospacing="0" w:line="300" w:lineRule="exact"/>
                    <w:jc w:val="center"/>
                    <w:rPr>
                      <w:sz w:val="18"/>
                      <w:szCs w:val="18"/>
                    </w:rPr>
                  </w:pPr>
                </w:p>
              </w:tc>
              <w:tc>
                <w:tcPr>
                  <w:tcW w:w="568" w:type="dxa"/>
                  <w:vMerge w:val="continue"/>
                  <w:tcBorders>
                    <w:left w:val="single" w:color="000000" w:sz="4" w:space="0"/>
                    <w:right w:val="single" w:color="000000" w:sz="4" w:space="0"/>
                  </w:tcBorders>
                  <w:vAlign w:val="center"/>
                </w:tcPr>
                <w:p>
                  <w:pPr>
                    <w:pStyle w:val="19"/>
                    <w:spacing w:before="0" w:beforeAutospacing="0" w:after="0" w:afterAutospacing="0" w:line="300" w:lineRule="exact"/>
                    <w:jc w:val="center"/>
                    <w:rPr>
                      <w:rFonts w:ascii="Times New Roman" w:hAnsi="Times New Roman"/>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19"/>
                    <w:spacing w:line="300" w:lineRule="exact"/>
                    <w:jc w:val="center"/>
                    <w:rPr>
                      <w:sz w:val="18"/>
                      <w:szCs w:val="18"/>
                    </w:rPr>
                  </w:pPr>
                  <w:r>
                    <w:rPr>
                      <w:rFonts w:hint="eastAsia"/>
                      <w:sz w:val="18"/>
                      <w:szCs w:val="18"/>
                    </w:rPr>
                    <w:t>张鼓坪</w:t>
                  </w:r>
                </w:p>
              </w:tc>
              <w:tc>
                <w:tcPr>
                  <w:tcW w:w="1419" w:type="dxa"/>
                  <w:tcBorders>
                    <w:top w:val="single" w:color="000000" w:sz="4" w:space="0"/>
                    <w:left w:val="single" w:color="000000" w:sz="4" w:space="0"/>
                    <w:bottom w:val="single" w:color="000000" w:sz="4" w:space="0"/>
                    <w:right w:val="single" w:color="000000" w:sz="4" w:space="0"/>
                  </w:tcBorders>
                  <w:vAlign w:val="center"/>
                </w:tcPr>
                <w:p>
                  <w:pPr>
                    <w:pStyle w:val="19"/>
                    <w:spacing w:line="300" w:lineRule="exact"/>
                    <w:jc w:val="center"/>
                    <w:rPr>
                      <w:sz w:val="18"/>
                      <w:szCs w:val="18"/>
                    </w:rPr>
                  </w:pPr>
                  <w:r>
                    <w:rPr>
                      <w:rFonts w:hint="eastAsia"/>
                      <w:sz w:val="18"/>
                      <w:szCs w:val="18"/>
                    </w:rPr>
                    <w:t>县界（宣汉县→通川区）</w:t>
                  </w:r>
                </w:p>
              </w:tc>
              <w:tc>
                <w:tcPr>
                  <w:tcW w:w="1277" w:type="dxa"/>
                  <w:tcBorders>
                    <w:top w:val="single" w:color="000000" w:sz="4" w:space="0"/>
                    <w:left w:val="single" w:color="000000" w:sz="4" w:space="0"/>
                    <w:bottom w:val="single" w:color="000000" w:sz="4" w:space="0"/>
                    <w:right w:val="single" w:color="000000" w:sz="4" w:space="0"/>
                  </w:tcBorders>
                  <w:vAlign w:val="center"/>
                </w:tcPr>
                <w:p>
                  <w:pPr>
                    <w:pStyle w:val="19"/>
                    <w:spacing w:line="300" w:lineRule="exact"/>
                    <w:jc w:val="center"/>
                    <w:rPr>
                      <w:sz w:val="18"/>
                      <w:szCs w:val="18"/>
                    </w:rPr>
                  </w:pPr>
                  <w:r>
                    <w:rPr>
                      <w:sz w:val="18"/>
                      <w:szCs w:val="18"/>
                    </w:rPr>
                    <w:t>省控考核评价</w:t>
                  </w:r>
                </w:p>
              </w:tc>
              <w:tc>
                <w:tcPr>
                  <w:tcW w:w="567" w:type="dxa"/>
                  <w:tcBorders>
                    <w:top w:val="single" w:color="000000" w:sz="4" w:space="0"/>
                    <w:left w:val="single" w:color="000000" w:sz="4" w:space="0"/>
                    <w:bottom w:val="single" w:color="000000" w:sz="4" w:space="0"/>
                    <w:right w:val="single" w:color="000000" w:sz="4" w:space="0"/>
                  </w:tcBorders>
                  <w:vAlign w:val="center"/>
                </w:tcPr>
                <w:p>
                  <w:pPr>
                    <w:pStyle w:val="19"/>
                    <w:spacing w:line="300" w:lineRule="exact"/>
                    <w:jc w:val="center"/>
                    <w:rPr>
                      <w:rFonts w:ascii="Times New Roman" w:hAnsi="Times New Roman"/>
                      <w:sz w:val="18"/>
                      <w:szCs w:val="18"/>
                    </w:rPr>
                  </w:pPr>
                  <w:r>
                    <w:rPr>
                      <w:rFonts w:ascii="Times New Roman" w:hAnsi="Times New Roman"/>
                      <w:sz w:val="18"/>
                      <w:szCs w:val="18"/>
                    </w:rPr>
                    <w:t>II</w:t>
                  </w:r>
                </w:p>
              </w:tc>
              <w:tc>
                <w:tcPr>
                  <w:tcW w:w="567" w:type="dxa"/>
                  <w:tcBorders>
                    <w:top w:val="single" w:color="000000" w:sz="4" w:space="0"/>
                    <w:left w:val="single" w:color="000000" w:sz="4" w:space="0"/>
                    <w:bottom w:val="single" w:color="000000" w:sz="4" w:space="0"/>
                    <w:right w:val="single" w:color="000000" w:sz="4" w:space="0"/>
                  </w:tcBorders>
                  <w:vAlign w:val="center"/>
                </w:tcPr>
                <w:p>
                  <w:pPr>
                    <w:pStyle w:val="19"/>
                    <w:spacing w:line="300" w:lineRule="exact"/>
                    <w:jc w:val="center"/>
                    <w:rPr>
                      <w:rFonts w:ascii="Times New Roman" w:hAnsi="Times New Roman"/>
                      <w:sz w:val="18"/>
                      <w:szCs w:val="18"/>
                    </w:rPr>
                  </w:pPr>
                  <w:r>
                    <w:rPr>
                      <w:rFonts w:ascii="Times New Roman" w:hAnsi="Times New Roman"/>
                      <w:sz w:val="18"/>
                      <w:szCs w:val="18"/>
                    </w:rPr>
                    <w:t xml:space="preserve">II </w:t>
                  </w:r>
                </w:p>
              </w:tc>
              <w:tc>
                <w:tcPr>
                  <w:tcW w:w="567" w:type="dxa"/>
                  <w:tcBorders>
                    <w:top w:val="single" w:color="000000" w:sz="4" w:space="0"/>
                    <w:left w:val="single" w:color="000000" w:sz="4" w:space="0"/>
                    <w:bottom w:val="single" w:color="000000" w:sz="4" w:space="0"/>
                    <w:right w:val="single" w:color="000000" w:sz="4" w:space="0"/>
                  </w:tcBorders>
                  <w:vAlign w:val="center"/>
                </w:tcPr>
                <w:p>
                  <w:pPr>
                    <w:pStyle w:val="19"/>
                    <w:spacing w:line="300" w:lineRule="exact"/>
                    <w:jc w:val="center"/>
                    <w:rPr>
                      <w:rFonts w:ascii="Times New Roman" w:hAnsi="Times New Roman"/>
                      <w:sz w:val="18"/>
                      <w:szCs w:val="18"/>
                    </w:rPr>
                  </w:pPr>
                  <w:r>
                    <w:rPr>
                      <w:rFonts w:ascii="Times New Roman" w:hAnsi="Times New Roman"/>
                      <w:sz w:val="18"/>
                      <w:szCs w:val="18"/>
                    </w:rPr>
                    <w:t xml:space="preserve">II </w:t>
                  </w:r>
                </w:p>
              </w:tc>
              <w:tc>
                <w:tcPr>
                  <w:tcW w:w="957" w:type="dxa"/>
                  <w:tcBorders>
                    <w:top w:val="single" w:color="000000" w:sz="4" w:space="0"/>
                    <w:left w:val="single" w:color="000000" w:sz="4" w:space="0"/>
                    <w:bottom w:val="single" w:color="000000" w:sz="4" w:space="0"/>
                    <w:right w:val="single" w:color="000000" w:sz="4" w:space="0"/>
                  </w:tcBorders>
                  <w:vAlign w:val="center"/>
                </w:tcPr>
                <w:p>
                  <w:pPr>
                    <w:pStyle w:val="19"/>
                    <w:spacing w:before="0" w:beforeAutospacing="0" w:after="0" w:afterAutospacing="0" w:line="300" w:lineRule="exact"/>
                    <w:jc w:val="center"/>
                    <w:rPr>
                      <w:rFonts w:ascii="Times New Roman" w:hAnsi="Times New Roman"/>
                      <w:sz w:val="18"/>
                      <w:szCs w:val="18"/>
                    </w:rPr>
                  </w:pPr>
                  <w:r>
                    <w:rPr>
                      <w:rFonts w:hint="eastAsia" w:ascii="Times New Roman" w:hAnsi="Times New Roman"/>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2" w:hRule="atLeast"/>
                <w:jc w:val="center"/>
              </w:trPr>
              <w:tc>
                <w:tcPr>
                  <w:tcW w:w="508" w:type="dxa"/>
                  <w:tcBorders>
                    <w:top w:val="single" w:color="000000" w:sz="4" w:space="0"/>
                    <w:left w:val="single" w:color="000000" w:sz="4" w:space="0"/>
                    <w:bottom w:val="single" w:color="000000" w:sz="4" w:space="0"/>
                    <w:right w:val="single" w:color="000000" w:sz="4" w:space="0"/>
                  </w:tcBorders>
                  <w:vAlign w:val="center"/>
                </w:tcPr>
                <w:p>
                  <w:pPr>
                    <w:pStyle w:val="19"/>
                    <w:spacing w:before="0" w:beforeAutospacing="0" w:after="0" w:afterAutospacing="0" w:line="300" w:lineRule="exact"/>
                    <w:jc w:val="center"/>
                    <w:rPr>
                      <w:sz w:val="18"/>
                      <w:szCs w:val="18"/>
                    </w:rPr>
                  </w:pPr>
                  <w:r>
                    <w:rPr>
                      <w:rFonts w:hint="eastAsia"/>
                      <w:sz w:val="18"/>
                      <w:szCs w:val="18"/>
                    </w:rPr>
                    <w:t>4</w:t>
                  </w:r>
                </w:p>
              </w:tc>
              <w:tc>
                <w:tcPr>
                  <w:tcW w:w="594" w:type="dxa"/>
                  <w:vMerge w:val="continue"/>
                  <w:tcBorders>
                    <w:left w:val="single" w:color="000000" w:sz="4" w:space="0"/>
                    <w:bottom w:val="single" w:color="000000" w:sz="4" w:space="0"/>
                    <w:right w:val="single" w:color="000000" w:sz="4" w:space="0"/>
                  </w:tcBorders>
                  <w:vAlign w:val="center"/>
                </w:tcPr>
                <w:p>
                  <w:pPr>
                    <w:pStyle w:val="19"/>
                    <w:spacing w:before="0" w:beforeAutospacing="0" w:after="0" w:afterAutospacing="0" w:line="300" w:lineRule="exact"/>
                    <w:jc w:val="center"/>
                    <w:rPr>
                      <w:sz w:val="18"/>
                      <w:szCs w:val="18"/>
                    </w:rPr>
                  </w:pPr>
                </w:p>
              </w:tc>
              <w:tc>
                <w:tcPr>
                  <w:tcW w:w="568" w:type="dxa"/>
                  <w:vMerge w:val="continue"/>
                  <w:tcBorders>
                    <w:left w:val="single" w:color="000000" w:sz="4" w:space="0"/>
                    <w:bottom w:val="single" w:color="000000" w:sz="4" w:space="0"/>
                    <w:right w:val="single" w:color="000000" w:sz="4" w:space="0"/>
                  </w:tcBorders>
                  <w:vAlign w:val="center"/>
                </w:tcPr>
                <w:p>
                  <w:pPr>
                    <w:pStyle w:val="19"/>
                    <w:spacing w:before="0" w:beforeAutospacing="0" w:after="0" w:afterAutospacing="0" w:line="300" w:lineRule="exact"/>
                    <w:jc w:val="center"/>
                    <w:rPr>
                      <w:rFonts w:ascii="Times New Roman" w:hAnsi="Times New Roman"/>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19"/>
                    <w:spacing w:line="300" w:lineRule="exact"/>
                    <w:jc w:val="center"/>
                    <w:rPr>
                      <w:sz w:val="18"/>
                      <w:szCs w:val="18"/>
                    </w:rPr>
                  </w:pPr>
                  <w:r>
                    <w:rPr>
                      <w:rFonts w:hint="eastAsia"/>
                      <w:sz w:val="18"/>
                      <w:szCs w:val="18"/>
                    </w:rPr>
                    <w:t>白鹤山</w:t>
                  </w:r>
                </w:p>
              </w:tc>
              <w:tc>
                <w:tcPr>
                  <w:tcW w:w="1419" w:type="dxa"/>
                  <w:tcBorders>
                    <w:top w:val="single" w:color="000000" w:sz="4" w:space="0"/>
                    <w:left w:val="single" w:color="000000" w:sz="4" w:space="0"/>
                    <w:bottom w:val="single" w:color="000000" w:sz="4" w:space="0"/>
                    <w:right w:val="single" w:color="000000" w:sz="4" w:space="0"/>
                  </w:tcBorders>
                  <w:vAlign w:val="center"/>
                </w:tcPr>
                <w:p>
                  <w:pPr>
                    <w:pStyle w:val="19"/>
                    <w:spacing w:line="300" w:lineRule="exact"/>
                    <w:jc w:val="center"/>
                    <w:rPr>
                      <w:sz w:val="18"/>
                      <w:szCs w:val="18"/>
                    </w:rPr>
                  </w:pPr>
                  <w:r>
                    <w:rPr>
                      <w:rFonts w:hint="eastAsia"/>
                      <w:sz w:val="18"/>
                      <w:szCs w:val="18"/>
                    </w:rPr>
                    <w:t>县界（达川区→渠县）</w:t>
                  </w:r>
                </w:p>
              </w:tc>
              <w:tc>
                <w:tcPr>
                  <w:tcW w:w="1277" w:type="dxa"/>
                  <w:tcBorders>
                    <w:top w:val="single" w:color="000000" w:sz="4" w:space="0"/>
                    <w:left w:val="single" w:color="000000" w:sz="4" w:space="0"/>
                    <w:bottom w:val="single" w:color="000000" w:sz="4" w:space="0"/>
                    <w:right w:val="single" w:color="000000" w:sz="4" w:space="0"/>
                  </w:tcBorders>
                  <w:vAlign w:val="center"/>
                </w:tcPr>
                <w:p>
                  <w:pPr>
                    <w:pStyle w:val="19"/>
                    <w:spacing w:line="300" w:lineRule="exact"/>
                    <w:jc w:val="center"/>
                    <w:rPr>
                      <w:sz w:val="18"/>
                      <w:szCs w:val="18"/>
                    </w:rPr>
                  </w:pPr>
                  <w:r>
                    <w:rPr>
                      <w:sz w:val="18"/>
                      <w:szCs w:val="18"/>
                    </w:rPr>
                    <w:t>省控考核评价</w:t>
                  </w:r>
                </w:p>
              </w:tc>
              <w:tc>
                <w:tcPr>
                  <w:tcW w:w="567" w:type="dxa"/>
                  <w:tcBorders>
                    <w:top w:val="single" w:color="000000" w:sz="4" w:space="0"/>
                    <w:left w:val="single" w:color="000000" w:sz="4" w:space="0"/>
                    <w:bottom w:val="single" w:color="000000" w:sz="4" w:space="0"/>
                    <w:right w:val="single" w:color="000000" w:sz="4" w:space="0"/>
                  </w:tcBorders>
                  <w:vAlign w:val="center"/>
                </w:tcPr>
                <w:p>
                  <w:pPr>
                    <w:pStyle w:val="19"/>
                    <w:spacing w:line="300" w:lineRule="exact"/>
                    <w:jc w:val="center"/>
                    <w:rPr>
                      <w:rFonts w:ascii="Times New Roman" w:hAnsi="Times New Roman"/>
                      <w:sz w:val="18"/>
                      <w:szCs w:val="18"/>
                    </w:rPr>
                  </w:pPr>
                  <w:r>
                    <w:rPr>
                      <w:rFonts w:ascii="Times New Roman" w:hAnsi="Times New Roman"/>
                      <w:sz w:val="18"/>
                      <w:szCs w:val="18"/>
                    </w:rPr>
                    <w:t>Ⅲ</w:t>
                  </w:r>
                </w:p>
              </w:tc>
              <w:tc>
                <w:tcPr>
                  <w:tcW w:w="567" w:type="dxa"/>
                  <w:tcBorders>
                    <w:top w:val="single" w:color="000000" w:sz="4" w:space="0"/>
                    <w:left w:val="single" w:color="000000" w:sz="4" w:space="0"/>
                    <w:bottom w:val="single" w:color="000000" w:sz="4" w:space="0"/>
                    <w:right w:val="single" w:color="000000" w:sz="4" w:space="0"/>
                  </w:tcBorders>
                  <w:vAlign w:val="center"/>
                </w:tcPr>
                <w:p>
                  <w:pPr>
                    <w:pStyle w:val="19"/>
                    <w:spacing w:line="300" w:lineRule="exact"/>
                    <w:jc w:val="center"/>
                    <w:rPr>
                      <w:rFonts w:ascii="Times New Roman" w:hAnsi="Times New Roman"/>
                      <w:sz w:val="18"/>
                      <w:szCs w:val="18"/>
                    </w:rPr>
                  </w:pPr>
                  <w:r>
                    <w:rPr>
                      <w:rFonts w:ascii="Times New Roman" w:hAnsi="Times New Roman"/>
                      <w:sz w:val="18"/>
                      <w:szCs w:val="18"/>
                    </w:rPr>
                    <w:t>Ⅲ</w:t>
                  </w:r>
                </w:p>
              </w:tc>
              <w:tc>
                <w:tcPr>
                  <w:tcW w:w="567" w:type="dxa"/>
                  <w:tcBorders>
                    <w:top w:val="single" w:color="000000" w:sz="4" w:space="0"/>
                    <w:left w:val="single" w:color="000000" w:sz="4" w:space="0"/>
                    <w:bottom w:val="single" w:color="000000" w:sz="4" w:space="0"/>
                    <w:right w:val="single" w:color="000000" w:sz="4" w:space="0"/>
                  </w:tcBorders>
                  <w:vAlign w:val="center"/>
                </w:tcPr>
                <w:p>
                  <w:pPr>
                    <w:pStyle w:val="19"/>
                    <w:spacing w:line="300" w:lineRule="exact"/>
                    <w:jc w:val="center"/>
                    <w:rPr>
                      <w:rFonts w:ascii="Times New Roman" w:hAnsi="Times New Roman"/>
                      <w:sz w:val="18"/>
                      <w:szCs w:val="18"/>
                    </w:rPr>
                  </w:pPr>
                  <w:r>
                    <w:rPr>
                      <w:rFonts w:ascii="Times New Roman" w:hAnsi="Times New Roman"/>
                      <w:sz w:val="18"/>
                      <w:szCs w:val="18"/>
                    </w:rPr>
                    <w:t>Ⅲ</w:t>
                  </w:r>
                </w:p>
              </w:tc>
              <w:tc>
                <w:tcPr>
                  <w:tcW w:w="957" w:type="dxa"/>
                  <w:tcBorders>
                    <w:top w:val="single" w:color="000000" w:sz="4" w:space="0"/>
                    <w:left w:val="single" w:color="000000" w:sz="4" w:space="0"/>
                    <w:bottom w:val="single" w:color="000000" w:sz="4" w:space="0"/>
                    <w:right w:val="single" w:color="000000" w:sz="4" w:space="0"/>
                  </w:tcBorders>
                  <w:vAlign w:val="center"/>
                </w:tcPr>
                <w:p>
                  <w:pPr>
                    <w:pStyle w:val="19"/>
                    <w:spacing w:before="0" w:beforeAutospacing="0" w:after="0" w:afterAutospacing="0" w:line="300" w:lineRule="exact"/>
                    <w:jc w:val="center"/>
                    <w:rPr>
                      <w:rFonts w:ascii="Times New Roman" w:hAnsi="Times New Roman"/>
                      <w:sz w:val="18"/>
                      <w:szCs w:val="18"/>
                    </w:rPr>
                  </w:pPr>
                  <w:r>
                    <w:rPr>
                      <w:rFonts w:hint="eastAsia" w:ascii="Times New Roman" w:hAnsi="Times New Roman"/>
                      <w:sz w:val="18"/>
                      <w:szCs w:val="18"/>
                    </w:rPr>
                    <w:t>/</w:t>
                  </w:r>
                </w:p>
              </w:tc>
            </w:tr>
          </w:tbl>
          <w:p>
            <w:pPr>
              <w:autoSpaceDE w:val="0"/>
              <w:autoSpaceDN w:val="0"/>
              <w:adjustRightInd w:val="0"/>
              <w:snapToGrid w:val="0"/>
              <w:spacing w:line="400" w:lineRule="exact"/>
              <w:ind w:firstLine="420" w:firstLineChars="200"/>
              <w:jc w:val="left"/>
              <w:rPr>
                <w:rFonts w:eastAsia="新宋体"/>
                <w:kern w:val="0"/>
                <w:szCs w:val="21"/>
              </w:rPr>
            </w:pPr>
            <w:r>
              <w:rPr>
                <w:rFonts w:hint="eastAsia" w:eastAsia="新宋体"/>
                <w:kern w:val="0"/>
                <w:szCs w:val="21"/>
              </w:rPr>
              <w:t>本项目评价区域地表水体为州河支流双龙河，与项目建设地最近的为州河断面为车家河断面。根据上表例行监测数据表明：项目所属州河水系车家河监测断面水质能够满足《地表水环境质量标准》（</w:t>
            </w:r>
            <w:r>
              <w:rPr>
                <w:rFonts w:eastAsia="新宋体"/>
                <w:kern w:val="0"/>
                <w:szCs w:val="21"/>
              </w:rPr>
              <w:t>GB3838-2002</w:t>
            </w:r>
            <w:r>
              <w:rPr>
                <w:rFonts w:hint="eastAsia" w:eastAsia="新宋体"/>
                <w:kern w:val="0"/>
                <w:szCs w:val="21"/>
              </w:rPr>
              <w:t>）Ⅲ类水域水质标准。</w:t>
            </w:r>
          </w:p>
          <w:p>
            <w:pPr>
              <w:adjustRightInd w:val="0"/>
              <w:snapToGrid w:val="0"/>
              <w:spacing w:line="400" w:lineRule="exact"/>
              <w:ind w:left="-53" w:leftChars="-25" w:right="-53" w:rightChars="-25"/>
              <w:jc w:val="left"/>
              <w:rPr>
                <w:rFonts w:eastAsia="黑体"/>
                <w:bCs/>
                <w:sz w:val="22"/>
                <w:szCs w:val="22"/>
              </w:rPr>
            </w:pPr>
            <w:r>
              <w:rPr>
                <w:rFonts w:eastAsia="黑体"/>
                <w:bCs/>
                <w:sz w:val="22"/>
                <w:szCs w:val="22"/>
              </w:rPr>
              <w:t>3、声环境质量现状监测及评价</w:t>
            </w:r>
          </w:p>
          <w:p>
            <w:pPr>
              <w:autoSpaceDE w:val="0"/>
              <w:autoSpaceDN w:val="0"/>
              <w:adjustRightInd w:val="0"/>
              <w:snapToGrid w:val="0"/>
              <w:spacing w:line="400" w:lineRule="exact"/>
              <w:ind w:firstLine="420" w:firstLineChars="200"/>
              <w:jc w:val="left"/>
              <w:rPr>
                <w:rFonts w:eastAsia="新宋体"/>
                <w:kern w:val="0"/>
                <w:szCs w:val="21"/>
              </w:rPr>
            </w:pPr>
            <w:r>
              <w:rPr>
                <w:rFonts w:hint="eastAsia" w:eastAsia="新宋体"/>
                <w:kern w:val="0"/>
                <w:szCs w:val="21"/>
              </w:rPr>
              <w:t>四川融华环境检测有限公司于</w:t>
            </w:r>
            <w:r>
              <w:rPr>
                <w:rFonts w:eastAsia="新宋体"/>
                <w:kern w:val="0"/>
                <w:szCs w:val="21"/>
              </w:rPr>
              <w:t>20</w:t>
            </w:r>
            <w:r>
              <w:rPr>
                <w:rFonts w:hint="eastAsia" w:eastAsia="新宋体"/>
                <w:kern w:val="0"/>
                <w:szCs w:val="21"/>
              </w:rPr>
              <w:t>23年3月24日，在项目区设有4个环境噪声监测点位，其中项目区东面场界外（</w:t>
            </w:r>
            <w:r>
              <w:rPr>
                <w:rFonts w:eastAsia="新宋体"/>
                <w:kern w:val="0"/>
                <w:szCs w:val="21"/>
              </w:rPr>
              <w:t>1#</w:t>
            </w:r>
            <w:r>
              <w:rPr>
                <w:rFonts w:hint="eastAsia" w:eastAsia="新宋体"/>
                <w:kern w:val="0"/>
                <w:szCs w:val="21"/>
              </w:rPr>
              <w:t>）、项目区南面场界外（</w:t>
            </w:r>
            <w:r>
              <w:rPr>
                <w:rFonts w:eastAsia="新宋体"/>
                <w:kern w:val="0"/>
                <w:szCs w:val="21"/>
              </w:rPr>
              <w:t>2#</w:t>
            </w:r>
            <w:r>
              <w:rPr>
                <w:rFonts w:hint="eastAsia" w:eastAsia="新宋体"/>
                <w:kern w:val="0"/>
                <w:szCs w:val="21"/>
              </w:rPr>
              <w:t>）、项目区西面场界外（</w:t>
            </w:r>
            <w:r>
              <w:rPr>
                <w:rFonts w:eastAsia="新宋体"/>
                <w:kern w:val="0"/>
                <w:szCs w:val="21"/>
              </w:rPr>
              <w:t>3#</w:t>
            </w:r>
            <w:r>
              <w:rPr>
                <w:rFonts w:hint="eastAsia" w:eastAsia="新宋体"/>
                <w:kern w:val="0"/>
                <w:szCs w:val="21"/>
              </w:rPr>
              <w:t>）、项目区北面场界外（</w:t>
            </w:r>
            <w:r>
              <w:rPr>
                <w:rFonts w:eastAsia="新宋体"/>
                <w:kern w:val="0"/>
                <w:szCs w:val="21"/>
              </w:rPr>
              <w:t>4#</w:t>
            </w:r>
            <w:r>
              <w:rPr>
                <w:rFonts w:hint="eastAsia" w:eastAsia="新宋体"/>
                <w:kern w:val="0"/>
                <w:szCs w:val="21"/>
              </w:rPr>
              <w:t>）。监测频次：监测1天，昼间监测</w:t>
            </w:r>
            <w:r>
              <w:rPr>
                <w:rFonts w:eastAsia="新宋体"/>
                <w:kern w:val="0"/>
                <w:szCs w:val="21"/>
              </w:rPr>
              <w:t>1</w:t>
            </w:r>
            <w:r>
              <w:rPr>
                <w:rFonts w:hint="eastAsia" w:eastAsia="新宋体"/>
                <w:kern w:val="0"/>
                <w:szCs w:val="21"/>
              </w:rPr>
              <w:t>次。</w:t>
            </w:r>
          </w:p>
          <w:p>
            <w:pPr>
              <w:autoSpaceDE w:val="0"/>
              <w:autoSpaceDN w:val="0"/>
              <w:adjustRightInd w:val="0"/>
              <w:snapToGrid w:val="0"/>
              <w:spacing w:line="400" w:lineRule="exact"/>
              <w:ind w:firstLine="420" w:firstLineChars="200"/>
              <w:jc w:val="left"/>
              <w:rPr>
                <w:rFonts w:eastAsia="新宋体"/>
                <w:kern w:val="0"/>
                <w:szCs w:val="21"/>
              </w:rPr>
            </w:pPr>
            <w:r>
              <w:rPr>
                <w:rFonts w:hint="eastAsia" w:eastAsia="新宋体"/>
                <w:kern w:val="0"/>
                <w:szCs w:val="21"/>
              </w:rPr>
              <w:t>评价标准：《声环境质量标准》（</w:t>
            </w:r>
            <w:r>
              <w:rPr>
                <w:rFonts w:eastAsia="新宋体"/>
                <w:kern w:val="0"/>
                <w:szCs w:val="21"/>
              </w:rPr>
              <w:t>GB3096-2008</w:t>
            </w:r>
            <w:r>
              <w:rPr>
                <w:rFonts w:hint="eastAsia" w:eastAsia="新宋体"/>
                <w:kern w:val="0"/>
                <w:szCs w:val="21"/>
              </w:rPr>
              <w:t>）中的2类。将监测结果与评价标准进行对照，得出评价结果如下表。</w:t>
            </w:r>
          </w:p>
          <w:p>
            <w:pPr>
              <w:spacing w:line="400" w:lineRule="exact"/>
              <w:jc w:val="center"/>
              <w:rPr>
                <w:rFonts w:ascii="黑体" w:hAnsi="黑体" w:eastAsia="黑体"/>
                <w:sz w:val="18"/>
              </w:rPr>
            </w:pPr>
          </w:p>
          <w:p>
            <w:pPr>
              <w:spacing w:line="400" w:lineRule="exact"/>
              <w:jc w:val="center"/>
              <w:rPr>
                <w:rFonts w:eastAsia="黑体"/>
                <w:sz w:val="18"/>
              </w:rPr>
            </w:pPr>
            <w:r>
              <w:rPr>
                <w:rFonts w:hint="eastAsia" w:ascii="黑体" w:hAnsi="黑体" w:eastAsia="黑体"/>
                <w:sz w:val="18"/>
              </w:rPr>
              <w:t>表</w:t>
            </w:r>
            <w:r>
              <w:rPr>
                <w:rFonts w:hint="eastAsia" w:eastAsia="黑体"/>
                <w:sz w:val="18"/>
              </w:rPr>
              <w:t xml:space="preserve">3-4   </w:t>
            </w:r>
            <w:r>
              <w:rPr>
                <w:rFonts w:hint="eastAsia" w:ascii="黑体" w:hAnsi="黑体" w:eastAsia="黑体"/>
                <w:sz w:val="18"/>
              </w:rPr>
              <w:t>噪声环境现状评价结果   单位：</w:t>
            </w:r>
            <w:r>
              <w:rPr>
                <w:rFonts w:eastAsia="黑体"/>
                <w:sz w:val="18"/>
              </w:rPr>
              <w:t>dB(A)</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3"/>
              <w:gridCol w:w="1413"/>
              <w:gridCol w:w="1269"/>
              <w:gridCol w:w="1127"/>
              <w:gridCol w:w="1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463" w:type="dxa"/>
                  <w:vMerge w:val="restart"/>
                  <w:tcBorders>
                    <w:top w:val="single" w:color="auto" w:sz="4" w:space="0"/>
                    <w:left w:val="single" w:color="auto" w:sz="4" w:space="0"/>
                    <w:bottom w:val="single" w:color="auto" w:sz="4" w:space="0"/>
                    <w:right w:val="single" w:color="auto" w:sz="4" w:space="0"/>
                  </w:tcBorders>
                  <w:vAlign w:val="center"/>
                </w:tcPr>
                <w:p>
                  <w:pPr>
                    <w:widowControl/>
                    <w:autoSpaceDE w:val="0"/>
                    <w:spacing w:line="320" w:lineRule="exact"/>
                    <w:jc w:val="center"/>
                    <w:rPr>
                      <w:b/>
                      <w:bCs/>
                      <w:kern w:val="0"/>
                      <w:sz w:val="18"/>
                      <w:szCs w:val="18"/>
                    </w:rPr>
                  </w:pPr>
                  <w:bookmarkStart w:id="3" w:name="OLE_LINK2"/>
                  <w:r>
                    <w:rPr>
                      <w:rFonts w:ascii="宋体" w:hAnsi="宋体"/>
                      <w:b/>
                      <w:bCs/>
                      <w:kern w:val="0"/>
                      <w:sz w:val="18"/>
                      <w:szCs w:val="18"/>
                    </w:rPr>
                    <w:t>监测点位</w:t>
                  </w:r>
                  <w:bookmarkEnd w:id="3"/>
                </w:p>
              </w:tc>
              <w:tc>
                <w:tcPr>
                  <w:tcW w:w="1413" w:type="dxa"/>
                  <w:vMerge w:val="restart"/>
                  <w:tcBorders>
                    <w:top w:val="single" w:color="auto" w:sz="4" w:space="0"/>
                    <w:left w:val="nil"/>
                    <w:bottom w:val="single" w:color="auto" w:sz="4" w:space="0"/>
                    <w:right w:val="single" w:color="auto" w:sz="4" w:space="0"/>
                  </w:tcBorders>
                  <w:vAlign w:val="center"/>
                </w:tcPr>
                <w:p>
                  <w:pPr>
                    <w:widowControl/>
                    <w:autoSpaceDE w:val="0"/>
                    <w:spacing w:line="320" w:lineRule="exact"/>
                    <w:jc w:val="center"/>
                    <w:rPr>
                      <w:b/>
                      <w:bCs/>
                      <w:kern w:val="0"/>
                      <w:sz w:val="18"/>
                      <w:szCs w:val="18"/>
                    </w:rPr>
                  </w:pPr>
                  <w:r>
                    <w:rPr>
                      <w:rFonts w:ascii="宋体" w:hAnsi="宋体"/>
                      <w:b/>
                      <w:bCs/>
                      <w:kern w:val="0"/>
                      <w:sz w:val="18"/>
                      <w:szCs w:val="18"/>
                    </w:rPr>
                    <w:t>监测时间</w:t>
                  </w:r>
                </w:p>
              </w:tc>
              <w:tc>
                <w:tcPr>
                  <w:tcW w:w="1269" w:type="dxa"/>
                  <w:tcBorders>
                    <w:top w:val="single" w:color="auto" w:sz="4" w:space="0"/>
                    <w:left w:val="nil"/>
                    <w:bottom w:val="single" w:color="auto" w:sz="4" w:space="0"/>
                    <w:right w:val="single" w:color="auto" w:sz="4" w:space="0"/>
                  </w:tcBorders>
                  <w:vAlign w:val="center"/>
                </w:tcPr>
                <w:p>
                  <w:pPr>
                    <w:widowControl/>
                    <w:autoSpaceDE w:val="0"/>
                    <w:spacing w:line="320" w:lineRule="exact"/>
                    <w:jc w:val="center"/>
                    <w:rPr>
                      <w:b/>
                      <w:bCs/>
                      <w:kern w:val="0"/>
                      <w:sz w:val="18"/>
                      <w:szCs w:val="18"/>
                    </w:rPr>
                  </w:pPr>
                  <w:r>
                    <w:rPr>
                      <w:rFonts w:ascii="宋体" w:hAnsi="宋体"/>
                      <w:b/>
                      <w:bCs/>
                      <w:kern w:val="0"/>
                      <w:sz w:val="18"/>
                      <w:szCs w:val="18"/>
                    </w:rPr>
                    <w:t>监测结果</w:t>
                  </w:r>
                </w:p>
              </w:tc>
              <w:tc>
                <w:tcPr>
                  <w:tcW w:w="1127" w:type="dxa"/>
                  <w:tcBorders>
                    <w:top w:val="single" w:color="auto" w:sz="4" w:space="0"/>
                    <w:left w:val="nil"/>
                    <w:bottom w:val="single" w:color="auto" w:sz="4" w:space="0"/>
                    <w:right w:val="single" w:color="auto" w:sz="4" w:space="0"/>
                  </w:tcBorders>
                  <w:vAlign w:val="center"/>
                </w:tcPr>
                <w:p>
                  <w:pPr>
                    <w:widowControl/>
                    <w:autoSpaceDE w:val="0"/>
                    <w:spacing w:line="320" w:lineRule="exact"/>
                    <w:jc w:val="center"/>
                    <w:rPr>
                      <w:b/>
                      <w:bCs/>
                      <w:kern w:val="0"/>
                      <w:sz w:val="18"/>
                      <w:szCs w:val="18"/>
                    </w:rPr>
                  </w:pPr>
                  <w:r>
                    <w:rPr>
                      <w:rFonts w:ascii="宋体" w:hAnsi="宋体"/>
                      <w:b/>
                      <w:bCs/>
                      <w:kern w:val="0"/>
                      <w:sz w:val="18"/>
                      <w:szCs w:val="18"/>
                    </w:rPr>
                    <w:t>评价标准</w:t>
                  </w:r>
                </w:p>
              </w:tc>
              <w:tc>
                <w:tcPr>
                  <w:tcW w:w="1406" w:type="dxa"/>
                  <w:tcBorders>
                    <w:top w:val="single" w:color="auto" w:sz="4" w:space="0"/>
                    <w:left w:val="nil"/>
                    <w:bottom w:val="single" w:color="auto" w:sz="4" w:space="0"/>
                    <w:right w:val="single" w:color="auto" w:sz="4" w:space="0"/>
                  </w:tcBorders>
                  <w:vAlign w:val="center"/>
                </w:tcPr>
                <w:p>
                  <w:pPr>
                    <w:widowControl/>
                    <w:autoSpaceDE w:val="0"/>
                    <w:spacing w:line="320" w:lineRule="exact"/>
                    <w:jc w:val="center"/>
                    <w:rPr>
                      <w:b/>
                      <w:bCs/>
                      <w:kern w:val="0"/>
                      <w:sz w:val="18"/>
                      <w:szCs w:val="18"/>
                    </w:rPr>
                  </w:pPr>
                  <w:r>
                    <w:rPr>
                      <w:rFonts w:ascii="宋体" w:hAnsi="宋体"/>
                      <w:b/>
                      <w:bCs/>
                      <w:kern w:val="0"/>
                      <w:sz w:val="18"/>
                      <w:szCs w:val="18"/>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46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b/>
                      <w:bCs/>
                      <w:kern w:val="0"/>
                      <w:sz w:val="18"/>
                      <w:szCs w:val="18"/>
                    </w:rPr>
                  </w:pPr>
                </w:p>
              </w:tc>
              <w:tc>
                <w:tcPr>
                  <w:tcW w:w="1413" w:type="dxa"/>
                  <w:vMerge w:val="continue"/>
                  <w:tcBorders>
                    <w:top w:val="single" w:color="auto" w:sz="4" w:space="0"/>
                    <w:left w:val="nil"/>
                    <w:bottom w:val="single" w:color="auto" w:sz="4" w:space="0"/>
                    <w:right w:val="single" w:color="auto" w:sz="4" w:space="0"/>
                  </w:tcBorders>
                  <w:vAlign w:val="center"/>
                </w:tcPr>
                <w:p>
                  <w:pPr>
                    <w:widowControl/>
                    <w:spacing w:line="320" w:lineRule="exact"/>
                    <w:jc w:val="left"/>
                    <w:rPr>
                      <w:b/>
                      <w:bCs/>
                      <w:kern w:val="0"/>
                      <w:sz w:val="18"/>
                      <w:szCs w:val="18"/>
                    </w:rPr>
                  </w:pPr>
                </w:p>
              </w:tc>
              <w:tc>
                <w:tcPr>
                  <w:tcW w:w="1269" w:type="dxa"/>
                  <w:tcBorders>
                    <w:top w:val="single" w:color="auto" w:sz="4" w:space="0"/>
                    <w:left w:val="nil"/>
                    <w:bottom w:val="single" w:color="auto" w:sz="4" w:space="0"/>
                    <w:right w:val="single" w:color="auto" w:sz="4" w:space="0"/>
                  </w:tcBorders>
                  <w:vAlign w:val="center"/>
                </w:tcPr>
                <w:p>
                  <w:pPr>
                    <w:widowControl/>
                    <w:autoSpaceDE w:val="0"/>
                    <w:spacing w:line="320" w:lineRule="exact"/>
                    <w:jc w:val="center"/>
                    <w:rPr>
                      <w:b/>
                      <w:bCs/>
                      <w:kern w:val="0"/>
                      <w:sz w:val="18"/>
                      <w:szCs w:val="18"/>
                    </w:rPr>
                  </w:pPr>
                  <w:r>
                    <w:rPr>
                      <w:rFonts w:ascii="宋体" w:hAnsi="宋体"/>
                      <w:b/>
                      <w:bCs/>
                      <w:kern w:val="0"/>
                      <w:sz w:val="18"/>
                      <w:szCs w:val="18"/>
                    </w:rPr>
                    <w:t>昼间</w:t>
                  </w:r>
                </w:p>
              </w:tc>
              <w:tc>
                <w:tcPr>
                  <w:tcW w:w="1127" w:type="dxa"/>
                  <w:tcBorders>
                    <w:top w:val="single" w:color="auto" w:sz="4" w:space="0"/>
                    <w:left w:val="nil"/>
                    <w:bottom w:val="single" w:color="auto" w:sz="4" w:space="0"/>
                    <w:right w:val="single" w:color="auto" w:sz="4" w:space="0"/>
                  </w:tcBorders>
                  <w:vAlign w:val="center"/>
                </w:tcPr>
                <w:p>
                  <w:pPr>
                    <w:widowControl/>
                    <w:autoSpaceDE w:val="0"/>
                    <w:spacing w:line="320" w:lineRule="exact"/>
                    <w:jc w:val="center"/>
                    <w:rPr>
                      <w:b/>
                      <w:bCs/>
                      <w:kern w:val="0"/>
                      <w:sz w:val="18"/>
                      <w:szCs w:val="18"/>
                    </w:rPr>
                  </w:pPr>
                  <w:r>
                    <w:rPr>
                      <w:rFonts w:ascii="宋体" w:hAnsi="宋体"/>
                      <w:b/>
                      <w:bCs/>
                      <w:kern w:val="0"/>
                      <w:sz w:val="18"/>
                      <w:szCs w:val="18"/>
                    </w:rPr>
                    <w:t>昼间</w:t>
                  </w:r>
                </w:p>
              </w:tc>
              <w:tc>
                <w:tcPr>
                  <w:tcW w:w="1406" w:type="dxa"/>
                  <w:tcBorders>
                    <w:top w:val="single" w:color="auto" w:sz="4" w:space="0"/>
                    <w:left w:val="nil"/>
                    <w:bottom w:val="single" w:color="auto" w:sz="4" w:space="0"/>
                    <w:right w:val="single" w:color="auto" w:sz="4" w:space="0"/>
                  </w:tcBorders>
                  <w:vAlign w:val="center"/>
                </w:tcPr>
                <w:p>
                  <w:pPr>
                    <w:widowControl/>
                    <w:autoSpaceDE w:val="0"/>
                    <w:spacing w:line="320" w:lineRule="exact"/>
                    <w:jc w:val="center"/>
                    <w:rPr>
                      <w:b/>
                      <w:bCs/>
                      <w:kern w:val="0"/>
                      <w:sz w:val="18"/>
                      <w:szCs w:val="18"/>
                    </w:rPr>
                  </w:pPr>
                  <w:r>
                    <w:rPr>
                      <w:rFonts w:ascii="宋体" w:hAnsi="宋体"/>
                      <w:b/>
                      <w:bCs/>
                      <w:kern w:val="0"/>
                      <w:sz w:val="18"/>
                      <w:szCs w:val="18"/>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463" w:type="dxa"/>
                  <w:tcBorders>
                    <w:top w:val="single" w:color="auto" w:sz="4" w:space="0"/>
                    <w:left w:val="single" w:color="auto" w:sz="4" w:space="0"/>
                    <w:bottom w:val="single" w:color="auto" w:sz="4" w:space="0"/>
                    <w:right w:val="single" w:color="auto" w:sz="4" w:space="0"/>
                  </w:tcBorders>
                  <w:vAlign w:val="center"/>
                </w:tcPr>
                <w:p>
                  <w:pPr>
                    <w:widowControl/>
                    <w:autoSpaceDE w:val="0"/>
                    <w:spacing w:line="320" w:lineRule="exact"/>
                    <w:jc w:val="center"/>
                    <w:rPr>
                      <w:kern w:val="0"/>
                      <w:sz w:val="18"/>
                      <w:szCs w:val="18"/>
                    </w:rPr>
                  </w:pPr>
                  <w:bookmarkStart w:id="4" w:name="OLE_LINK1"/>
                  <w:r>
                    <w:rPr>
                      <w:kern w:val="0"/>
                      <w:sz w:val="18"/>
                      <w:szCs w:val="18"/>
                    </w:rPr>
                    <w:t>1#</w:t>
                  </w:r>
                  <w:bookmarkEnd w:id="4"/>
                  <w:r>
                    <w:rPr>
                      <w:rFonts w:ascii="宋体" w:hAnsi="宋体"/>
                      <w:kern w:val="0"/>
                      <w:sz w:val="18"/>
                      <w:szCs w:val="18"/>
                    </w:rPr>
                    <w:t>（东面场界）</w:t>
                  </w:r>
                </w:p>
              </w:tc>
              <w:tc>
                <w:tcPr>
                  <w:tcW w:w="1413" w:type="dxa"/>
                  <w:tcBorders>
                    <w:top w:val="single" w:color="auto" w:sz="4" w:space="0"/>
                    <w:left w:val="nil"/>
                    <w:bottom w:val="single" w:color="auto" w:sz="4" w:space="0"/>
                    <w:right w:val="single" w:color="auto" w:sz="4" w:space="0"/>
                  </w:tcBorders>
                  <w:vAlign w:val="center"/>
                </w:tcPr>
                <w:p>
                  <w:pPr>
                    <w:autoSpaceDE w:val="0"/>
                    <w:spacing w:line="320" w:lineRule="exact"/>
                    <w:jc w:val="center"/>
                    <w:rPr>
                      <w:sz w:val="18"/>
                      <w:szCs w:val="18"/>
                    </w:rPr>
                  </w:pPr>
                  <w:r>
                    <w:rPr>
                      <w:sz w:val="18"/>
                      <w:szCs w:val="18"/>
                    </w:rPr>
                    <w:t>2023.</w:t>
                  </w:r>
                  <w:r>
                    <w:rPr>
                      <w:rFonts w:hint="eastAsia"/>
                      <w:sz w:val="18"/>
                      <w:szCs w:val="18"/>
                    </w:rPr>
                    <w:t>4.6</w:t>
                  </w:r>
                </w:p>
              </w:tc>
              <w:tc>
                <w:tcPr>
                  <w:tcW w:w="1269" w:type="dxa"/>
                  <w:tcBorders>
                    <w:top w:val="single" w:color="auto" w:sz="4" w:space="0"/>
                    <w:left w:val="nil"/>
                    <w:bottom w:val="single" w:color="auto" w:sz="4" w:space="0"/>
                    <w:right w:val="single" w:color="auto" w:sz="4" w:space="0"/>
                  </w:tcBorders>
                  <w:vAlign w:val="center"/>
                </w:tcPr>
                <w:p>
                  <w:pPr>
                    <w:autoSpaceDE w:val="0"/>
                    <w:spacing w:line="320" w:lineRule="exact"/>
                    <w:jc w:val="center"/>
                    <w:rPr>
                      <w:kern w:val="0"/>
                      <w:sz w:val="18"/>
                      <w:szCs w:val="18"/>
                    </w:rPr>
                  </w:pPr>
                  <w:r>
                    <w:rPr>
                      <w:kern w:val="0"/>
                      <w:sz w:val="18"/>
                      <w:szCs w:val="18"/>
                    </w:rPr>
                    <w:t>5</w:t>
                  </w:r>
                  <w:r>
                    <w:rPr>
                      <w:rFonts w:hint="eastAsia"/>
                      <w:kern w:val="0"/>
                      <w:sz w:val="18"/>
                      <w:szCs w:val="18"/>
                    </w:rPr>
                    <w:t>8.1</w:t>
                  </w:r>
                </w:p>
              </w:tc>
              <w:tc>
                <w:tcPr>
                  <w:tcW w:w="1127" w:type="dxa"/>
                  <w:tcBorders>
                    <w:top w:val="nil"/>
                    <w:left w:val="nil"/>
                    <w:right w:val="single" w:color="auto" w:sz="4" w:space="0"/>
                  </w:tcBorders>
                  <w:vAlign w:val="center"/>
                </w:tcPr>
                <w:p>
                  <w:pPr>
                    <w:autoSpaceDE w:val="0"/>
                    <w:spacing w:line="320" w:lineRule="exact"/>
                    <w:jc w:val="center"/>
                    <w:rPr>
                      <w:kern w:val="0"/>
                      <w:sz w:val="18"/>
                      <w:szCs w:val="18"/>
                    </w:rPr>
                  </w:pPr>
                  <w:r>
                    <w:rPr>
                      <w:rFonts w:hint="eastAsia"/>
                      <w:kern w:val="0"/>
                      <w:sz w:val="18"/>
                      <w:szCs w:val="18"/>
                    </w:rPr>
                    <w:t>60</w:t>
                  </w:r>
                </w:p>
              </w:tc>
              <w:tc>
                <w:tcPr>
                  <w:tcW w:w="1406" w:type="dxa"/>
                  <w:tcBorders>
                    <w:top w:val="single" w:color="auto" w:sz="4" w:space="0"/>
                    <w:left w:val="nil"/>
                    <w:bottom w:val="single" w:color="auto" w:sz="4" w:space="0"/>
                    <w:right w:val="single" w:color="auto" w:sz="4" w:space="0"/>
                  </w:tcBorders>
                  <w:vAlign w:val="center"/>
                </w:tcPr>
                <w:p>
                  <w:pPr>
                    <w:autoSpaceDE w:val="0"/>
                    <w:spacing w:line="320" w:lineRule="exact"/>
                    <w:jc w:val="center"/>
                    <w:rPr>
                      <w:sz w:val="18"/>
                      <w:szCs w:val="18"/>
                    </w:rPr>
                  </w:pPr>
                  <w:r>
                    <w:rPr>
                      <w:rFonts w:ascii="宋体" w:hAnsi="宋体"/>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463" w:type="dxa"/>
                  <w:tcBorders>
                    <w:top w:val="single" w:color="auto" w:sz="4" w:space="0"/>
                    <w:left w:val="single" w:color="auto" w:sz="4" w:space="0"/>
                    <w:bottom w:val="single" w:color="auto" w:sz="4" w:space="0"/>
                    <w:right w:val="single" w:color="auto" w:sz="4" w:space="0"/>
                  </w:tcBorders>
                  <w:vAlign w:val="center"/>
                </w:tcPr>
                <w:p>
                  <w:pPr>
                    <w:widowControl/>
                    <w:autoSpaceDE w:val="0"/>
                    <w:spacing w:line="320" w:lineRule="exact"/>
                    <w:jc w:val="center"/>
                    <w:rPr>
                      <w:kern w:val="0"/>
                      <w:sz w:val="18"/>
                      <w:szCs w:val="18"/>
                    </w:rPr>
                  </w:pPr>
                  <w:r>
                    <w:rPr>
                      <w:kern w:val="0"/>
                      <w:sz w:val="18"/>
                      <w:szCs w:val="18"/>
                    </w:rPr>
                    <w:t>2#</w:t>
                  </w:r>
                  <w:r>
                    <w:rPr>
                      <w:rFonts w:ascii="宋体" w:hAnsi="宋体"/>
                      <w:kern w:val="0"/>
                      <w:sz w:val="18"/>
                      <w:szCs w:val="18"/>
                    </w:rPr>
                    <w:t>（南面场界）</w:t>
                  </w:r>
                </w:p>
              </w:tc>
              <w:tc>
                <w:tcPr>
                  <w:tcW w:w="1413" w:type="dxa"/>
                  <w:tcBorders>
                    <w:top w:val="single" w:color="auto" w:sz="4" w:space="0"/>
                    <w:left w:val="nil"/>
                    <w:bottom w:val="single" w:color="auto" w:sz="4" w:space="0"/>
                    <w:right w:val="single" w:color="auto" w:sz="4" w:space="0"/>
                  </w:tcBorders>
                  <w:vAlign w:val="center"/>
                </w:tcPr>
                <w:p>
                  <w:pPr>
                    <w:autoSpaceDE w:val="0"/>
                    <w:spacing w:line="320" w:lineRule="exact"/>
                    <w:jc w:val="center"/>
                    <w:rPr>
                      <w:sz w:val="18"/>
                      <w:szCs w:val="18"/>
                    </w:rPr>
                  </w:pPr>
                  <w:r>
                    <w:rPr>
                      <w:sz w:val="18"/>
                      <w:szCs w:val="18"/>
                    </w:rPr>
                    <w:t>2023.</w:t>
                  </w:r>
                  <w:r>
                    <w:rPr>
                      <w:rFonts w:hint="eastAsia"/>
                      <w:sz w:val="18"/>
                      <w:szCs w:val="18"/>
                    </w:rPr>
                    <w:t>4.6</w:t>
                  </w:r>
                </w:p>
              </w:tc>
              <w:tc>
                <w:tcPr>
                  <w:tcW w:w="1269" w:type="dxa"/>
                  <w:tcBorders>
                    <w:top w:val="single" w:color="auto" w:sz="4" w:space="0"/>
                    <w:left w:val="nil"/>
                    <w:bottom w:val="single" w:color="auto" w:sz="4" w:space="0"/>
                    <w:right w:val="single" w:color="auto" w:sz="4" w:space="0"/>
                  </w:tcBorders>
                  <w:vAlign w:val="center"/>
                </w:tcPr>
                <w:p>
                  <w:pPr>
                    <w:autoSpaceDE w:val="0"/>
                    <w:spacing w:line="320" w:lineRule="exact"/>
                    <w:jc w:val="center"/>
                    <w:rPr>
                      <w:kern w:val="0"/>
                      <w:sz w:val="18"/>
                      <w:szCs w:val="18"/>
                    </w:rPr>
                  </w:pPr>
                  <w:r>
                    <w:rPr>
                      <w:kern w:val="0"/>
                      <w:sz w:val="18"/>
                      <w:szCs w:val="18"/>
                    </w:rPr>
                    <w:t>5</w:t>
                  </w:r>
                  <w:r>
                    <w:rPr>
                      <w:rFonts w:hint="eastAsia"/>
                      <w:kern w:val="0"/>
                      <w:sz w:val="18"/>
                      <w:szCs w:val="18"/>
                    </w:rPr>
                    <w:t>5.5</w:t>
                  </w:r>
                </w:p>
              </w:tc>
              <w:tc>
                <w:tcPr>
                  <w:tcW w:w="1127" w:type="dxa"/>
                  <w:tcBorders>
                    <w:left w:val="nil"/>
                    <w:right w:val="single" w:color="auto" w:sz="4" w:space="0"/>
                  </w:tcBorders>
                  <w:vAlign w:val="center"/>
                </w:tcPr>
                <w:p>
                  <w:pPr>
                    <w:widowControl/>
                    <w:spacing w:line="320" w:lineRule="exact"/>
                    <w:jc w:val="center"/>
                    <w:rPr>
                      <w:kern w:val="0"/>
                      <w:sz w:val="18"/>
                      <w:szCs w:val="18"/>
                    </w:rPr>
                  </w:pPr>
                  <w:r>
                    <w:rPr>
                      <w:rFonts w:hint="eastAsia"/>
                      <w:kern w:val="0"/>
                      <w:sz w:val="18"/>
                      <w:szCs w:val="18"/>
                    </w:rPr>
                    <w:t>60</w:t>
                  </w:r>
                </w:p>
              </w:tc>
              <w:tc>
                <w:tcPr>
                  <w:tcW w:w="1406" w:type="dxa"/>
                  <w:tcBorders>
                    <w:top w:val="single" w:color="auto" w:sz="4" w:space="0"/>
                    <w:left w:val="nil"/>
                    <w:bottom w:val="single" w:color="auto" w:sz="4" w:space="0"/>
                    <w:right w:val="single" w:color="auto" w:sz="4" w:space="0"/>
                  </w:tcBorders>
                  <w:vAlign w:val="center"/>
                </w:tcPr>
                <w:p>
                  <w:pPr>
                    <w:autoSpaceDE w:val="0"/>
                    <w:spacing w:line="320" w:lineRule="exact"/>
                    <w:jc w:val="center"/>
                    <w:rPr>
                      <w:sz w:val="18"/>
                      <w:szCs w:val="18"/>
                    </w:rPr>
                  </w:pPr>
                  <w:r>
                    <w:rPr>
                      <w:rFonts w:ascii="宋体" w:hAnsi="宋体"/>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463" w:type="dxa"/>
                  <w:tcBorders>
                    <w:top w:val="single" w:color="auto" w:sz="4" w:space="0"/>
                    <w:left w:val="single" w:color="auto" w:sz="4" w:space="0"/>
                    <w:bottom w:val="single" w:color="auto" w:sz="4" w:space="0"/>
                    <w:right w:val="single" w:color="auto" w:sz="4" w:space="0"/>
                  </w:tcBorders>
                  <w:vAlign w:val="center"/>
                </w:tcPr>
                <w:p>
                  <w:pPr>
                    <w:widowControl/>
                    <w:autoSpaceDE w:val="0"/>
                    <w:spacing w:line="320" w:lineRule="exact"/>
                    <w:jc w:val="center"/>
                    <w:rPr>
                      <w:kern w:val="0"/>
                      <w:sz w:val="18"/>
                      <w:szCs w:val="18"/>
                    </w:rPr>
                  </w:pPr>
                  <w:r>
                    <w:rPr>
                      <w:rFonts w:hint="eastAsia" w:ascii="宋体" w:hAnsi="宋体"/>
                      <w:kern w:val="0"/>
                      <w:sz w:val="18"/>
                      <w:szCs w:val="18"/>
                    </w:rPr>
                    <w:t>3#</w:t>
                  </w:r>
                  <w:r>
                    <w:rPr>
                      <w:rFonts w:ascii="宋体" w:hAnsi="宋体"/>
                      <w:kern w:val="0"/>
                      <w:sz w:val="18"/>
                      <w:szCs w:val="18"/>
                    </w:rPr>
                    <w:t>（西面场界）</w:t>
                  </w:r>
                </w:p>
              </w:tc>
              <w:tc>
                <w:tcPr>
                  <w:tcW w:w="1413" w:type="dxa"/>
                  <w:tcBorders>
                    <w:top w:val="single" w:color="auto" w:sz="4" w:space="0"/>
                    <w:left w:val="nil"/>
                    <w:bottom w:val="single" w:color="auto" w:sz="4" w:space="0"/>
                    <w:right w:val="single" w:color="auto" w:sz="4" w:space="0"/>
                  </w:tcBorders>
                  <w:vAlign w:val="center"/>
                </w:tcPr>
                <w:p>
                  <w:pPr>
                    <w:autoSpaceDE w:val="0"/>
                    <w:spacing w:line="320" w:lineRule="exact"/>
                    <w:jc w:val="center"/>
                    <w:rPr>
                      <w:sz w:val="18"/>
                      <w:szCs w:val="18"/>
                    </w:rPr>
                  </w:pPr>
                  <w:r>
                    <w:rPr>
                      <w:sz w:val="18"/>
                      <w:szCs w:val="18"/>
                    </w:rPr>
                    <w:t>2023.</w:t>
                  </w:r>
                  <w:r>
                    <w:rPr>
                      <w:rFonts w:hint="eastAsia"/>
                      <w:sz w:val="18"/>
                      <w:szCs w:val="18"/>
                    </w:rPr>
                    <w:t>4.6</w:t>
                  </w:r>
                </w:p>
              </w:tc>
              <w:tc>
                <w:tcPr>
                  <w:tcW w:w="1269" w:type="dxa"/>
                  <w:tcBorders>
                    <w:top w:val="single" w:color="auto" w:sz="4" w:space="0"/>
                    <w:left w:val="nil"/>
                    <w:bottom w:val="single" w:color="auto" w:sz="4" w:space="0"/>
                    <w:right w:val="single" w:color="auto" w:sz="4" w:space="0"/>
                  </w:tcBorders>
                  <w:vAlign w:val="center"/>
                </w:tcPr>
                <w:p>
                  <w:pPr>
                    <w:autoSpaceDE w:val="0"/>
                    <w:spacing w:line="320" w:lineRule="exact"/>
                    <w:jc w:val="center"/>
                    <w:rPr>
                      <w:kern w:val="0"/>
                      <w:sz w:val="18"/>
                      <w:szCs w:val="18"/>
                    </w:rPr>
                  </w:pPr>
                  <w:r>
                    <w:rPr>
                      <w:rFonts w:hint="eastAsia"/>
                      <w:kern w:val="0"/>
                      <w:sz w:val="18"/>
                      <w:szCs w:val="18"/>
                    </w:rPr>
                    <w:t>56.4</w:t>
                  </w:r>
                </w:p>
              </w:tc>
              <w:tc>
                <w:tcPr>
                  <w:tcW w:w="1127" w:type="dxa"/>
                  <w:tcBorders>
                    <w:left w:val="nil"/>
                    <w:right w:val="single" w:color="auto" w:sz="4" w:space="0"/>
                  </w:tcBorders>
                  <w:vAlign w:val="center"/>
                </w:tcPr>
                <w:p>
                  <w:pPr>
                    <w:widowControl/>
                    <w:spacing w:line="320" w:lineRule="exact"/>
                    <w:jc w:val="center"/>
                    <w:rPr>
                      <w:kern w:val="0"/>
                      <w:sz w:val="18"/>
                      <w:szCs w:val="18"/>
                    </w:rPr>
                  </w:pPr>
                  <w:r>
                    <w:rPr>
                      <w:rFonts w:hint="eastAsia"/>
                      <w:kern w:val="0"/>
                      <w:sz w:val="18"/>
                      <w:szCs w:val="18"/>
                    </w:rPr>
                    <w:t>70</w:t>
                  </w:r>
                </w:p>
              </w:tc>
              <w:tc>
                <w:tcPr>
                  <w:tcW w:w="1406" w:type="dxa"/>
                  <w:tcBorders>
                    <w:top w:val="single" w:color="auto" w:sz="4" w:space="0"/>
                    <w:left w:val="nil"/>
                    <w:bottom w:val="single" w:color="auto" w:sz="4" w:space="0"/>
                    <w:right w:val="single" w:color="auto" w:sz="4" w:space="0"/>
                  </w:tcBorders>
                  <w:vAlign w:val="center"/>
                </w:tcPr>
                <w:p>
                  <w:pPr>
                    <w:autoSpaceDE w:val="0"/>
                    <w:spacing w:line="320" w:lineRule="exact"/>
                    <w:jc w:val="center"/>
                    <w:rPr>
                      <w:sz w:val="18"/>
                      <w:szCs w:val="18"/>
                    </w:rPr>
                  </w:pPr>
                  <w:r>
                    <w:rPr>
                      <w:rFonts w:ascii="宋体" w:hAnsi="宋体"/>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463" w:type="dxa"/>
                  <w:tcBorders>
                    <w:top w:val="single" w:color="auto" w:sz="4" w:space="0"/>
                    <w:left w:val="single" w:color="auto" w:sz="4" w:space="0"/>
                    <w:bottom w:val="single" w:color="auto" w:sz="4" w:space="0"/>
                    <w:right w:val="single" w:color="auto" w:sz="4" w:space="0"/>
                  </w:tcBorders>
                  <w:vAlign w:val="center"/>
                </w:tcPr>
                <w:p>
                  <w:pPr>
                    <w:widowControl/>
                    <w:autoSpaceDE w:val="0"/>
                    <w:spacing w:line="320" w:lineRule="exact"/>
                    <w:jc w:val="center"/>
                    <w:rPr>
                      <w:kern w:val="0"/>
                      <w:sz w:val="18"/>
                      <w:szCs w:val="18"/>
                    </w:rPr>
                  </w:pPr>
                  <w:r>
                    <w:rPr>
                      <w:rFonts w:hint="eastAsia" w:ascii="宋体" w:hAnsi="宋体"/>
                      <w:kern w:val="0"/>
                      <w:sz w:val="18"/>
                      <w:szCs w:val="18"/>
                    </w:rPr>
                    <w:t>4#</w:t>
                  </w:r>
                  <w:r>
                    <w:rPr>
                      <w:rFonts w:ascii="宋体" w:hAnsi="宋体"/>
                      <w:kern w:val="0"/>
                      <w:sz w:val="18"/>
                      <w:szCs w:val="18"/>
                    </w:rPr>
                    <w:t>（北面场界）</w:t>
                  </w:r>
                </w:p>
              </w:tc>
              <w:tc>
                <w:tcPr>
                  <w:tcW w:w="1413" w:type="dxa"/>
                  <w:tcBorders>
                    <w:top w:val="single" w:color="auto" w:sz="4" w:space="0"/>
                    <w:left w:val="nil"/>
                    <w:bottom w:val="single" w:color="auto" w:sz="4" w:space="0"/>
                    <w:right w:val="single" w:color="auto" w:sz="4" w:space="0"/>
                  </w:tcBorders>
                  <w:vAlign w:val="center"/>
                </w:tcPr>
                <w:p>
                  <w:pPr>
                    <w:autoSpaceDE w:val="0"/>
                    <w:spacing w:line="320" w:lineRule="exact"/>
                    <w:jc w:val="center"/>
                    <w:rPr>
                      <w:sz w:val="18"/>
                      <w:szCs w:val="18"/>
                    </w:rPr>
                  </w:pPr>
                  <w:r>
                    <w:rPr>
                      <w:sz w:val="18"/>
                      <w:szCs w:val="18"/>
                    </w:rPr>
                    <w:t>2023.</w:t>
                  </w:r>
                  <w:r>
                    <w:rPr>
                      <w:rFonts w:hint="eastAsia"/>
                      <w:sz w:val="18"/>
                      <w:szCs w:val="18"/>
                    </w:rPr>
                    <w:t>4.6</w:t>
                  </w:r>
                </w:p>
              </w:tc>
              <w:tc>
                <w:tcPr>
                  <w:tcW w:w="1269" w:type="dxa"/>
                  <w:tcBorders>
                    <w:top w:val="single" w:color="auto" w:sz="4" w:space="0"/>
                    <w:left w:val="nil"/>
                    <w:bottom w:val="single" w:color="auto" w:sz="4" w:space="0"/>
                    <w:right w:val="single" w:color="auto" w:sz="4" w:space="0"/>
                  </w:tcBorders>
                  <w:vAlign w:val="center"/>
                </w:tcPr>
                <w:p>
                  <w:pPr>
                    <w:autoSpaceDE w:val="0"/>
                    <w:spacing w:line="320" w:lineRule="exact"/>
                    <w:jc w:val="center"/>
                    <w:rPr>
                      <w:kern w:val="0"/>
                      <w:sz w:val="18"/>
                      <w:szCs w:val="18"/>
                    </w:rPr>
                  </w:pPr>
                  <w:r>
                    <w:rPr>
                      <w:rFonts w:hint="eastAsia"/>
                      <w:kern w:val="0"/>
                      <w:sz w:val="18"/>
                      <w:szCs w:val="18"/>
                    </w:rPr>
                    <w:t>57.6</w:t>
                  </w:r>
                </w:p>
              </w:tc>
              <w:tc>
                <w:tcPr>
                  <w:tcW w:w="1127" w:type="dxa"/>
                  <w:tcBorders>
                    <w:left w:val="nil"/>
                    <w:bottom w:val="single" w:color="auto" w:sz="4" w:space="0"/>
                    <w:right w:val="single" w:color="auto" w:sz="4" w:space="0"/>
                  </w:tcBorders>
                  <w:vAlign w:val="center"/>
                </w:tcPr>
                <w:p>
                  <w:pPr>
                    <w:widowControl/>
                    <w:spacing w:line="320" w:lineRule="exact"/>
                    <w:jc w:val="center"/>
                    <w:rPr>
                      <w:kern w:val="0"/>
                      <w:sz w:val="18"/>
                      <w:szCs w:val="18"/>
                    </w:rPr>
                  </w:pPr>
                  <w:r>
                    <w:rPr>
                      <w:rFonts w:hint="eastAsia"/>
                      <w:kern w:val="0"/>
                      <w:sz w:val="18"/>
                      <w:szCs w:val="18"/>
                    </w:rPr>
                    <w:t>60</w:t>
                  </w:r>
                </w:p>
              </w:tc>
              <w:tc>
                <w:tcPr>
                  <w:tcW w:w="1406" w:type="dxa"/>
                  <w:tcBorders>
                    <w:top w:val="single" w:color="auto" w:sz="4" w:space="0"/>
                    <w:left w:val="nil"/>
                    <w:bottom w:val="single" w:color="auto" w:sz="4" w:space="0"/>
                    <w:right w:val="single" w:color="auto" w:sz="4" w:space="0"/>
                  </w:tcBorders>
                  <w:vAlign w:val="center"/>
                </w:tcPr>
                <w:p>
                  <w:pPr>
                    <w:autoSpaceDE w:val="0"/>
                    <w:spacing w:line="320" w:lineRule="exact"/>
                    <w:jc w:val="center"/>
                    <w:rPr>
                      <w:sz w:val="18"/>
                      <w:szCs w:val="18"/>
                    </w:rPr>
                  </w:pPr>
                  <w:r>
                    <w:rPr>
                      <w:rFonts w:ascii="宋体" w:hAnsi="宋体"/>
                      <w:sz w:val="18"/>
                      <w:szCs w:val="18"/>
                    </w:rPr>
                    <w:t>达标</w:t>
                  </w:r>
                </w:p>
              </w:tc>
            </w:tr>
          </w:tbl>
          <w:p>
            <w:pPr>
              <w:autoSpaceDE w:val="0"/>
              <w:autoSpaceDN w:val="0"/>
              <w:adjustRightInd w:val="0"/>
              <w:snapToGrid w:val="0"/>
              <w:spacing w:line="400" w:lineRule="exact"/>
              <w:ind w:firstLine="420" w:firstLineChars="200"/>
              <w:rPr>
                <w:rFonts w:eastAsia="新宋体"/>
                <w:kern w:val="0"/>
                <w:szCs w:val="21"/>
              </w:rPr>
            </w:pPr>
            <w:r>
              <w:rPr>
                <w:rFonts w:ascii="宋体" w:hAnsi="宋体"/>
                <w:kern w:val="0"/>
              </w:rPr>
              <w:t>由监测结果可知：</w:t>
            </w:r>
            <w:r>
              <w:rPr>
                <w:rFonts w:hint="eastAsia" w:eastAsia="新宋体"/>
                <w:kern w:val="0"/>
                <w:szCs w:val="21"/>
              </w:rPr>
              <w:t>本项目各噪声监测点位的昼间环境噪声值能够满足《声环境质量标准》（</w:t>
            </w:r>
            <w:r>
              <w:rPr>
                <w:rFonts w:eastAsia="新宋体"/>
                <w:kern w:val="0"/>
                <w:szCs w:val="21"/>
              </w:rPr>
              <w:t>GB3096-2008</w:t>
            </w:r>
            <w:r>
              <w:rPr>
                <w:rFonts w:hint="eastAsia" w:eastAsia="新宋体"/>
                <w:kern w:val="0"/>
                <w:szCs w:val="21"/>
              </w:rPr>
              <w:t>）中相应区域标准要求。</w:t>
            </w:r>
          </w:p>
          <w:p>
            <w:pPr>
              <w:adjustRightInd w:val="0"/>
              <w:snapToGrid w:val="0"/>
              <w:spacing w:line="400" w:lineRule="exact"/>
              <w:ind w:left="-53" w:leftChars="-25" w:right="-53" w:rightChars="-25"/>
              <w:jc w:val="left"/>
              <w:rPr>
                <w:rFonts w:eastAsia="黑体"/>
                <w:bCs/>
                <w:szCs w:val="21"/>
              </w:rPr>
            </w:pPr>
            <w:r>
              <w:rPr>
                <w:rFonts w:eastAsia="黑体"/>
                <w:bCs/>
                <w:szCs w:val="21"/>
              </w:rPr>
              <w:t>4、生态环境质量现状及评价</w:t>
            </w:r>
          </w:p>
          <w:p>
            <w:pPr>
              <w:autoSpaceDE w:val="0"/>
              <w:autoSpaceDN w:val="0"/>
              <w:adjustRightInd w:val="0"/>
              <w:snapToGrid w:val="0"/>
              <w:spacing w:line="400" w:lineRule="exact"/>
              <w:ind w:firstLine="420" w:firstLineChars="200"/>
              <w:jc w:val="left"/>
              <w:rPr>
                <w:szCs w:val="21"/>
                <w:lang w:val="zh-CN"/>
              </w:rPr>
            </w:pPr>
            <w:r>
              <w:rPr>
                <w:rFonts w:hint="eastAsia"/>
                <w:kern w:val="0"/>
                <w:szCs w:val="21"/>
              </w:rPr>
              <w:t>本项目位于达州市通川区东岳新型工业集聚区，区域为规划的工业用地，周边主要是其它厂房和办公生活设施。区域长期以来受人类活动的影响，主要以人工绿化为主，无各类保护植被。根据现场调查，项目区域内不涉及自然保护区、森林公园及风景名胜区、生活饮用水水源保护区及其他需要特别保护区域，区域内无国家保护的重点野生动植物，无名木古树及珍稀动植物等，无特殊文物保护单位等环境敏感目标。总体来看，项目区域生态环境质量一般。</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792" w:type="dxa"/>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kern w:val="0"/>
                <w:szCs w:val="21"/>
              </w:rPr>
            </w:pPr>
            <w:r>
              <w:rPr>
                <w:kern w:val="0"/>
                <w:szCs w:val="21"/>
              </w:rPr>
              <w:t>环境</w:t>
            </w:r>
          </w:p>
          <w:p>
            <w:pPr>
              <w:adjustRightInd w:val="0"/>
              <w:snapToGrid w:val="0"/>
              <w:jc w:val="center"/>
              <w:rPr>
                <w:kern w:val="0"/>
                <w:szCs w:val="21"/>
              </w:rPr>
            </w:pPr>
            <w:r>
              <w:rPr>
                <w:kern w:val="0"/>
                <w:szCs w:val="21"/>
              </w:rPr>
              <w:t>保护</w:t>
            </w:r>
          </w:p>
          <w:p>
            <w:pPr>
              <w:adjustRightInd w:val="0"/>
              <w:snapToGrid w:val="0"/>
              <w:jc w:val="center"/>
            </w:pPr>
            <w:r>
              <w:rPr>
                <w:kern w:val="0"/>
                <w:szCs w:val="21"/>
              </w:rPr>
              <w:t>目标</w:t>
            </w:r>
          </w:p>
        </w:tc>
        <w:tc>
          <w:tcPr>
            <w:tcW w:w="8127"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400" w:lineRule="exact"/>
              <w:ind w:left="-53" w:leftChars="-25" w:right="-53" w:rightChars="-25"/>
              <w:jc w:val="left"/>
              <w:rPr>
                <w:rFonts w:eastAsia="黑体"/>
                <w:bCs/>
                <w:szCs w:val="21"/>
              </w:rPr>
            </w:pPr>
            <w:r>
              <w:rPr>
                <w:rFonts w:eastAsia="黑体"/>
                <w:bCs/>
                <w:szCs w:val="21"/>
              </w:rPr>
              <w:t>1、大气环境</w:t>
            </w:r>
          </w:p>
          <w:p>
            <w:pPr>
              <w:autoSpaceDE w:val="0"/>
              <w:autoSpaceDN w:val="0"/>
              <w:adjustRightInd w:val="0"/>
              <w:snapToGrid w:val="0"/>
              <w:spacing w:line="400" w:lineRule="exact"/>
              <w:ind w:firstLine="420" w:firstLineChars="200"/>
              <w:jc w:val="left"/>
              <w:rPr>
                <w:kern w:val="0"/>
                <w:szCs w:val="21"/>
              </w:rPr>
            </w:pPr>
            <w:r>
              <w:rPr>
                <w:kern w:val="0"/>
                <w:szCs w:val="21"/>
              </w:rPr>
              <w:t>项目厂界外500m范围内无自然保护区、风景名胜区、文化区域等环境空气保护目标。根据调查，项目</w:t>
            </w:r>
            <w:r>
              <w:rPr>
                <w:rFonts w:hint="eastAsia"/>
                <w:kern w:val="0"/>
                <w:szCs w:val="21"/>
              </w:rPr>
              <w:t>厂界外500m范围内有少量散居农户。</w:t>
            </w:r>
          </w:p>
          <w:p>
            <w:pPr>
              <w:spacing w:line="400" w:lineRule="exact"/>
              <w:jc w:val="center"/>
              <w:rPr>
                <w:rFonts w:eastAsia="黑体"/>
                <w:sz w:val="18"/>
                <w:szCs w:val="18"/>
              </w:rPr>
            </w:pPr>
            <w:r>
              <w:rPr>
                <w:rFonts w:hint="eastAsia" w:ascii="黑体" w:hAnsi="黑体" w:eastAsia="黑体"/>
                <w:sz w:val="18"/>
                <w:szCs w:val="18"/>
              </w:rPr>
              <w:t>表</w:t>
            </w:r>
            <w:r>
              <w:rPr>
                <w:rFonts w:hint="eastAsia" w:eastAsia="黑体"/>
                <w:sz w:val="18"/>
                <w:szCs w:val="18"/>
              </w:rPr>
              <w:t xml:space="preserve">3-5   </w:t>
            </w:r>
            <w:r>
              <w:rPr>
                <w:rFonts w:hint="eastAsia" w:ascii="黑体" w:hAnsi="黑体" w:eastAsia="黑体"/>
                <w:sz w:val="18"/>
                <w:szCs w:val="18"/>
              </w:rPr>
              <w:t>大气环境保护目标</w:t>
            </w:r>
          </w:p>
          <w:tbl>
            <w:tblPr>
              <w:tblStyle w:val="21"/>
              <w:tblW w:w="78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
              <w:gridCol w:w="955"/>
              <w:gridCol w:w="857"/>
              <w:gridCol w:w="1287"/>
              <w:gridCol w:w="709"/>
              <w:gridCol w:w="1134"/>
              <w:gridCol w:w="2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 w:hRule="atLeast"/>
                <w:jc w:val="center"/>
              </w:trPr>
              <w:tc>
                <w:tcPr>
                  <w:tcW w:w="539" w:type="dxa"/>
                  <w:tcBorders>
                    <w:top w:val="single" w:color="auto" w:sz="4" w:space="0"/>
                    <w:left w:val="single" w:color="auto" w:sz="4" w:space="0"/>
                    <w:bottom w:val="single" w:color="auto" w:sz="4" w:space="0"/>
                    <w:right w:val="single" w:color="auto" w:sz="4" w:space="0"/>
                  </w:tcBorders>
                  <w:vAlign w:val="center"/>
                </w:tcPr>
                <w:p>
                  <w:pPr>
                    <w:spacing w:line="360" w:lineRule="exact"/>
                    <w:ind w:left="-40" w:leftChars="-19" w:right="-50" w:rightChars="-24"/>
                    <w:jc w:val="center"/>
                    <w:rPr>
                      <w:b/>
                      <w:sz w:val="18"/>
                      <w:szCs w:val="18"/>
                    </w:rPr>
                  </w:pPr>
                  <w:r>
                    <w:rPr>
                      <w:rFonts w:hint="eastAsia" w:ascii="宋体" w:hAnsi="宋体"/>
                      <w:b/>
                      <w:sz w:val="18"/>
                      <w:szCs w:val="18"/>
                    </w:rPr>
                    <w:t>序号</w:t>
                  </w:r>
                </w:p>
              </w:tc>
              <w:tc>
                <w:tcPr>
                  <w:tcW w:w="955" w:type="dxa"/>
                  <w:tcBorders>
                    <w:top w:val="single" w:color="auto" w:sz="4" w:space="0"/>
                    <w:left w:val="nil"/>
                    <w:bottom w:val="single" w:color="auto" w:sz="4" w:space="0"/>
                    <w:right w:val="single" w:color="auto" w:sz="4" w:space="0"/>
                  </w:tcBorders>
                  <w:vAlign w:val="center"/>
                </w:tcPr>
                <w:p>
                  <w:pPr>
                    <w:spacing w:line="360" w:lineRule="exact"/>
                    <w:jc w:val="center"/>
                    <w:rPr>
                      <w:b/>
                      <w:sz w:val="18"/>
                      <w:szCs w:val="18"/>
                    </w:rPr>
                  </w:pPr>
                  <w:r>
                    <w:rPr>
                      <w:rFonts w:hint="eastAsia" w:ascii="宋体" w:hAnsi="宋体"/>
                      <w:b/>
                      <w:sz w:val="18"/>
                      <w:szCs w:val="18"/>
                    </w:rPr>
                    <w:t>环境要素</w:t>
                  </w:r>
                </w:p>
              </w:tc>
              <w:tc>
                <w:tcPr>
                  <w:tcW w:w="857" w:type="dxa"/>
                  <w:tcBorders>
                    <w:top w:val="single" w:color="auto" w:sz="4" w:space="0"/>
                    <w:left w:val="nil"/>
                    <w:bottom w:val="single" w:color="auto" w:sz="4" w:space="0"/>
                    <w:right w:val="single" w:color="auto" w:sz="4" w:space="0"/>
                  </w:tcBorders>
                  <w:vAlign w:val="center"/>
                </w:tcPr>
                <w:p>
                  <w:pPr>
                    <w:spacing w:line="360" w:lineRule="exact"/>
                    <w:ind w:left="-53" w:leftChars="-25" w:right="-53" w:rightChars="-25"/>
                    <w:jc w:val="center"/>
                    <w:rPr>
                      <w:b/>
                      <w:sz w:val="18"/>
                      <w:szCs w:val="18"/>
                    </w:rPr>
                  </w:pPr>
                  <w:r>
                    <w:rPr>
                      <w:rFonts w:hint="eastAsia" w:ascii="宋体" w:hAnsi="宋体"/>
                      <w:b/>
                      <w:sz w:val="18"/>
                      <w:szCs w:val="18"/>
                    </w:rPr>
                    <w:t>保护目标</w:t>
                  </w:r>
                </w:p>
              </w:tc>
              <w:tc>
                <w:tcPr>
                  <w:tcW w:w="1287" w:type="dxa"/>
                  <w:tcBorders>
                    <w:top w:val="single" w:color="auto" w:sz="4" w:space="0"/>
                    <w:left w:val="nil"/>
                    <w:bottom w:val="single" w:color="auto" w:sz="4" w:space="0"/>
                    <w:right w:val="single" w:color="auto" w:sz="4" w:space="0"/>
                  </w:tcBorders>
                  <w:vAlign w:val="center"/>
                </w:tcPr>
                <w:p>
                  <w:pPr>
                    <w:spacing w:line="360" w:lineRule="exact"/>
                    <w:jc w:val="center"/>
                    <w:rPr>
                      <w:b/>
                      <w:sz w:val="18"/>
                      <w:szCs w:val="18"/>
                    </w:rPr>
                  </w:pPr>
                  <w:r>
                    <w:rPr>
                      <w:rFonts w:hint="eastAsia" w:ascii="宋体" w:hAnsi="宋体"/>
                      <w:b/>
                      <w:sz w:val="18"/>
                      <w:szCs w:val="18"/>
                    </w:rPr>
                    <w:t>方位及距离</w:t>
                  </w:r>
                </w:p>
              </w:tc>
              <w:tc>
                <w:tcPr>
                  <w:tcW w:w="709" w:type="dxa"/>
                  <w:tcBorders>
                    <w:top w:val="single" w:color="auto" w:sz="4" w:space="0"/>
                    <w:left w:val="nil"/>
                    <w:bottom w:val="single" w:color="auto" w:sz="4" w:space="0"/>
                    <w:right w:val="single" w:color="auto" w:sz="4" w:space="0"/>
                  </w:tcBorders>
                  <w:vAlign w:val="center"/>
                </w:tcPr>
                <w:p>
                  <w:pPr>
                    <w:spacing w:line="360" w:lineRule="exact"/>
                    <w:jc w:val="center"/>
                    <w:rPr>
                      <w:b/>
                      <w:sz w:val="18"/>
                      <w:szCs w:val="18"/>
                    </w:rPr>
                  </w:pPr>
                  <w:r>
                    <w:rPr>
                      <w:rFonts w:hint="eastAsia" w:ascii="宋体" w:hAnsi="宋体"/>
                      <w:b/>
                      <w:sz w:val="18"/>
                      <w:szCs w:val="18"/>
                    </w:rPr>
                    <w:t>类别</w:t>
                  </w:r>
                </w:p>
              </w:tc>
              <w:tc>
                <w:tcPr>
                  <w:tcW w:w="1134" w:type="dxa"/>
                  <w:tcBorders>
                    <w:top w:val="single" w:color="auto" w:sz="4" w:space="0"/>
                    <w:left w:val="nil"/>
                    <w:bottom w:val="single" w:color="auto" w:sz="4" w:space="0"/>
                    <w:right w:val="single" w:color="auto" w:sz="4" w:space="0"/>
                  </w:tcBorders>
                  <w:vAlign w:val="center"/>
                </w:tcPr>
                <w:p>
                  <w:pPr>
                    <w:spacing w:line="360" w:lineRule="exact"/>
                    <w:jc w:val="center"/>
                    <w:rPr>
                      <w:b/>
                      <w:sz w:val="18"/>
                      <w:szCs w:val="18"/>
                    </w:rPr>
                  </w:pPr>
                  <w:r>
                    <w:rPr>
                      <w:rFonts w:hint="eastAsia" w:ascii="宋体" w:hAnsi="宋体"/>
                      <w:b/>
                      <w:sz w:val="18"/>
                      <w:szCs w:val="18"/>
                    </w:rPr>
                    <w:t>规模</w:t>
                  </w:r>
                </w:p>
              </w:tc>
              <w:tc>
                <w:tcPr>
                  <w:tcW w:w="2359" w:type="dxa"/>
                  <w:tcBorders>
                    <w:top w:val="single" w:color="auto" w:sz="4" w:space="0"/>
                    <w:left w:val="nil"/>
                    <w:bottom w:val="single" w:color="auto" w:sz="4" w:space="0"/>
                    <w:right w:val="single" w:color="auto" w:sz="4" w:space="0"/>
                  </w:tcBorders>
                  <w:vAlign w:val="center"/>
                </w:tcPr>
                <w:p>
                  <w:pPr>
                    <w:spacing w:line="360" w:lineRule="exact"/>
                    <w:jc w:val="center"/>
                    <w:rPr>
                      <w:b/>
                      <w:sz w:val="18"/>
                      <w:szCs w:val="18"/>
                    </w:rPr>
                  </w:pPr>
                  <w:r>
                    <w:rPr>
                      <w:rFonts w:hint="eastAsia" w:ascii="宋体" w:hAnsi="宋体"/>
                      <w:b/>
                      <w:sz w:val="18"/>
                      <w:szCs w:val="18"/>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5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bCs/>
                      <w:sz w:val="18"/>
                      <w:szCs w:val="18"/>
                    </w:rPr>
                  </w:pPr>
                  <w:r>
                    <w:rPr>
                      <w:bCs/>
                      <w:sz w:val="18"/>
                      <w:szCs w:val="18"/>
                    </w:rPr>
                    <w:t>1</w:t>
                  </w:r>
                </w:p>
              </w:tc>
              <w:tc>
                <w:tcPr>
                  <w:tcW w:w="955" w:type="dxa"/>
                  <w:vMerge w:val="restart"/>
                  <w:tcBorders>
                    <w:top w:val="single" w:color="auto" w:sz="4" w:space="0"/>
                    <w:left w:val="nil"/>
                    <w:right w:val="single" w:color="auto" w:sz="4" w:space="0"/>
                  </w:tcBorders>
                  <w:vAlign w:val="center"/>
                </w:tcPr>
                <w:p>
                  <w:pPr>
                    <w:spacing w:line="360" w:lineRule="exact"/>
                    <w:ind w:left="-50" w:leftChars="-24" w:right="-36" w:rightChars="-17"/>
                    <w:jc w:val="center"/>
                    <w:rPr>
                      <w:bCs/>
                      <w:sz w:val="18"/>
                      <w:szCs w:val="18"/>
                    </w:rPr>
                  </w:pPr>
                  <w:r>
                    <w:rPr>
                      <w:rFonts w:hint="eastAsia" w:ascii="宋体" w:hAnsi="宋体"/>
                      <w:bCs/>
                      <w:sz w:val="18"/>
                      <w:szCs w:val="18"/>
                    </w:rPr>
                    <w:t>环境空气</w:t>
                  </w:r>
                </w:p>
              </w:tc>
              <w:tc>
                <w:tcPr>
                  <w:tcW w:w="857" w:type="dxa"/>
                  <w:tcBorders>
                    <w:top w:val="single" w:color="auto" w:sz="4" w:space="0"/>
                    <w:left w:val="nil"/>
                    <w:bottom w:val="single" w:color="auto" w:sz="4" w:space="0"/>
                    <w:right w:val="single" w:color="auto" w:sz="4" w:space="0"/>
                  </w:tcBorders>
                  <w:vAlign w:val="center"/>
                </w:tcPr>
                <w:p>
                  <w:pPr>
                    <w:spacing w:line="360" w:lineRule="exact"/>
                    <w:jc w:val="center"/>
                    <w:rPr>
                      <w:rFonts w:cs="宋体"/>
                      <w:bCs/>
                      <w:sz w:val="18"/>
                      <w:szCs w:val="18"/>
                    </w:rPr>
                  </w:pPr>
                  <w:r>
                    <w:rPr>
                      <w:rFonts w:hint="eastAsia" w:ascii="宋体" w:hAnsi="宋体"/>
                      <w:bCs/>
                      <w:sz w:val="18"/>
                      <w:szCs w:val="18"/>
                    </w:rPr>
                    <w:t>住户</w:t>
                  </w:r>
                </w:p>
              </w:tc>
              <w:tc>
                <w:tcPr>
                  <w:tcW w:w="1287" w:type="dxa"/>
                  <w:tcBorders>
                    <w:top w:val="single" w:color="auto" w:sz="4" w:space="0"/>
                    <w:left w:val="nil"/>
                    <w:bottom w:val="single" w:color="auto" w:sz="4" w:space="0"/>
                    <w:right w:val="single" w:color="auto" w:sz="4" w:space="0"/>
                  </w:tcBorders>
                  <w:vAlign w:val="center"/>
                </w:tcPr>
                <w:p>
                  <w:pPr>
                    <w:spacing w:line="360" w:lineRule="exact"/>
                    <w:jc w:val="center"/>
                    <w:rPr>
                      <w:rFonts w:cs="宋体"/>
                      <w:bCs/>
                      <w:sz w:val="18"/>
                      <w:szCs w:val="18"/>
                    </w:rPr>
                  </w:pPr>
                  <w:r>
                    <w:rPr>
                      <w:rFonts w:hint="eastAsia" w:ascii="宋体" w:hAnsi="宋体"/>
                      <w:bCs/>
                      <w:sz w:val="18"/>
                      <w:szCs w:val="18"/>
                    </w:rPr>
                    <w:t>西面、</w:t>
                  </w:r>
                  <w:r>
                    <w:rPr>
                      <w:rFonts w:hint="eastAsia"/>
                      <w:bCs/>
                      <w:sz w:val="18"/>
                      <w:szCs w:val="18"/>
                    </w:rPr>
                    <w:t>120m</w:t>
                  </w:r>
                </w:p>
              </w:tc>
              <w:tc>
                <w:tcPr>
                  <w:tcW w:w="709" w:type="dxa"/>
                  <w:tcBorders>
                    <w:top w:val="single" w:color="auto" w:sz="4" w:space="0"/>
                    <w:left w:val="nil"/>
                    <w:bottom w:val="single" w:color="auto" w:sz="4" w:space="0"/>
                    <w:right w:val="single" w:color="auto" w:sz="4" w:space="0"/>
                  </w:tcBorders>
                  <w:vAlign w:val="center"/>
                </w:tcPr>
                <w:p>
                  <w:pPr>
                    <w:spacing w:line="360" w:lineRule="exact"/>
                    <w:jc w:val="center"/>
                    <w:rPr>
                      <w:bCs/>
                      <w:sz w:val="18"/>
                      <w:szCs w:val="18"/>
                    </w:rPr>
                  </w:pPr>
                  <w:r>
                    <w:rPr>
                      <w:rFonts w:hint="eastAsia" w:ascii="宋体" w:hAnsi="宋体"/>
                      <w:bCs/>
                      <w:sz w:val="18"/>
                      <w:szCs w:val="18"/>
                    </w:rPr>
                    <w:t>居民</w:t>
                  </w:r>
                </w:p>
              </w:tc>
              <w:tc>
                <w:tcPr>
                  <w:tcW w:w="1134" w:type="dxa"/>
                  <w:tcBorders>
                    <w:top w:val="single" w:color="auto" w:sz="4" w:space="0"/>
                    <w:left w:val="nil"/>
                    <w:bottom w:val="single" w:color="auto" w:sz="4" w:space="0"/>
                    <w:right w:val="single" w:color="auto" w:sz="4" w:space="0"/>
                  </w:tcBorders>
                  <w:vAlign w:val="center"/>
                </w:tcPr>
                <w:p>
                  <w:pPr>
                    <w:spacing w:line="360" w:lineRule="exact"/>
                    <w:jc w:val="center"/>
                    <w:rPr>
                      <w:bCs/>
                      <w:sz w:val="18"/>
                      <w:szCs w:val="18"/>
                    </w:rPr>
                  </w:pPr>
                  <w:r>
                    <w:rPr>
                      <w:rFonts w:hint="eastAsia"/>
                      <w:bCs/>
                      <w:sz w:val="18"/>
                      <w:szCs w:val="18"/>
                    </w:rPr>
                    <w:t>4</w:t>
                  </w:r>
                  <w:r>
                    <w:rPr>
                      <w:rFonts w:hint="eastAsia" w:ascii="宋体" w:hAnsi="宋体"/>
                      <w:bCs/>
                      <w:sz w:val="18"/>
                      <w:szCs w:val="18"/>
                    </w:rPr>
                    <w:t>户、</w:t>
                  </w:r>
                  <w:r>
                    <w:rPr>
                      <w:rFonts w:hint="eastAsia"/>
                      <w:bCs/>
                      <w:sz w:val="18"/>
                      <w:szCs w:val="18"/>
                    </w:rPr>
                    <w:t>10</w:t>
                  </w:r>
                  <w:r>
                    <w:rPr>
                      <w:rFonts w:hint="eastAsia" w:ascii="宋体" w:hAnsi="宋体"/>
                      <w:bCs/>
                      <w:sz w:val="18"/>
                      <w:szCs w:val="18"/>
                    </w:rPr>
                    <w:t>人</w:t>
                  </w:r>
                </w:p>
              </w:tc>
              <w:tc>
                <w:tcPr>
                  <w:tcW w:w="2359" w:type="dxa"/>
                  <w:vMerge w:val="restart"/>
                  <w:tcBorders>
                    <w:top w:val="single" w:color="auto" w:sz="4" w:space="0"/>
                    <w:left w:val="nil"/>
                    <w:right w:val="single" w:color="auto" w:sz="4" w:space="0"/>
                  </w:tcBorders>
                  <w:vAlign w:val="center"/>
                </w:tcPr>
                <w:p>
                  <w:pPr>
                    <w:spacing w:line="360" w:lineRule="exact"/>
                    <w:jc w:val="center"/>
                    <w:rPr>
                      <w:sz w:val="18"/>
                      <w:szCs w:val="18"/>
                    </w:rPr>
                  </w:pPr>
                  <w:r>
                    <w:rPr>
                      <w:rFonts w:hint="eastAsia" w:ascii="宋体" w:hAnsi="宋体"/>
                      <w:sz w:val="18"/>
                      <w:szCs w:val="18"/>
                    </w:rPr>
                    <w:t>《环境空气质量标准》（</w:t>
                  </w:r>
                  <w:r>
                    <w:rPr>
                      <w:sz w:val="18"/>
                      <w:szCs w:val="18"/>
                    </w:rPr>
                    <w:t>GB3095-2012</w:t>
                  </w:r>
                  <w:r>
                    <w:rPr>
                      <w:rFonts w:hint="eastAsia" w:ascii="宋体" w:hAnsi="宋体"/>
                      <w:sz w:val="18"/>
                      <w:szCs w:val="18"/>
                    </w:rPr>
                    <w:t>）</w:t>
                  </w:r>
                  <w:r>
                    <w:rPr>
                      <w:rFonts w:hint="eastAsia" w:ascii="宋体" w:hAnsi="宋体"/>
                      <w:bCs/>
                      <w:sz w:val="18"/>
                      <w:szCs w:val="18"/>
                    </w:rPr>
                    <w:t>二级</w:t>
                  </w:r>
                  <w:r>
                    <w:rPr>
                      <w:rFonts w:hint="eastAsia" w:ascii="宋体" w:hAnsi="宋体"/>
                      <w:sz w:val="18"/>
                      <w:szCs w:val="18"/>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5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bCs/>
                      <w:sz w:val="18"/>
                      <w:szCs w:val="18"/>
                    </w:rPr>
                  </w:pPr>
                  <w:r>
                    <w:rPr>
                      <w:rFonts w:hint="eastAsia"/>
                      <w:bCs/>
                      <w:sz w:val="18"/>
                      <w:szCs w:val="18"/>
                    </w:rPr>
                    <w:t>2</w:t>
                  </w:r>
                </w:p>
              </w:tc>
              <w:tc>
                <w:tcPr>
                  <w:tcW w:w="955" w:type="dxa"/>
                  <w:vMerge w:val="continue"/>
                  <w:tcBorders>
                    <w:left w:val="nil"/>
                    <w:right w:val="single" w:color="auto" w:sz="4" w:space="0"/>
                  </w:tcBorders>
                  <w:vAlign w:val="center"/>
                </w:tcPr>
                <w:p>
                  <w:pPr>
                    <w:spacing w:line="360" w:lineRule="exact"/>
                    <w:ind w:left="-50" w:leftChars="-24" w:right="-36" w:rightChars="-17"/>
                    <w:jc w:val="center"/>
                    <w:rPr>
                      <w:rFonts w:ascii="宋体" w:hAnsi="宋体"/>
                      <w:bCs/>
                      <w:sz w:val="18"/>
                      <w:szCs w:val="18"/>
                    </w:rPr>
                  </w:pPr>
                </w:p>
              </w:tc>
              <w:tc>
                <w:tcPr>
                  <w:tcW w:w="857" w:type="dxa"/>
                  <w:tcBorders>
                    <w:top w:val="single" w:color="auto" w:sz="4" w:space="0"/>
                    <w:left w:val="nil"/>
                    <w:bottom w:val="single" w:color="auto" w:sz="4" w:space="0"/>
                    <w:right w:val="single" w:color="auto" w:sz="4" w:space="0"/>
                  </w:tcBorders>
                  <w:vAlign w:val="center"/>
                </w:tcPr>
                <w:p>
                  <w:pPr>
                    <w:spacing w:line="360" w:lineRule="exact"/>
                    <w:jc w:val="center"/>
                    <w:rPr>
                      <w:rFonts w:ascii="宋体" w:hAnsi="宋体"/>
                      <w:bCs/>
                      <w:sz w:val="18"/>
                      <w:szCs w:val="18"/>
                    </w:rPr>
                  </w:pPr>
                  <w:r>
                    <w:rPr>
                      <w:rFonts w:hint="eastAsia" w:ascii="宋体" w:hAnsi="宋体"/>
                      <w:bCs/>
                      <w:sz w:val="18"/>
                      <w:szCs w:val="18"/>
                    </w:rPr>
                    <w:t>住户</w:t>
                  </w:r>
                </w:p>
              </w:tc>
              <w:tc>
                <w:tcPr>
                  <w:tcW w:w="1287" w:type="dxa"/>
                  <w:tcBorders>
                    <w:top w:val="single" w:color="auto" w:sz="4" w:space="0"/>
                    <w:left w:val="nil"/>
                    <w:bottom w:val="single" w:color="auto" w:sz="4" w:space="0"/>
                    <w:right w:val="single" w:color="auto" w:sz="4" w:space="0"/>
                  </w:tcBorders>
                  <w:vAlign w:val="center"/>
                </w:tcPr>
                <w:p>
                  <w:pPr>
                    <w:spacing w:line="360" w:lineRule="exact"/>
                    <w:jc w:val="center"/>
                    <w:rPr>
                      <w:rFonts w:ascii="宋体" w:hAnsi="宋体"/>
                      <w:bCs/>
                      <w:sz w:val="18"/>
                      <w:szCs w:val="18"/>
                    </w:rPr>
                  </w:pPr>
                  <w:r>
                    <w:rPr>
                      <w:rFonts w:hint="eastAsia" w:ascii="宋体" w:hAnsi="宋体"/>
                      <w:bCs/>
                      <w:sz w:val="18"/>
                      <w:szCs w:val="18"/>
                    </w:rPr>
                    <w:t>北面、45m</w:t>
                  </w:r>
                </w:p>
              </w:tc>
              <w:tc>
                <w:tcPr>
                  <w:tcW w:w="709" w:type="dxa"/>
                  <w:tcBorders>
                    <w:top w:val="single" w:color="auto" w:sz="4" w:space="0"/>
                    <w:left w:val="nil"/>
                    <w:bottom w:val="single" w:color="auto" w:sz="4" w:space="0"/>
                    <w:right w:val="single" w:color="auto" w:sz="4" w:space="0"/>
                  </w:tcBorders>
                  <w:vAlign w:val="center"/>
                </w:tcPr>
                <w:p>
                  <w:pPr>
                    <w:spacing w:line="360" w:lineRule="exact"/>
                    <w:jc w:val="center"/>
                    <w:rPr>
                      <w:rFonts w:ascii="宋体" w:hAnsi="宋体"/>
                      <w:bCs/>
                      <w:sz w:val="18"/>
                      <w:szCs w:val="18"/>
                    </w:rPr>
                  </w:pPr>
                  <w:r>
                    <w:rPr>
                      <w:rFonts w:hint="eastAsia" w:ascii="宋体" w:hAnsi="宋体"/>
                      <w:bCs/>
                      <w:sz w:val="18"/>
                      <w:szCs w:val="18"/>
                    </w:rPr>
                    <w:t>居民</w:t>
                  </w:r>
                </w:p>
              </w:tc>
              <w:tc>
                <w:tcPr>
                  <w:tcW w:w="1134" w:type="dxa"/>
                  <w:tcBorders>
                    <w:top w:val="single" w:color="auto" w:sz="4" w:space="0"/>
                    <w:left w:val="nil"/>
                    <w:bottom w:val="single" w:color="auto" w:sz="4" w:space="0"/>
                    <w:right w:val="single" w:color="auto" w:sz="4" w:space="0"/>
                  </w:tcBorders>
                  <w:vAlign w:val="center"/>
                </w:tcPr>
                <w:p>
                  <w:pPr>
                    <w:spacing w:line="360" w:lineRule="exact"/>
                    <w:jc w:val="center"/>
                    <w:rPr>
                      <w:bCs/>
                      <w:sz w:val="18"/>
                      <w:szCs w:val="18"/>
                    </w:rPr>
                  </w:pPr>
                  <w:r>
                    <w:rPr>
                      <w:rFonts w:hint="eastAsia"/>
                      <w:bCs/>
                      <w:sz w:val="18"/>
                      <w:szCs w:val="18"/>
                    </w:rPr>
                    <w:t>1户、2人</w:t>
                  </w:r>
                </w:p>
              </w:tc>
              <w:tc>
                <w:tcPr>
                  <w:tcW w:w="2359" w:type="dxa"/>
                  <w:vMerge w:val="continue"/>
                  <w:tcBorders>
                    <w:left w:val="nil"/>
                    <w:right w:val="single" w:color="auto" w:sz="4" w:space="0"/>
                  </w:tcBorders>
                  <w:vAlign w:val="center"/>
                </w:tcPr>
                <w:p>
                  <w:pPr>
                    <w:spacing w:line="36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5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bCs/>
                      <w:sz w:val="18"/>
                      <w:szCs w:val="18"/>
                    </w:rPr>
                  </w:pPr>
                  <w:r>
                    <w:rPr>
                      <w:rFonts w:hint="eastAsia"/>
                      <w:bCs/>
                      <w:sz w:val="18"/>
                      <w:szCs w:val="18"/>
                    </w:rPr>
                    <w:t>3</w:t>
                  </w:r>
                </w:p>
              </w:tc>
              <w:tc>
                <w:tcPr>
                  <w:tcW w:w="955" w:type="dxa"/>
                  <w:vMerge w:val="continue"/>
                  <w:tcBorders>
                    <w:left w:val="nil"/>
                    <w:right w:val="single" w:color="auto" w:sz="4" w:space="0"/>
                  </w:tcBorders>
                  <w:vAlign w:val="center"/>
                </w:tcPr>
                <w:p>
                  <w:pPr>
                    <w:spacing w:line="360" w:lineRule="exact"/>
                    <w:ind w:left="-50" w:leftChars="-24" w:right="-36" w:rightChars="-17"/>
                    <w:jc w:val="center"/>
                    <w:rPr>
                      <w:rFonts w:ascii="宋体" w:hAnsi="宋体"/>
                      <w:bCs/>
                      <w:sz w:val="18"/>
                      <w:szCs w:val="18"/>
                    </w:rPr>
                  </w:pPr>
                </w:p>
              </w:tc>
              <w:tc>
                <w:tcPr>
                  <w:tcW w:w="857" w:type="dxa"/>
                  <w:tcBorders>
                    <w:top w:val="single" w:color="auto" w:sz="4" w:space="0"/>
                    <w:left w:val="nil"/>
                    <w:bottom w:val="single" w:color="auto" w:sz="4" w:space="0"/>
                    <w:right w:val="single" w:color="auto" w:sz="4" w:space="0"/>
                  </w:tcBorders>
                  <w:vAlign w:val="center"/>
                </w:tcPr>
                <w:p>
                  <w:pPr>
                    <w:spacing w:line="360" w:lineRule="exact"/>
                    <w:jc w:val="center"/>
                    <w:rPr>
                      <w:rFonts w:ascii="宋体" w:hAnsi="宋体"/>
                      <w:bCs/>
                      <w:sz w:val="18"/>
                      <w:szCs w:val="18"/>
                    </w:rPr>
                  </w:pPr>
                  <w:r>
                    <w:rPr>
                      <w:rFonts w:hint="eastAsia" w:ascii="宋体" w:hAnsi="宋体"/>
                      <w:bCs/>
                      <w:sz w:val="18"/>
                      <w:szCs w:val="18"/>
                    </w:rPr>
                    <w:t>住户</w:t>
                  </w:r>
                </w:p>
              </w:tc>
              <w:tc>
                <w:tcPr>
                  <w:tcW w:w="1287" w:type="dxa"/>
                  <w:tcBorders>
                    <w:top w:val="single" w:color="auto" w:sz="4" w:space="0"/>
                    <w:left w:val="nil"/>
                    <w:bottom w:val="single" w:color="auto" w:sz="4" w:space="0"/>
                    <w:right w:val="single" w:color="auto" w:sz="4" w:space="0"/>
                  </w:tcBorders>
                  <w:vAlign w:val="center"/>
                </w:tcPr>
                <w:p>
                  <w:pPr>
                    <w:spacing w:line="360" w:lineRule="exact"/>
                    <w:jc w:val="center"/>
                    <w:rPr>
                      <w:rFonts w:ascii="宋体" w:hAnsi="宋体"/>
                      <w:bCs/>
                      <w:sz w:val="18"/>
                      <w:szCs w:val="18"/>
                    </w:rPr>
                  </w:pPr>
                  <w:r>
                    <w:rPr>
                      <w:rFonts w:hint="eastAsia" w:ascii="宋体" w:hAnsi="宋体"/>
                      <w:bCs/>
                      <w:sz w:val="18"/>
                      <w:szCs w:val="18"/>
                    </w:rPr>
                    <w:t>北面、140m</w:t>
                  </w:r>
                </w:p>
              </w:tc>
              <w:tc>
                <w:tcPr>
                  <w:tcW w:w="709" w:type="dxa"/>
                  <w:tcBorders>
                    <w:top w:val="single" w:color="auto" w:sz="4" w:space="0"/>
                    <w:left w:val="nil"/>
                    <w:bottom w:val="single" w:color="auto" w:sz="4" w:space="0"/>
                    <w:right w:val="single" w:color="auto" w:sz="4" w:space="0"/>
                  </w:tcBorders>
                  <w:vAlign w:val="center"/>
                </w:tcPr>
                <w:p>
                  <w:pPr>
                    <w:spacing w:line="360" w:lineRule="exact"/>
                    <w:jc w:val="center"/>
                    <w:rPr>
                      <w:rFonts w:ascii="宋体" w:hAnsi="宋体"/>
                      <w:bCs/>
                      <w:sz w:val="18"/>
                      <w:szCs w:val="18"/>
                    </w:rPr>
                  </w:pPr>
                  <w:r>
                    <w:rPr>
                      <w:rFonts w:hint="eastAsia" w:ascii="宋体" w:hAnsi="宋体"/>
                      <w:bCs/>
                      <w:sz w:val="18"/>
                      <w:szCs w:val="18"/>
                    </w:rPr>
                    <w:t>居民</w:t>
                  </w:r>
                </w:p>
              </w:tc>
              <w:tc>
                <w:tcPr>
                  <w:tcW w:w="1134" w:type="dxa"/>
                  <w:tcBorders>
                    <w:top w:val="single" w:color="auto" w:sz="4" w:space="0"/>
                    <w:left w:val="nil"/>
                    <w:bottom w:val="single" w:color="auto" w:sz="4" w:space="0"/>
                    <w:right w:val="single" w:color="auto" w:sz="4" w:space="0"/>
                  </w:tcBorders>
                  <w:vAlign w:val="center"/>
                </w:tcPr>
                <w:p>
                  <w:pPr>
                    <w:spacing w:line="360" w:lineRule="exact"/>
                    <w:jc w:val="center"/>
                    <w:rPr>
                      <w:bCs/>
                      <w:sz w:val="18"/>
                      <w:szCs w:val="18"/>
                    </w:rPr>
                  </w:pPr>
                  <w:r>
                    <w:rPr>
                      <w:rFonts w:hint="eastAsia"/>
                      <w:bCs/>
                      <w:sz w:val="18"/>
                      <w:szCs w:val="18"/>
                    </w:rPr>
                    <w:t>2户、5人</w:t>
                  </w:r>
                </w:p>
              </w:tc>
              <w:tc>
                <w:tcPr>
                  <w:tcW w:w="2359" w:type="dxa"/>
                  <w:vMerge w:val="continue"/>
                  <w:tcBorders>
                    <w:left w:val="nil"/>
                    <w:right w:val="single" w:color="auto" w:sz="4" w:space="0"/>
                  </w:tcBorders>
                  <w:vAlign w:val="center"/>
                </w:tcPr>
                <w:p>
                  <w:pPr>
                    <w:spacing w:line="36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5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bCs/>
                      <w:sz w:val="18"/>
                      <w:szCs w:val="18"/>
                    </w:rPr>
                  </w:pPr>
                  <w:r>
                    <w:rPr>
                      <w:rFonts w:hint="eastAsia"/>
                      <w:bCs/>
                      <w:sz w:val="18"/>
                      <w:szCs w:val="18"/>
                    </w:rPr>
                    <w:t>4</w:t>
                  </w:r>
                </w:p>
              </w:tc>
              <w:tc>
                <w:tcPr>
                  <w:tcW w:w="955" w:type="dxa"/>
                  <w:vMerge w:val="continue"/>
                  <w:tcBorders>
                    <w:left w:val="nil"/>
                    <w:bottom w:val="single" w:color="auto" w:sz="4" w:space="0"/>
                    <w:right w:val="single" w:color="auto" w:sz="4" w:space="0"/>
                  </w:tcBorders>
                  <w:vAlign w:val="center"/>
                </w:tcPr>
                <w:p>
                  <w:pPr>
                    <w:spacing w:line="360" w:lineRule="exact"/>
                    <w:ind w:left="-50" w:leftChars="-24" w:right="-36" w:rightChars="-17"/>
                    <w:jc w:val="center"/>
                    <w:rPr>
                      <w:rFonts w:ascii="宋体" w:hAnsi="宋体"/>
                      <w:bCs/>
                      <w:sz w:val="18"/>
                      <w:szCs w:val="18"/>
                    </w:rPr>
                  </w:pPr>
                </w:p>
              </w:tc>
              <w:tc>
                <w:tcPr>
                  <w:tcW w:w="857" w:type="dxa"/>
                  <w:tcBorders>
                    <w:top w:val="single" w:color="auto" w:sz="4" w:space="0"/>
                    <w:left w:val="nil"/>
                    <w:bottom w:val="single" w:color="auto" w:sz="4" w:space="0"/>
                    <w:right w:val="single" w:color="auto" w:sz="4" w:space="0"/>
                  </w:tcBorders>
                  <w:vAlign w:val="center"/>
                </w:tcPr>
                <w:p>
                  <w:pPr>
                    <w:spacing w:line="360" w:lineRule="exact"/>
                    <w:jc w:val="center"/>
                    <w:rPr>
                      <w:rFonts w:ascii="宋体" w:hAnsi="宋体"/>
                      <w:bCs/>
                      <w:sz w:val="18"/>
                      <w:szCs w:val="18"/>
                    </w:rPr>
                  </w:pPr>
                  <w:r>
                    <w:rPr>
                      <w:rFonts w:hint="eastAsia" w:ascii="宋体" w:hAnsi="宋体"/>
                      <w:bCs/>
                      <w:sz w:val="18"/>
                      <w:szCs w:val="18"/>
                    </w:rPr>
                    <w:t>住户</w:t>
                  </w:r>
                </w:p>
              </w:tc>
              <w:tc>
                <w:tcPr>
                  <w:tcW w:w="1287" w:type="dxa"/>
                  <w:tcBorders>
                    <w:top w:val="single" w:color="auto" w:sz="4" w:space="0"/>
                    <w:left w:val="nil"/>
                    <w:bottom w:val="single" w:color="auto" w:sz="4" w:space="0"/>
                    <w:right w:val="single" w:color="auto" w:sz="4" w:space="0"/>
                  </w:tcBorders>
                  <w:vAlign w:val="center"/>
                </w:tcPr>
                <w:p>
                  <w:pPr>
                    <w:spacing w:line="360" w:lineRule="exact"/>
                    <w:jc w:val="center"/>
                    <w:rPr>
                      <w:rFonts w:ascii="宋体" w:hAnsi="宋体"/>
                      <w:bCs/>
                      <w:sz w:val="18"/>
                      <w:szCs w:val="18"/>
                    </w:rPr>
                  </w:pPr>
                  <w:r>
                    <w:rPr>
                      <w:rFonts w:hint="eastAsia" w:ascii="宋体" w:hAnsi="宋体"/>
                      <w:bCs/>
                      <w:sz w:val="18"/>
                      <w:szCs w:val="18"/>
                    </w:rPr>
                    <w:t>北面、325m</w:t>
                  </w:r>
                </w:p>
              </w:tc>
              <w:tc>
                <w:tcPr>
                  <w:tcW w:w="709" w:type="dxa"/>
                  <w:tcBorders>
                    <w:top w:val="single" w:color="auto" w:sz="4" w:space="0"/>
                    <w:left w:val="nil"/>
                    <w:bottom w:val="single" w:color="auto" w:sz="4" w:space="0"/>
                    <w:right w:val="single" w:color="auto" w:sz="4" w:space="0"/>
                  </w:tcBorders>
                  <w:vAlign w:val="center"/>
                </w:tcPr>
                <w:p>
                  <w:pPr>
                    <w:spacing w:line="360" w:lineRule="exact"/>
                    <w:jc w:val="center"/>
                    <w:rPr>
                      <w:rFonts w:ascii="宋体" w:hAnsi="宋体"/>
                      <w:bCs/>
                      <w:sz w:val="18"/>
                      <w:szCs w:val="18"/>
                    </w:rPr>
                  </w:pPr>
                  <w:r>
                    <w:rPr>
                      <w:rFonts w:hint="eastAsia" w:ascii="宋体" w:hAnsi="宋体"/>
                      <w:bCs/>
                      <w:sz w:val="18"/>
                      <w:szCs w:val="18"/>
                    </w:rPr>
                    <w:t>居民</w:t>
                  </w:r>
                </w:p>
              </w:tc>
              <w:tc>
                <w:tcPr>
                  <w:tcW w:w="1134" w:type="dxa"/>
                  <w:tcBorders>
                    <w:top w:val="single" w:color="auto" w:sz="4" w:space="0"/>
                    <w:left w:val="nil"/>
                    <w:bottom w:val="single" w:color="auto" w:sz="4" w:space="0"/>
                    <w:right w:val="single" w:color="auto" w:sz="4" w:space="0"/>
                  </w:tcBorders>
                  <w:vAlign w:val="center"/>
                </w:tcPr>
                <w:p>
                  <w:pPr>
                    <w:spacing w:line="360" w:lineRule="exact"/>
                    <w:jc w:val="center"/>
                    <w:rPr>
                      <w:bCs/>
                      <w:sz w:val="18"/>
                      <w:szCs w:val="18"/>
                    </w:rPr>
                  </w:pPr>
                  <w:r>
                    <w:rPr>
                      <w:rFonts w:hint="eastAsia"/>
                      <w:bCs/>
                      <w:sz w:val="18"/>
                      <w:szCs w:val="18"/>
                    </w:rPr>
                    <w:t>6户、14人</w:t>
                  </w:r>
                </w:p>
              </w:tc>
              <w:tc>
                <w:tcPr>
                  <w:tcW w:w="2359" w:type="dxa"/>
                  <w:vMerge w:val="continue"/>
                  <w:tcBorders>
                    <w:left w:val="nil"/>
                    <w:bottom w:val="single" w:color="auto" w:sz="4" w:space="0"/>
                    <w:right w:val="single" w:color="auto" w:sz="4" w:space="0"/>
                  </w:tcBorders>
                  <w:vAlign w:val="center"/>
                </w:tcPr>
                <w:p>
                  <w:pPr>
                    <w:spacing w:line="360" w:lineRule="exact"/>
                    <w:jc w:val="center"/>
                    <w:rPr>
                      <w:rFonts w:ascii="宋体" w:hAnsi="宋体"/>
                      <w:sz w:val="18"/>
                      <w:szCs w:val="18"/>
                    </w:rPr>
                  </w:pPr>
                </w:p>
              </w:tc>
            </w:tr>
          </w:tbl>
          <w:p>
            <w:pPr>
              <w:autoSpaceDE w:val="0"/>
              <w:autoSpaceDN w:val="0"/>
              <w:adjustRightInd w:val="0"/>
              <w:snapToGrid w:val="0"/>
              <w:spacing w:line="400" w:lineRule="exact"/>
              <w:jc w:val="left"/>
              <w:rPr>
                <w:rFonts w:eastAsia="黑体"/>
                <w:bCs/>
                <w:szCs w:val="21"/>
              </w:rPr>
            </w:pPr>
            <w:r>
              <w:rPr>
                <w:rFonts w:eastAsia="黑体"/>
                <w:bCs/>
                <w:szCs w:val="21"/>
              </w:rPr>
              <w:t>2、声环境</w:t>
            </w:r>
          </w:p>
          <w:p>
            <w:pPr>
              <w:autoSpaceDE w:val="0"/>
              <w:autoSpaceDN w:val="0"/>
              <w:adjustRightInd w:val="0"/>
              <w:snapToGrid w:val="0"/>
              <w:spacing w:line="400" w:lineRule="exact"/>
              <w:ind w:firstLine="420" w:firstLineChars="200"/>
              <w:jc w:val="left"/>
              <w:rPr>
                <w:kern w:val="0"/>
                <w:szCs w:val="21"/>
              </w:rPr>
            </w:pPr>
            <w:r>
              <w:rPr>
                <w:kern w:val="0"/>
                <w:szCs w:val="21"/>
              </w:rPr>
              <w:t>根据调查，项目厂界外</w:t>
            </w:r>
            <w:r>
              <w:rPr>
                <w:rFonts w:hint="eastAsia"/>
                <w:kern w:val="0"/>
                <w:szCs w:val="21"/>
              </w:rPr>
              <w:t>50</w:t>
            </w:r>
            <w:r>
              <w:rPr>
                <w:kern w:val="0"/>
                <w:szCs w:val="21"/>
              </w:rPr>
              <w:t>米范围内</w:t>
            </w:r>
            <w:r>
              <w:rPr>
                <w:rFonts w:hint="eastAsia"/>
                <w:kern w:val="0"/>
                <w:szCs w:val="21"/>
              </w:rPr>
              <w:t>无住户等声环境保护目标。</w:t>
            </w:r>
          </w:p>
          <w:p>
            <w:pPr>
              <w:spacing w:line="400" w:lineRule="exact"/>
              <w:jc w:val="center"/>
              <w:rPr>
                <w:rFonts w:eastAsia="黑体"/>
                <w:sz w:val="18"/>
                <w:szCs w:val="18"/>
              </w:rPr>
            </w:pPr>
            <w:r>
              <w:rPr>
                <w:rFonts w:hint="eastAsia" w:ascii="黑体" w:hAnsi="黑体" w:eastAsia="黑体"/>
                <w:sz w:val="18"/>
                <w:szCs w:val="18"/>
              </w:rPr>
              <w:t>表</w:t>
            </w:r>
            <w:r>
              <w:rPr>
                <w:rFonts w:hint="eastAsia" w:eastAsia="黑体"/>
                <w:sz w:val="18"/>
                <w:szCs w:val="18"/>
              </w:rPr>
              <w:t>3-6   声</w:t>
            </w:r>
            <w:r>
              <w:rPr>
                <w:rFonts w:hint="eastAsia" w:ascii="黑体" w:hAnsi="黑体" w:eastAsia="黑体"/>
                <w:sz w:val="18"/>
                <w:szCs w:val="18"/>
              </w:rPr>
              <w:t>环境保护目标</w:t>
            </w:r>
          </w:p>
          <w:tbl>
            <w:tblPr>
              <w:tblStyle w:val="21"/>
              <w:tblW w:w="78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
              <w:gridCol w:w="955"/>
              <w:gridCol w:w="857"/>
              <w:gridCol w:w="1287"/>
              <w:gridCol w:w="709"/>
              <w:gridCol w:w="1134"/>
              <w:gridCol w:w="2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 w:hRule="atLeast"/>
                <w:jc w:val="center"/>
              </w:trPr>
              <w:tc>
                <w:tcPr>
                  <w:tcW w:w="539" w:type="dxa"/>
                  <w:tcBorders>
                    <w:top w:val="single" w:color="auto" w:sz="4" w:space="0"/>
                    <w:left w:val="single" w:color="auto" w:sz="4" w:space="0"/>
                    <w:bottom w:val="single" w:color="auto" w:sz="4" w:space="0"/>
                    <w:right w:val="single" w:color="auto" w:sz="4" w:space="0"/>
                  </w:tcBorders>
                  <w:vAlign w:val="center"/>
                </w:tcPr>
                <w:p>
                  <w:pPr>
                    <w:spacing w:line="360" w:lineRule="exact"/>
                    <w:ind w:left="-40" w:leftChars="-19" w:right="-50" w:rightChars="-24"/>
                    <w:jc w:val="center"/>
                    <w:rPr>
                      <w:b/>
                      <w:sz w:val="18"/>
                      <w:szCs w:val="18"/>
                    </w:rPr>
                  </w:pPr>
                  <w:r>
                    <w:rPr>
                      <w:rFonts w:hint="eastAsia" w:ascii="宋体" w:hAnsi="宋体"/>
                      <w:b/>
                      <w:sz w:val="18"/>
                      <w:szCs w:val="18"/>
                    </w:rPr>
                    <w:t>序号</w:t>
                  </w:r>
                </w:p>
              </w:tc>
              <w:tc>
                <w:tcPr>
                  <w:tcW w:w="955" w:type="dxa"/>
                  <w:tcBorders>
                    <w:top w:val="single" w:color="auto" w:sz="4" w:space="0"/>
                    <w:left w:val="nil"/>
                    <w:bottom w:val="single" w:color="auto" w:sz="4" w:space="0"/>
                    <w:right w:val="single" w:color="auto" w:sz="4" w:space="0"/>
                  </w:tcBorders>
                  <w:vAlign w:val="center"/>
                </w:tcPr>
                <w:p>
                  <w:pPr>
                    <w:spacing w:line="360" w:lineRule="exact"/>
                    <w:jc w:val="center"/>
                    <w:rPr>
                      <w:b/>
                      <w:sz w:val="18"/>
                      <w:szCs w:val="18"/>
                    </w:rPr>
                  </w:pPr>
                  <w:r>
                    <w:rPr>
                      <w:rFonts w:hint="eastAsia" w:ascii="宋体" w:hAnsi="宋体"/>
                      <w:b/>
                      <w:sz w:val="18"/>
                      <w:szCs w:val="18"/>
                    </w:rPr>
                    <w:t>环境要素</w:t>
                  </w:r>
                </w:p>
              </w:tc>
              <w:tc>
                <w:tcPr>
                  <w:tcW w:w="857" w:type="dxa"/>
                  <w:tcBorders>
                    <w:top w:val="single" w:color="auto" w:sz="4" w:space="0"/>
                    <w:left w:val="nil"/>
                    <w:bottom w:val="single" w:color="auto" w:sz="4" w:space="0"/>
                    <w:right w:val="single" w:color="auto" w:sz="4" w:space="0"/>
                  </w:tcBorders>
                  <w:vAlign w:val="center"/>
                </w:tcPr>
                <w:p>
                  <w:pPr>
                    <w:spacing w:line="360" w:lineRule="exact"/>
                    <w:ind w:left="-53" w:leftChars="-25" w:right="-53" w:rightChars="-25"/>
                    <w:jc w:val="center"/>
                    <w:rPr>
                      <w:b/>
                      <w:sz w:val="18"/>
                      <w:szCs w:val="18"/>
                    </w:rPr>
                  </w:pPr>
                  <w:r>
                    <w:rPr>
                      <w:rFonts w:hint="eastAsia" w:ascii="宋体" w:hAnsi="宋体"/>
                      <w:b/>
                      <w:sz w:val="18"/>
                      <w:szCs w:val="18"/>
                    </w:rPr>
                    <w:t>保护目标</w:t>
                  </w:r>
                </w:p>
              </w:tc>
              <w:tc>
                <w:tcPr>
                  <w:tcW w:w="1287" w:type="dxa"/>
                  <w:tcBorders>
                    <w:top w:val="single" w:color="auto" w:sz="4" w:space="0"/>
                    <w:left w:val="nil"/>
                    <w:bottom w:val="single" w:color="auto" w:sz="4" w:space="0"/>
                    <w:right w:val="single" w:color="auto" w:sz="4" w:space="0"/>
                  </w:tcBorders>
                  <w:vAlign w:val="center"/>
                </w:tcPr>
                <w:p>
                  <w:pPr>
                    <w:spacing w:line="360" w:lineRule="exact"/>
                    <w:jc w:val="center"/>
                    <w:rPr>
                      <w:b/>
                      <w:sz w:val="18"/>
                      <w:szCs w:val="18"/>
                    </w:rPr>
                  </w:pPr>
                  <w:r>
                    <w:rPr>
                      <w:rFonts w:hint="eastAsia" w:ascii="宋体" w:hAnsi="宋体"/>
                      <w:b/>
                      <w:sz w:val="18"/>
                      <w:szCs w:val="18"/>
                    </w:rPr>
                    <w:t>方位及距离</w:t>
                  </w:r>
                </w:p>
              </w:tc>
              <w:tc>
                <w:tcPr>
                  <w:tcW w:w="709" w:type="dxa"/>
                  <w:tcBorders>
                    <w:top w:val="single" w:color="auto" w:sz="4" w:space="0"/>
                    <w:left w:val="nil"/>
                    <w:bottom w:val="single" w:color="auto" w:sz="4" w:space="0"/>
                    <w:right w:val="single" w:color="auto" w:sz="4" w:space="0"/>
                  </w:tcBorders>
                  <w:vAlign w:val="center"/>
                </w:tcPr>
                <w:p>
                  <w:pPr>
                    <w:spacing w:line="360" w:lineRule="exact"/>
                    <w:jc w:val="center"/>
                    <w:rPr>
                      <w:b/>
                      <w:sz w:val="18"/>
                      <w:szCs w:val="18"/>
                    </w:rPr>
                  </w:pPr>
                  <w:r>
                    <w:rPr>
                      <w:rFonts w:hint="eastAsia" w:ascii="宋体" w:hAnsi="宋体"/>
                      <w:b/>
                      <w:sz w:val="18"/>
                      <w:szCs w:val="18"/>
                    </w:rPr>
                    <w:t>类别</w:t>
                  </w:r>
                </w:p>
              </w:tc>
              <w:tc>
                <w:tcPr>
                  <w:tcW w:w="1134" w:type="dxa"/>
                  <w:tcBorders>
                    <w:top w:val="single" w:color="auto" w:sz="4" w:space="0"/>
                    <w:left w:val="nil"/>
                    <w:bottom w:val="single" w:color="auto" w:sz="4" w:space="0"/>
                    <w:right w:val="single" w:color="auto" w:sz="4" w:space="0"/>
                  </w:tcBorders>
                  <w:vAlign w:val="center"/>
                </w:tcPr>
                <w:p>
                  <w:pPr>
                    <w:spacing w:line="360" w:lineRule="exact"/>
                    <w:jc w:val="center"/>
                    <w:rPr>
                      <w:b/>
                      <w:sz w:val="18"/>
                      <w:szCs w:val="18"/>
                    </w:rPr>
                  </w:pPr>
                  <w:r>
                    <w:rPr>
                      <w:rFonts w:hint="eastAsia" w:ascii="宋体" w:hAnsi="宋体"/>
                      <w:b/>
                      <w:sz w:val="18"/>
                      <w:szCs w:val="18"/>
                    </w:rPr>
                    <w:t>规模</w:t>
                  </w:r>
                </w:p>
              </w:tc>
              <w:tc>
                <w:tcPr>
                  <w:tcW w:w="2359" w:type="dxa"/>
                  <w:tcBorders>
                    <w:top w:val="single" w:color="auto" w:sz="4" w:space="0"/>
                    <w:left w:val="nil"/>
                    <w:bottom w:val="single" w:color="auto" w:sz="4" w:space="0"/>
                    <w:right w:val="single" w:color="auto" w:sz="4" w:space="0"/>
                  </w:tcBorders>
                  <w:vAlign w:val="center"/>
                </w:tcPr>
                <w:p>
                  <w:pPr>
                    <w:spacing w:line="360" w:lineRule="exact"/>
                    <w:jc w:val="center"/>
                    <w:rPr>
                      <w:b/>
                      <w:sz w:val="18"/>
                      <w:szCs w:val="18"/>
                    </w:rPr>
                  </w:pPr>
                  <w:r>
                    <w:rPr>
                      <w:rFonts w:hint="eastAsia" w:ascii="宋体" w:hAnsi="宋体"/>
                      <w:b/>
                      <w:sz w:val="18"/>
                      <w:szCs w:val="18"/>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5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bCs/>
                      <w:sz w:val="18"/>
                      <w:szCs w:val="18"/>
                    </w:rPr>
                  </w:pPr>
                  <w:r>
                    <w:rPr>
                      <w:bCs/>
                      <w:sz w:val="18"/>
                      <w:szCs w:val="18"/>
                    </w:rPr>
                    <w:t>1</w:t>
                  </w:r>
                </w:p>
              </w:tc>
              <w:tc>
                <w:tcPr>
                  <w:tcW w:w="955" w:type="dxa"/>
                  <w:vMerge w:val="restart"/>
                  <w:tcBorders>
                    <w:top w:val="single" w:color="auto" w:sz="4" w:space="0"/>
                    <w:left w:val="nil"/>
                    <w:right w:val="single" w:color="auto" w:sz="4" w:space="0"/>
                  </w:tcBorders>
                  <w:vAlign w:val="center"/>
                </w:tcPr>
                <w:p>
                  <w:pPr>
                    <w:spacing w:line="360" w:lineRule="exact"/>
                    <w:ind w:left="-50" w:leftChars="-24" w:right="-36" w:rightChars="-17"/>
                    <w:jc w:val="center"/>
                    <w:rPr>
                      <w:bCs/>
                      <w:sz w:val="18"/>
                      <w:szCs w:val="18"/>
                    </w:rPr>
                  </w:pPr>
                  <w:r>
                    <w:rPr>
                      <w:rFonts w:hint="eastAsia" w:ascii="宋体" w:hAnsi="宋体"/>
                      <w:bCs/>
                      <w:sz w:val="18"/>
                      <w:szCs w:val="18"/>
                    </w:rPr>
                    <w:t>环境空气</w:t>
                  </w:r>
                </w:p>
              </w:tc>
              <w:tc>
                <w:tcPr>
                  <w:tcW w:w="857" w:type="dxa"/>
                  <w:tcBorders>
                    <w:top w:val="single" w:color="auto" w:sz="4" w:space="0"/>
                    <w:left w:val="nil"/>
                    <w:bottom w:val="single" w:color="auto" w:sz="4" w:space="0"/>
                    <w:right w:val="single" w:color="auto" w:sz="4" w:space="0"/>
                  </w:tcBorders>
                  <w:vAlign w:val="center"/>
                </w:tcPr>
                <w:p>
                  <w:pPr>
                    <w:spacing w:line="360" w:lineRule="exact"/>
                    <w:jc w:val="center"/>
                    <w:rPr>
                      <w:rFonts w:cs="宋体"/>
                      <w:bCs/>
                      <w:sz w:val="18"/>
                      <w:szCs w:val="18"/>
                    </w:rPr>
                  </w:pPr>
                  <w:r>
                    <w:rPr>
                      <w:rFonts w:hint="eastAsia" w:ascii="宋体" w:hAnsi="宋体"/>
                      <w:bCs/>
                      <w:sz w:val="18"/>
                      <w:szCs w:val="18"/>
                    </w:rPr>
                    <w:t>住户</w:t>
                  </w:r>
                </w:p>
              </w:tc>
              <w:tc>
                <w:tcPr>
                  <w:tcW w:w="1287" w:type="dxa"/>
                  <w:tcBorders>
                    <w:top w:val="single" w:color="auto" w:sz="4" w:space="0"/>
                    <w:left w:val="nil"/>
                    <w:bottom w:val="single" w:color="auto" w:sz="4" w:space="0"/>
                    <w:right w:val="single" w:color="auto" w:sz="4" w:space="0"/>
                  </w:tcBorders>
                  <w:vAlign w:val="center"/>
                </w:tcPr>
                <w:p>
                  <w:pPr>
                    <w:spacing w:line="360" w:lineRule="exact"/>
                    <w:jc w:val="center"/>
                    <w:rPr>
                      <w:rFonts w:cs="宋体"/>
                      <w:bCs/>
                      <w:sz w:val="18"/>
                      <w:szCs w:val="18"/>
                    </w:rPr>
                  </w:pPr>
                  <w:r>
                    <w:rPr>
                      <w:rFonts w:hint="eastAsia" w:ascii="宋体" w:hAnsi="宋体"/>
                      <w:bCs/>
                      <w:sz w:val="18"/>
                      <w:szCs w:val="18"/>
                    </w:rPr>
                    <w:t>西面、</w:t>
                  </w:r>
                  <w:r>
                    <w:rPr>
                      <w:rFonts w:hint="eastAsia"/>
                      <w:bCs/>
                      <w:sz w:val="18"/>
                      <w:szCs w:val="18"/>
                    </w:rPr>
                    <w:t>120m</w:t>
                  </w:r>
                </w:p>
              </w:tc>
              <w:tc>
                <w:tcPr>
                  <w:tcW w:w="709" w:type="dxa"/>
                  <w:tcBorders>
                    <w:top w:val="single" w:color="auto" w:sz="4" w:space="0"/>
                    <w:left w:val="nil"/>
                    <w:bottom w:val="single" w:color="auto" w:sz="4" w:space="0"/>
                    <w:right w:val="single" w:color="auto" w:sz="4" w:space="0"/>
                  </w:tcBorders>
                  <w:vAlign w:val="center"/>
                </w:tcPr>
                <w:p>
                  <w:pPr>
                    <w:spacing w:line="360" w:lineRule="exact"/>
                    <w:jc w:val="center"/>
                    <w:rPr>
                      <w:bCs/>
                      <w:sz w:val="18"/>
                      <w:szCs w:val="18"/>
                    </w:rPr>
                  </w:pPr>
                  <w:r>
                    <w:rPr>
                      <w:rFonts w:hint="eastAsia" w:ascii="宋体" w:hAnsi="宋体"/>
                      <w:bCs/>
                      <w:sz w:val="18"/>
                      <w:szCs w:val="18"/>
                    </w:rPr>
                    <w:t>居民</w:t>
                  </w:r>
                </w:p>
              </w:tc>
              <w:tc>
                <w:tcPr>
                  <w:tcW w:w="1134" w:type="dxa"/>
                  <w:tcBorders>
                    <w:top w:val="single" w:color="auto" w:sz="4" w:space="0"/>
                    <w:left w:val="nil"/>
                    <w:bottom w:val="single" w:color="auto" w:sz="4" w:space="0"/>
                    <w:right w:val="single" w:color="auto" w:sz="4" w:space="0"/>
                  </w:tcBorders>
                  <w:vAlign w:val="center"/>
                </w:tcPr>
                <w:p>
                  <w:pPr>
                    <w:spacing w:line="360" w:lineRule="exact"/>
                    <w:jc w:val="center"/>
                    <w:rPr>
                      <w:bCs/>
                      <w:sz w:val="18"/>
                      <w:szCs w:val="18"/>
                    </w:rPr>
                  </w:pPr>
                  <w:r>
                    <w:rPr>
                      <w:rFonts w:hint="eastAsia"/>
                      <w:bCs/>
                      <w:sz w:val="18"/>
                      <w:szCs w:val="18"/>
                    </w:rPr>
                    <w:t>4</w:t>
                  </w:r>
                  <w:r>
                    <w:rPr>
                      <w:rFonts w:hint="eastAsia" w:ascii="宋体" w:hAnsi="宋体"/>
                      <w:bCs/>
                      <w:sz w:val="18"/>
                      <w:szCs w:val="18"/>
                    </w:rPr>
                    <w:t>户、</w:t>
                  </w:r>
                  <w:r>
                    <w:rPr>
                      <w:rFonts w:hint="eastAsia"/>
                      <w:bCs/>
                      <w:sz w:val="18"/>
                      <w:szCs w:val="18"/>
                    </w:rPr>
                    <w:t>10</w:t>
                  </w:r>
                  <w:r>
                    <w:rPr>
                      <w:rFonts w:hint="eastAsia" w:ascii="宋体" w:hAnsi="宋体"/>
                      <w:bCs/>
                      <w:sz w:val="18"/>
                      <w:szCs w:val="18"/>
                    </w:rPr>
                    <w:t>人</w:t>
                  </w:r>
                </w:p>
              </w:tc>
              <w:tc>
                <w:tcPr>
                  <w:tcW w:w="2359" w:type="dxa"/>
                  <w:tcBorders>
                    <w:top w:val="single" w:color="auto" w:sz="4" w:space="0"/>
                    <w:left w:val="nil"/>
                    <w:right w:val="single" w:color="auto" w:sz="4" w:space="0"/>
                  </w:tcBorders>
                  <w:vAlign w:val="center"/>
                </w:tcPr>
                <w:p>
                  <w:pPr>
                    <w:spacing w:line="360" w:lineRule="exact"/>
                    <w:jc w:val="center"/>
                    <w:rPr>
                      <w:sz w:val="18"/>
                      <w:szCs w:val="18"/>
                    </w:rPr>
                  </w:pPr>
                  <w:r>
                    <w:rPr>
                      <w:rFonts w:hint="eastAsia" w:ascii="宋体" w:hAnsi="宋体"/>
                      <w:sz w:val="18"/>
                      <w:szCs w:val="18"/>
                    </w:rPr>
                    <w:t>《声环境质量标准》（GB3096-2008）2类声环境功能区限值标准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5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bCs/>
                      <w:sz w:val="18"/>
                      <w:szCs w:val="18"/>
                    </w:rPr>
                  </w:pPr>
                  <w:r>
                    <w:rPr>
                      <w:rFonts w:hint="eastAsia"/>
                      <w:bCs/>
                      <w:sz w:val="18"/>
                      <w:szCs w:val="18"/>
                    </w:rPr>
                    <w:t>2</w:t>
                  </w:r>
                </w:p>
              </w:tc>
              <w:tc>
                <w:tcPr>
                  <w:tcW w:w="955" w:type="dxa"/>
                  <w:vMerge w:val="continue"/>
                  <w:tcBorders>
                    <w:left w:val="nil"/>
                    <w:right w:val="single" w:color="auto" w:sz="4" w:space="0"/>
                  </w:tcBorders>
                  <w:vAlign w:val="center"/>
                </w:tcPr>
                <w:p>
                  <w:pPr>
                    <w:spacing w:line="360" w:lineRule="exact"/>
                    <w:ind w:left="-50" w:leftChars="-24" w:right="-36" w:rightChars="-17"/>
                    <w:jc w:val="center"/>
                    <w:rPr>
                      <w:rFonts w:ascii="宋体" w:hAnsi="宋体"/>
                      <w:bCs/>
                      <w:sz w:val="18"/>
                      <w:szCs w:val="18"/>
                    </w:rPr>
                  </w:pPr>
                </w:p>
              </w:tc>
              <w:tc>
                <w:tcPr>
                  <w:tcW w:w="857" w:type="dxa"/>
                  <w:tcBorders>
                    <w:top w:val="single" w:color="auto" w:sz="4" w:space="0"/>
                    <w:left w:val="nil"/>
                    <w:bottom w:val="single" w:color="auto" w:sz="4" w:space="0"/>
                    <w:right w:val="single" w:color="auto" w:sz="4" w:space="0"/>
                  </w:tcBorders>
                  <w:vAlign w:val="center"/>
                </w:tcPr>
                <w:p>
                  <w:pPr>
                    <w:spacing w:line="360" w:lineRule="exact"/>
                    <w:jc w:val="center"/>
                    <w:rPr>
                      <w:rFonts w:ascii="宋体" w:hAnsi="宋体"/>
                      <w:bCs/>
                      <w:sz w:val="18"/>
                      <w:szCs w:val="18"/>
                    </w:rPr>
                  </w:pPr>
                  <w:r>
                    <w:rPr>
                      <w:rFonts w:hint="eastAsia" w:ascii="宋体" w:hAnsi="宋体"/>
                      <w:bCs/>
                      <w:sz w:val="18"/>
                      <w:szCs w:val="18"/>
                    </w:rPr>
                    <w:t>住户</w:t>
                  </w:r>
                </w:p>
              </w:tc>
              <w:tc>
                <w:tcPr>
                  <w:tcW w:w="1287" w:type="dxa"/>
                  <w:tcBorders>
                    <w:top w:val="single" w:color="auto" w:sz="4" w:space="0"/>
                    <w:left w:val="nil"/>
                    <w:bottom w:val="single" w:color="auto" w:sz="4" w:space="0"/>
                    <w:right w:val="single" w:color="auto" w:sz="4" w:space="0"/>
                  </w:tcBorders>
                  <w:vAlign w:val="center"/>
                </w:tcPr>
                <w:p>
                  <w:pPr>
                    <w:spacing w:line="360" w:lineRule="exact"/>
                    <w:jc w:val="center"/>
                    <w:rPr>
                      <w:rFonts w:ascii="宋体" w:hAnsi="宋体"/>
                      <w:bCs/>
                      <w:sz w:val="18"/>
                      <w:szCs w:val="18"/>
                    </w:rPr>
                  </w:pPr>
                  <w:r>
                    <w:rPr>
                      <w:rFonts w:hint="eastAsia" w:ascii="宋体" w:hAnsi="宋体"/>
                      <w:bCs/>
                      <w:sz w:val="18"/>
                      <w:szCs w:val="18"/>
                    </w:rPr>
                    <w:t>北面、45m</w:t>
                  </w:r>
                </w:p>
              </w:tc>
              <w:tc>
                <w:tcPr>
                  <w:tcW w:w="709" w:type="dxa"/>
                  <w:tcBorders>
                    <w:top w:val="single" w:color="auto" w:sz="4" w:space="0"/>
                    <w:left w:val="nil"/>
                    <w:bottom w:val="single" w:color="auto" w:sz="4" w:space="0"/>
                    <w:right w:val="single" w:color="auto" w:sz="4" w:space="0"/>
                  </w:tcBorders>
                  <w:vAlign w:val="center"/>
                </w:tcPr>
                <w:p>
                  <w:pPr>
                    <w:spacing w:line="360" w:lineRule="exact"/>
                    <w:jc w:val="center"/>
                    <w:rPr>
                      <w:rFonts w:ascii="宋体" w:hAnsi="宋体"/>
                      <w:bCs/>
                      <w:sz w:val="18"/>
                      <w:szCs w:val="18"/>
                    </w:rPr>
                  </w:pPr>
                  <w:r>
                    <w:rPr>
                      <w:rFonts w:hint="eastAsia" w:ascii="宋体" w:hAnsi="宋体"/>
                      <w:bCs/>
                      <w:sz w:val="18"/>
                      <w:szCs w:val="18"/>
                    </w:rPr>
                    <w:t>居民</w:t>
                  </w:r>
                </w:p>
              </w:tc>
              <w:tc>
                <w:tcPr>
                  <w:tcW w:w="1134" w:type="dxa"/>
                  <w:tcBorders>
                    <w:top w:val="single" w:color="auto" w:sz="4" w:space="0"/>
                    <w:left w:val="nil"/>
                    <w:bottom w:val="single" w:color="auto" w:sz="4" w:space="0"/>
                    <w:right w:val="single" w:color="auto" w:sz="4" w:space="0"/>
                  </w:tcBorders>
                  <w:vAlign w:val="center"/>
                </w:tcPr>
                <w:p>
                  <w:pPr>
                    <w:spacing w:line="360" w:lineRule="exact"/>
                    <w:jc w:val="center"/>
                    <w:rPr>
                      <w:bCs/>
                      <w:sz w:val="18"/>
                      <w:szCs w:val="18"/>
                    </w:rPr>
                  </w:pPr>
                  <w:r>
                    <w:rPr>
                      <w:rFonts w:hint="eastAsia"/>
                      <w:bCs/>
                      <w:sz w:val="18"/>
                      <w:szCs w:val="18"/>
                    </w:rPr>
                    <w:t>1户、2人</w:t>
                  </w:r>
                </w:p>
              </w:tc>
              <w:tc>
                <w:tcPr>
                  <w:tcW w:w="2359" w:type="dxa"/>
                  <w:vMerge w:val="restart"/>
                  <w:tcBorders>
                    <w:left w:val="nil"/>
                    <w:right w:val="single" w:color="auto" w:sz="4" w:space="0"/>
                  </w:tcBorders>
                  <w:vAlign w:val="center"/>
                </w:tcPr>
                <w:p>
                  <w:pPr>
                    <w:spacing w:line="360" w:lineRule="exact"/>
                    <w:jc w:val="center"/>
                    <w:rPr>
                      <w:rFonts w:ascii="宋体" w:hAnsi="宋体"/>
                      <w:sz w:val="18"/>
                      <w:szCs w:val="18"/>
                    </w:rPr>
                  </w:pPr>
                  <w:r>
                    <w:rPr>
                      <w:rFonts w:hint="eastAsia" w:ascii="宋体" w:hAnsi="宋体"/>
                      <w:sz w:val="18"/>
                      <w:szCs w:val="18"/>
                    </w:rPr>
                    <w:t>《声环境质量标准》（GB3096-2008）4a类声环境功能区限值标准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5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bCs/>
                      <w:sz w:val="18"/>
                      <w:szCs w:val="18"/>
                    </w:rPr>
                  </w:pPr>
                  <w:r>
                    <w:rPr>
                      <w:rFonts w:hint="eastAsia"/>
                      <w:bCs/>
                      <w:sz w:val="18"/>
                      <w:szCs w:val="18"/>
                    </w:rPr>
                    <w:t>3</w:t>
                  </w:r>
                </w:p>
              </w:tc>
              <w:tc>
                <w:tcPr>
                  <w:tcW w:w="955" w:type="dxa"/>
                  <w:vMerge w:val="continue"/>
                  <w:tcBorders>
                    <w:left w:val="nil"/>
                    <w:right w:val="single" w:color="auto" w:sz="4" w:space="0"/>
                  </w:tcBorders>
                  <w:vAlign w:val="center"/>
                </w:tcPr>
                <w:p>
                  <w:pPr>
                    <w:spacing w:line="360" w:lineRule="exact"/>
                    <w:ind w:left="-50" w:leftChars="-24" w:right="-36" w:rightChars="-17"/>
                    <w:jc w:val="center"/>
                    <w:rPr>
                      <w:rFonts w:ascii="宋体" w:hAnsi="宋体"/>
                      <w:bCs/>
                      <w:sz w:val="18"/>
                      <w:szCs w:val="18"/>
                    </w:rPr>
                  </w:pPr>
                </w:p>
              </w:tc>
              <w:tc>
                <w:tcPr>
                  <w:tcW w:w="857" w:type="dxa"/>
                  <w:tcBorders>
                    <w:top w:val="single" w:color="auto" w:sz="4" w:space="0"/>
                    <w:left w:val="nil"/>
                    <w:bottom w:val="single" w:color="auto" w:sz="4" w:space="0"/>
                    <w:right w:val="single" w:color="auto" w:sz="4" w:space="0"/>
                  </w:tcBorders>
                  <w:vAlign w:val="center"/>
                </w:tcPr>
                <w:p>
                  <w:pPr>
                    <w:spacing w:line="360" w:lineRule="exact"/>
                    <w:jc w:val="center"/>
                    <w:rPr>
                      <w:rFonts w:ascii="宋体" w:hAnsi="宋体"/>
                      <w:bCs/>
                      <w:sz w:val="18"/>
                      <w:szCs w:val="18"/>
                    </w:rPr>
                  </w:pPr>
                  <w:r>
                    <w:rPr>
                      <w:rFonts w:hint="eastAsia" w:ascii="宋体" w:hAnsi="宋体"/>
                      <w:bCs/>
                      <w:sz w:val="18"/>
                      <w:szCs w:val="18"/>
                    </w:rPr>
                    <w:t>住户</w:t>
                  </w:r>
                </w:p>
              </w:tc>
              <w:tc>
                <w:tcPr>
                  <w:tcW w:w="1287" w:type="dxa"/>
                  <w:tcBorders>
                    <w:top w:val="single" w:color="auto" w:sz="4" w:space="0"/>
                    <w:left w:val="nil"/>
                    <w:bottom w:val="single" w:color="auto" w:sz="4" w:space="0"/>
                    <w:right w:val="single" w:color="auto" w:sz="4" w:space="0"/>
                  </w:tcBorders>
                  <w:vAlign w:val="center"/>
                </w:tcPr>
                <w:p>
                  <w:pPr>
                    <w:spacing w:line="360" w:lineRule="exact"/>
                    <w:jc w:val="center"/>
                    <w:rPr>
                      <w:rFonts w:ascii="宋体" w:hAnsi="宋体"/>
                      <w:bCs/>
                      <w:sz w:val="18"/>
                      <w:szCs w:val="18"/>
                    </w:rPr>
                  </w:pPr>
                  <w:r>
                    <w:rPr>
                      <w:rFonts w:hint="eastAsia" w:ascii="宋体" w:hAnsi="宋体"/>
                      <w:bCs/>
                      <w:sz w:val="18"/>
                      <w:szCs w:val="18"/>
                    </w:rPr>
                    <w:t>北面、140m</w:t>
                  </w:r>
                </w:p>
              </w:tc>
              <w:tc>
                <w:tcPr>
                  <w:tcW w:w="709" w:type="dxa"/>
                  <w:tcBorders>
                    <w:top w:val="single" w:color="auto" w:sz="4" w:space="0"/>
                    <w:left w:val="nil"/>
                    <w:bottom w:val="single" w:color="auto" w:sz="4" w:space="0"/>
                    <w:right w:val="single" w:color="auto" w:sz="4" w:space="0"/>
                  </w:tcBorders>
                  <w:vAlign w:val="center"/>
                </w:tcPr>
                <w:p>
                  <w:pPr>
                    <w:spacing w:line="360" w:lineRule="exact"/>
                    <w:jc w:val="center"/>
                    <w:rPr>
                      <w:rFonts w:ascii="宋体" w:hAnsi="宋体"/>
                      <w:bCs/>
                      <w:sz w:val="18"/>
                      <w:szCs w:val="18"/>
                    </w:rPr>
                  </w:pPr>
                  <w:r>
                    <w:rPr>
                      <w:rFonts w:hint="eastAsia" w:ascii="宋体" w:hAnsi="宋体"/>
                      <w:bCs/>
                      <w:sz w:val="18"/>
                      <w:szCs w:val="18"/>
                    </w:rPr>
                    <w:t>居民</w:t>
                  </w:r>
                </w:p>
              </w:tc>
              <w:tc>
                <w:tcPr>
                  <w:tcW w:w="1134" w:type="dxa"/>
                  <w:tcBorders>
                    <w:top w:val="single" w:color="auto" w:sz="4" w:space="0"/>
                    <w:left w:val="nil"/>
                    <w:bottom w:val="single" w:color="auto" w:sz="4" w:space="0"/>
                    <w:right w:val="single" w:color="auto" w:sz="4" w:space="0"/>
                  </w:tcBorders>
                  <w:vAlign w:val="center"/>
                </w:tcPr>
                <w:p>
                  <w:pPr>
                    <w:spacing w:line="360" w:lineRule="exact"/>
                    <w:jc w:val="center"/>
                    <w:rPr>
                      <w:bCs/>
                      <w:sz w:val="18"/>
                      <w:szCs w:val="18"/>
                    </w:rPr>
                  </w:pPr>
                  <w:r>
                    <w:rPr>
                      <w:rFonts w:hint="eastAsia"/>
                      <w:bCs/>
                      <w:sz w:val="18"/>
                      <w:szCs w:val="18"/>
                    </w:rPr>
                    <w:t>2户、5人</w:t>
                  </w:r>
                </w:p>
              </w:tc>
              <w:tc>
                <w:tcPr>
                  <w:tcW w:w="2359" w:type="dxa"/>
                  <w:vMerge w:val="continue"/>
                  <w:tcBorders>
                    <w:left w:val="nil"/>
                    <w:right w:val="single" w:color="auto" w:sz="4" w:space="0"/>
                  </w:tcBorders>
                  <w:vAlign w:val="center"/>
                </w:tcPr>
                <w:p>
                  <w:pPr>
                    <w:spacing w:line="360" w:lineRule="exact"/>
                    <w:jc w:val="center"/>
                    <w:rPr>
                      <w:rFonts w:ascii="宋体" w:hAnsi="宋体"/>
                      <w:sz w:val="18"/>
                      <w:szCs w:val="18"/>
                    </w:rPr>
                  </w:pPr>
                </w:p>
              </w:tc>
            </w:tr>
          </w:tbl>
          <w:p>
            <w:pPr>
              <w:adjustRightInd w:val="0"/>
              <w:snapToGrid w:val="0"/>
              <w:spacing w:line="360" w:lineRule="exact"/>
              <w:ind w:left="-53" w:leftChars="-25" w:right="-53" w:rightChars="-25"/>
              <w:jc w:val="left"/>
              <w:rPr>
                <w:rFonts w:eastAsia="黑体"/>
                <w:bCs/>
                <w:szCs w:val="21"/>
              </w:rPr>
            </w:pPr>
            <w:r>
              <w:rPr>
                <w:rFonts w:eastAsia="黑体"/>
                <w:bCs/>
                <w:szCs w:val="21"/>
              </w:rPr>
              <w:t>3、地表水环境</w:t>
            </w:r>
          </w:p>
          <w:p>
            <w:pPr>
              <w:autoSpaceDE w:val="0"/>
              <w:autoSpaceDN w:val="0"/>
              <w:adjustRightInd w:val="0"/>
              <w:snapToGrid w:val="0"/>
              <w:spacing w:line="400" w:lineRule="exact"/>
              <w:ind w:firstLine="420" w:firstLineChars="200"/>
            </w:pPr>
            <w:r>
              <w:rPr>
                <w:rFonts w:ascii="宋体" w:hAnsi="宋体"/>
              </w:rPr>
              <w:t>本项目附近水体为双龙河，项目区河段无饮用水水源保护区、饮用水取水口，涉水的自然保护区、风景名胜区，重要湿地、重点保护与珍稀水生生物的栖息地、重要水生生物的自然产卵场及索饵场、越冬场和洄游通道，天然渔场等渔业水体，以及水产种质资源保护区等环境保护目标，地表水主要保护双龙河水质不因本项目实施发生恶化。</w:t>
            </w:r>
          </w:p>
          <w:p>
            <w:pPr>
              <w:adjustRightInd w:val="0"/>
              <w:snapToGrid w:val="0"/>
              <w:spacing w:line="400" w:lineRule="exact"/>
              <w:ind w:left="-53" w:leftChars="-25" w:right="-53" w:rightChars="-25" w:firstLine="420" w:firstLineChars="200"/>
              <w:jc w:val="left"/>
              <w:rPr>
                <w:kern w:val="0"/>
              </w:rPr>
            </w:pPr>
            <w:r>
              <w:rPr>
                <w:rFonts w:ascii="宋体" w:hAnsi="宋体"/>
              </w:rPr>
              <w:t>根据本项目附近水环境类别，确定其保护目标和级别见下表。</w:t>
            </w:r>
            <w:r>
              <w:rPr>
                <w:kern w:val="0"/>
              </w:rPr>
              <w:t xml:space="preserve"> </w:t>
            </w:r>
          </w:p>
          <w:p>
            <w:pPr>
              <w:autoSpaceDE w:val="0"/>
              <w:autoSpaceDN w:val="0"/>
              <w:adjustRightInd w:val="0"/>
              <w:snapToGrid w:val="0"/>
              <w:spacing w:line="360" w:lineRule="exact"/>
              <w:jc w:val="center"/>
              <w:rPr>
                <w:rFonts w:eastAsia="黑体"/>
                <w:sz w:val="18"/>
                <w:szCs w:val="20"/>
              </w:rPr>
            </w:pPr>
            <w:r>
              <w:rPr>
                <w:rFonts w:ascii="黑体" w:hAnsi="黑体" w:eastAsia="黑体"/>
                <w:sz w:val="18"/>
                <w:szCs w:val="20"/>
              </w:rPr>
              <w:t>表</w:t>
            </w:r>
            <w:r>
              <w:rPr>
                <w:rFonts w:hint="eastAsia" w:ascii="黑体" w:hAnsi="黑体" w:eastAsia="黑体"/>
                <w:sz w:val="18"/>
                <w:szCs w:val="20"/>
              </w:rPr>
              <w:t xml:space="preserve">3-5  </w:t>
            </w:r>
            <w:r>
              <w:rPr>
                <w:rFonts w:ascii="黑体" w:hAnsi="黑体" w:eastAsia="黑体"/>
                <w:sz w:val="18"/>
                <w:szCs w:val="20"/>
              </w:rPr>
              <w:t>本项目地表水环境保护目标</w:t>
            </w:r>
          </w:p>
          <w:tbl>
            <w:tblPr>
              <w:tblStyle w:val="21"/>
              <w:tblW w:w="77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4" w:type="dxa"/>
                <w:bottom w:w="0" w:type="dxa"/>
                <w:right w:w="14" w:type="dxa"/>
              </w:tblCellMar>
            </w:tblPr>
            <w:tblGrid>
              <w:gridCol w:w="702"/>
              <w:gridCol w:w="1373"/>
              <w:gridCol w:w="1095"/>
              <w:gridCol w:w="1994"/>
              <w:gridCol w:w="2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 w:type="dxa"/>
                  <w:bottom w:w="0" w:type="dxa"/>
                  <w:right w:w="14" w:type="dxa"/>
                </w:tblCellMar>
              </w:tblPrEx>
              <w:trPr>
                <w:cantSplit/>
                <w:trHeight w:val="200" w:hRule="atLeast"/>
                <w:jc w:val="center"/>
              </w:trPr>
              <w:tc>
                <w:tcPr>
                  <w:tcW w:w="702" w:type="dxa"/>
                  <w:vAlign w:val="center"/>
                </w:tcPr>
                <w:p>
                  <w:pPr>
                    <w:pStyle w:val="66"/>
                    <w:snapToGrid w:val="0"/>
                    <w:spacing w:beforeLines="0" w:afterLines="0" w:line="300" w:lineRule="exact"/>
                    <w:rPr>
                      <w:b/>
                      <w:bCs/>
                      <w:sz w:val="18"/>
                      <w:szCs w:val="18"/>
                    </w:rPr>
                  </w:pPr>
                  <w:r>
                    <w:rPr>
                      <w:rFonts w:ascii="宋体" w:hAnsi="宋体"/>
                      <w:b/>
                      <w:bCs/>
                      <w:sz w:val="18"/>
                      <w:szCs w:val="18"/>
                    </w:rPr>
                    <w:t>序号</w:t>
                  </w:r>
                </w:p>
              </w:tc>
              <w:tc>
                <w:tcPr>
                  <w:tcW w:w="1373" w:type="dxa"/>
                  <w:vAlign w:val="center"/>
                </w:tcPr>
                <w:p>
                  <w:pPr>
                    <w:pStyle w:val="66"/>
                    <w:snapToGrid w:val="0"/>
                    <w:spacing w:beforeLines="0" w:afterLines="0" w:line="300" w:lineRule="exact"/>
                    <w:rPr>
                      <w:b/>
                      <w:bCs/>
                      <w:sz w:val="18"/>
                      <w:szCs w:val="18"/>
                    </w:rPr>
                  </w:pPr>
                  <w:r>
                    <w:rPr>
                      <w:rFonts w:ascii="宋体" w:hAnsi="宋体"/>
                      <w:b/>
                      <w:bCs/>
                      <w:sz w:val="18"/>
                      <w:szCs w:val="18"/>
                    </w:rPr>
                    <w:t>目标名称</w:t>
                  </w:r>
                </w:p>
              </w:tc>
              <w:tc>
                <w:tcPr>
                  <w:tcW w:w="1095" w:type="dxa"/>
                  <w:vAlign w:val="center"/>
                </w:tcPr>
                <w:p>
                  <w:pPr>
                    <w:pStyle w:val="66"/>
                    <w:snapToGrid w:val="0"/>
                    <w:spacing w:beforeLines="0" w:afterLines="0" w:line="300" w:lineRule="exact"/>
                    <w:rPr>
                      <w:b/>
                      <w:bCs/>
                      <w:sz w:val="18"/>
                      <w:szCs w:val="18"/>
                    </w:rPr>
                  </w:pPr>
                  <w:r>
                    <w:rPr>
                      <w:rFonts w:ascii="宋体" w:hAnsi="宋体"/>
                      <w:b/>
                      <w:bCs/>
                      <w:sz w:val="18"/>
                      <w:szCs w:val="18"/>
                    </w:rPr>
                    <w:t>规</w:t>
                  </w:r>
                  <w:r>
                    <w:rPr>
                      <w:b/>
                      <w:bCs/>
                      <w:sz w:val="18"/>
                      <w:szCs w:val="18"/>
                    </w:rPr>
                    <w:t xml:space="preserve">  </w:t>
                  </w:r>
                  <w:r>
                    <w:rPr>
                      <w:rFonts w:ascii="宋体" w:hAnsi="宋体"/>
                      <w:b/>
                      <w:bCs/>
                      <w:sz w:val="18"/>
                      <w:szCs w:val="18"/>
                    </w:rPr>
                    <w:t>模</w:t>
                  </w:r>
                </w:p>
              </w:tc>
              <w:tc>
                <w:tcPr>
                  <w:tcW w:w="1994" w:type="dxa"/>
                  <w:vAlign w:val="center"/>
                </w:tcPr>
                <w:p>
                  <w:pPr>
                    <w:autoSpaceDE w:val="0"/>
                    <w:spacing w:line="300" w:lineRule="exact"/>
                    <w:ind w:left="-53" w:leftChars="-25" w:right="-53" w:rightChars="-25"/>
                    <w:jc w:val="center"/>
                    <w:rPr>
                      <w:b/>
                      <w:bCs/>
                      <w:sz w:val="18"/>
                      <w:szCs w:val="18"/>
                    </w:rPr>
                  </w:pPr>
                  <w:r>
                    <w:rPr>
                      <w:rFonts w:ascii="宋体" w:hAnsi="宋体"/>
                      <w:b/>
                      <w:bCs/>
                      <w:sz w:val="18"/>
                      <w:szCs w:val="18"/>
                    </w:rPr>
                    <w:t>相对厂区方位、距离</w:t>
                  </w:r>
                </w:p>
              </w:tc>
              <w:tc>
                <w:tcPr>
                  <w:tcW w:w="2589" w:type="dxa"/>
                  <w:vAlign w:val="center"/>
                </w:tcPr>
                <w:p>
                  <w:pPr>
                    <w:pStyle w:val="66"/>
                    <w:snapToGrid w:val="0"/>
                    <w:spacing w:beforeLines="0" w:afterLines="0" w:line="300" w:lineRule="exact"/>
                    <w:rPr>
                      <w:b/>
                      <w:bCs/>
                      <w:sz w:val="18"/>
                      <w:szCs w:val="18"/>
                    </w:rPr>
                  </w:pPr>
                  <w:r>
                    <w:rPr>
                      <w:rFonts w:ascii="宋体" w:hAnsi="宋体"/>
                      <w:b/>
                      <w:bCs/>
                      <w:sz w:val="18"/>
                      <w:szCs w:val="18"/>
                    </w:rPr>
                    <w:t>环境功能及保护级别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 w:type="dxa"/>
                  <w:bottom w:w="0" w:type="dxa"/>
                  <w:right w:w="14" w:type="dxa"/>
                </w:tblCellMar>
              </w:tblPrEx>
              <w:trPr>
                <w:cantSplit/>
                <w:trHeight w:val="172" w:hRule="atLeast"/>
                <w:jc w:val="center"/>
              </w:trPr>
              <w:tc>
                <w:tcPr>
                  <w:tcW w:w="702" w:type="dxa"/>
                  <w:vAlign w:val="center"/>
                </w:tcPr>
                <w:p>
                  <w:pPr>
                    <w:adjustRightInd w:val="0"/>
                    <w:snapToGrid w:val="0"/>
                    <w:spacing w:line="300" w:lineRule="exact"/>
                    <w:jc w:val="center"/>
                    <w:rPr>
                      <w:sz w:val="18"/>
                      <w:szCs w:val="18"/>
                    </w:rPr>
                  </w:pPr>
                  <w:r>
                    <w:rPr>
                      <w:sz w:val="18"/>
                      <w:szCs w:val="18"/>
                    </w:rPr>
                    <w:t>1</w:t>
                  </w:r>
                </w:p>
              </w:tc>
              <w:tc>
                <w:tcPr>
                  <w:tcW w:w="1373" w:type="dxa"/>
                  <w:vAlign w:val="center"/>
                </w:tcPr>
                <w:p>
                  <w:pPr>
                    <w:adjustRightInd w:val="0"/>
                    <w:snapToGrid w:val="0"/>
                    <w:spacing w:line="300" w:lineRule="exact"/>
                    <w:jc w:val="center"/>
                    <w:rPr>
                      <w:sz w:val="18"/>
                      <w:szCs w:val="18"/>
                    </w:rPr>
                  </w:pPr>
                  <w:r>
                    <w:rPr>
                      <w:rFonts w:ascii="宋体" w:hAnsi="宋体"/>
                      <w:sz w:val="18"/>
                      <w:szCs w:val="18"/>
                    </w:rPr>
                    <w:t>双龙河</w:t>
                  </w:r>
                </w:p>
              </w:tc>
              <w:tc>
                <w:tcPr>
                  <w:tcW w:w="1095" w:type="dxa"/>
                  <w:vAlign w:val="center"/>
                </w:tcPr>
                <w:p>
                  <w:pPr>
                    <w:adjustRightInd w:val="0"/>
                    <w:snapToGrid w:val="0"/>
                    <w:spacing w:line="300" w:lineRule="exact"/>
                    <w:jc w:val="center"/>
                    <w:rPr>
                      <w:sz w:val="18"/>
                      <w:szCs w:val="18"/>
                    </w:rPr>
                  </w:pPr>
                  <w:r>
                    <w:rPr>
                      <w:rFonts w:ascii="宋体" w:hAnsi="宋体"/>
                      <w:sz w:val="18"/>
                      <w:szCs w:val="18"/>
                    </w:rPr>
                    <w:t>小河</w:t>
                  </w:r>
                </w:p>
              </w:tc>
              <w:tc>
                <w:tcPr>
                  <w:tcW w:w="1994" w:type="dxa"/>
                  <w:vAlign w:val="center"/>
                </w:tcPr>
                <w:p>
                  <w:pPr>
                    <w:autoSpaceDE w:val="0"/>
                    <w:spacing w:line="300" w:lineRule="exact"/>
                    <w:ind w:left="-92" w:leftChars="-44" w:right="-92" w:rightChars="-44"/>
                    <w:jc w:val="center"/>
                    <w:rPr>
                      <w:sz w:val="18"/>
                      <w:szCs w:val="18"/>
                    </w:rPr>
                  </w:pPr>
                  <w:r>
                    <w:rPr>
                      <w:rFonts w:ascii="宋体" w:hAnsi="宋体"/>
                      <w:sz w:val="18"/>
                      <w:szCs w:val="18"/>
                    </w:rPr>
                    <w:t>南，</w:t>
                  </w:r>
                  <w:r>
                    <w:rPr>
                      <w:rFonts w:hint="eastAsia"/>
                      <w:sz w:val="18"/>
                      <w:szCs w:val="18"/>
                    </w:rPr>
                    <w:t>146</w:t>
                  </w:r>
                  <w:r>
                    <w:rPr>
                      <w:sz w:val="18"/>
                      <w:szCs w:val="18"/>
                    </w:rPr>
                    <w:t>0m</w:t>
                  </w:r>
                </w:p>
              </w:tc>
              <w:tc>
                <w:tcPr>
                  <w:tcW w:w="2589" w:type="dxa"/>
                  <w:vAlign w:val="center"/>
                </w:tcPr>
                <w:p>
                  <w:pPr>
                    <w:pStyle w:val="66"/>
                    <w:snapToGrid w:val="0"/>
                    <w:spacing w:beforeLines="0" w:afterLines="0" w:line="300" w:lineRule="exact"/>
                    <w:rPr>
                      <w:sz w:val="18"/>
                      <w:szCs w:val="18"/>
                    </w:rPr>
                  </w:pPr>
                  <w:r>
                    <w:rPr>
                      <w:sz w:val="18"/>
                      <w:szCs w:val="18"/>
                    </w:rPr>
                    <w:t>GB3838-2002III</w:t>
                  </w:r>
                  <w:r>
                    <w:rPr>
                      <w:rFonts w:ascii="宋体" w:hAnsi="宋体"/>
                      <w:sz w:val="18"/>
                      <w:szCs w:val="18"/>
                    </w:rPr>
                    <w:t>类水质标准</w:t>
                  </w:r>
                </w:p>
              </w:tc>
            </w:tr>
          </w:tbl>
          <w:p>
            <w:pPr>
              <w:adjustRightInd w:val="0"/>
              <w:snapToGrid w:val="0"/>
              <w:spacing w:line="360" w:lineRule="exact"/>
              <w:ind w:left="-53" w:leftChars="-25" w:right="-53" w:rightChars="-25"/>
              <w:jc w:val="left"/>
              <w:rPr>
                <w:rFonts w:eastAsia="黑体"/>
                <w:bCs/>
                <w:szCs w:val="21"/>
              </w:rPr>
            </w:pPr>
            <w:r>
              <w:rPr>
                <w:rFonts w:eastAsia="黑体"/>
                <w:bCs/>
                <w:szCs w:val="21"/>
              </w:rPr>
              <w:t>4、地下水环境</w:t>
            </w:r>
          </w:p>
          <w:p>
            <w:pPr>
              <w:autoSpaceDE w:val="0"/>
              <w:autoSpaceDN w:val="0"/>
              <w:adjustRightInd w:val="0"/>
              <w:snapToGrid w:val="0"/>
              <w:spacing w:line="360" w:lineRule="exact"/>
              <w:ind w:firstLine="420" w:firstLineChars="200"/>
              <w:jc w:val="left"/>
              <w:rPr>
                <w:kern w:val="0"/>
                <w:szCs w:val="21"/>
              </w:rPr>
            </w:pPr>
            <w:r>
              <w:rPr>
                <w:kern w:val="0"/>
                <w:szCs w:val="21"/>
              </w:rPr>
              <w:t>根据调查，项目厂界外500米范围内的无地下水集中式饮用水水源和热水、矿泉水、温泉等特殊地下水资源。</w:t>
            </w:r>
          </w:p>
          <w:p>
            <w:pPr>
              <w:adjustRightInd w:val="0"/>
              <w:snapToGrid w:val="0"/>
              <w:spacing w:line="400" w:lineRule="exact"/>
              <w:ind w:left="-53" w:leftChars="-25" w:right="-53" w:rightChars="-25"/>
              <w:jc w:val="left"/>
              <w:rPr>
                <w:rFonts w:eastAsia="黑体"/>
                <w:bCs/>
                <w:szCs w:val="21"/>
              </w:rPr>
            </w:pPr>
            <w:r>
              <w:rPr>
                <w:rFonts w:hint="eastAsia" w:eastAsia="黑体"/>
                <w:bCs/>
                <w:szCs w:val="21"/>
              </w:rPr>
              <w:t>5</w:t>
            </w:r>
            <w:r>
              <w:rPr>
                <w:rFonts w:eastAsia="黑体"/>
                <w:bCs/>
                <w:szCs w:val="21"/>
              </w:rPr>
              <w:t>、土壤环境</w:t>
            </w:r>
          </w:p>
          <w:p>
            <w:pPr>
              <w:autoSpaceDE w:val="0"/>
              <w:autoSpaceDN w:val="0"/>
              <w:adjustRightInd w:val="0"/>
              <w:snapToGrid w:val="0"/>
              <w:spacing w:line="400" w:lineRule="exact"/>
              <w:ind w:firstLine="420" w:firstLineChars="200"/>
              <w:jc w:val="left"/>
              <w:rPr>
                <w:kern w:val="0"/>
                <w:szCs w:val="21"/>
              </w:rPr>
            </w:pPr>
            <w:r>
              <w:rPr>
                <w:kern w:val="0"/>
                <w:szCs w:val="21"/>
              </w:rPr>
              <w:t>项目位于规划的东岳新型工业集聚区，周边</w:t>
            </w:r>
            <w:r>
              <w:rPr>
                <w:rFonts w:hint="eastAsia"/>
                <w:kern w:val="0"/>
                <w:szCs w:val="21"/>
              </w:rPr>
              <w:t>50m范围内不存在土壤环境敏感目标。</w:t>
            </w:r>
          </w:p>
          <w:p>
            <w:pPr>
              <w:adjustRightInd w:val="0"/>
              <w:snapToGrid w:val="0"/>
              <w:spacing w:line="400" w:lineRule="exact"/>
              <w:ind w:left="-53" w:leftChars="-25" w:right="-53" w:rightChars="-25"/>
              <w:jc w:val="left"/>
              <w:rPr>
                <w:rFonts w:eastAsia="黑体"/>
                <w:bCs/>
                <w:szCs w:val="21"/>
              </w:rPr>
            </w:pPr>
            <w:r>
              <w:rPr>
                <w:rFonts w:hint="eastAsia" w:eastAsia="黑体"/>
                <w:bCs/>
                <w:szCs w:val="21"/>
              </w:rPr>
              <w:t>6</w:t>
            </w:r>
            <w:r>
              <w:rPr>
                <w:rFonts w:eastAsia="黑体"/>
                <w:bCs/>
                <w:szCs w:val="21"/>
              </w:rPr>
              <w:t>、生态环境</w:t>
            </w:r>
          </w:p>
          <w:p>
            <w:pPr>
              <w:autoSpaceDE w:val="0"/>
              <w:autoSpaceDN w:val="0"/>
              <w:adjustRightInd w:val="0"/>
              <w:snapToGrid w:val="0"/>
              <w:spacing w:line="400" w:lineRule="exact"/>
              <w:ind w:firstLine="420" w:firstLineChars="200"/>
              <w:jc w:val="left"/>
              <w:rPr>
                <w:szCs w:val="21"/>
              </w:rPr>
            </w:pPr>
            <w:r>
              <w:rPr>
                <w:kern w:val="0"/>
                <w:szCs w:val="21"/>
              </w:rPr>
              <w:t>根据现场调查，项目区域内不涉及自然保护区、森林公园及风景名胜区、生活饮用水水源保护区及其他需要特别保护区域，区域内无国家保护的重点野生动植物，无名木古树及珍稀动植物等，无特殊文物保护单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792" w:type="dxa"/>
            <w:tcBorders>
              <w:top w:val="single" w:color="auto" w:sz="4" w:space="0"/>
              <w:left w:val="single" w:color="auto" w:sz="8"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kern w:val="0"/>
                <w:szCs w:val="21"/>
              </w:rPr>
            </w:pPr>
            <w:r>
              <w:rPr>
                <w:kern w:val="0"/>
                <w:szCs w:val="21"/>
              </w:rPr>
              <w:t>污染</w:t>
            </w:r>
          </w:p>
          <w:p>
            <w:pPr>
              <w:adjustRightInd w:val="0"/>
              <w:snapToGrid w:val="0"/>
              <w:jc w:val="center"/>
              <w:rPr>
                <w:kern w:val="0"/>
                <w:szCs w:val="21"/>
              </w:rPr>
            </w:pPr>
            <w:r>
              <w:rPr>
                <w:kern w:val="0"/>
                <w:szCs w:val="21"/>
              </w:rPr>
              <w:t>物排</w:t>
            </w:r>
          </w:p>
          <w:p>
            <w:pPr>
              <w:adjustRightInd w:val="0"/>
              <w:snapToGrid w:val="0"/>
              <w:jc w:val="center"/>
              <w:rPr>
                <w:kern w:val="0"/>
                <w:szCs w:val="21"/>
              </w:rPr>
            </w:pPr>
            <w:r>
              <w:rPr>
                <w:kern w:val="0"/>
                <w:szCs w:val="21"/>
              </w:rPr>
              <w:t>放控</w:t>
            </w:r>
          </w:p>
          <w:p>
            <w:pPr>
              <w:adjustRightInd w:val="0"/>
              <w:snapToGrid w:val="0"/>
              <w:jc w:val="center"/>
              <w:rPr>
                <w:kern w:val="0"/>
                <w:szCs w:val="21"/>
              </w:rPr>
            </w:pPr>
            <w:r>
              <w:rPr>
                <w:kern w:val="0"/>
                <w:szCs w:val="21"/>
              </w:rPr>
              <w:t>制标</w:t>
            </w:r>
          </w:p>
          <w:p>
            <w:pPr>
              <w:adjustRightInd w:val="0"/>
              <w:snapToGrid w:val="0"/>
              <w:jc w:val="center"/>
              <w:rPr>
                <w:kern w:val="0"/>
                <w:szCs w:val="21"/>
              </w:rPr>
            </w:pPr>
            <w:r>
              <w:rPr>
                <w:kern w:val="0"/>
                <w:szCs w:val="21"/>
              </w:rPr>
              <w:t>准</w:t>
            </w:r>
          </w:p>
        </w:tc>
        <w:tc>
          <w:tcPr>
            <w:tcW w:w="8127" w:type="dxa"/>
            <w:tcBorders>
              <w:top w:val="single" w:color="auto" w:sz="4" w:space="0"/>
              <w:left w:val="single" w:color="auto" w:sz="4" w:space="0"/>
              <w:bottom w:val="single" w:color="auto" w:sz="4" w:space="0"/>
              <w:right w:val="single" w:color="auto" w:sz="8" w:space="0"/>
            </w:tcBorders>
            <w:vAlign w:val="center"/>
          </w:tcPr>
          <w:p>
            <w:pPr>
              <w:autoSpaceDE w:val="0"/>
              <w:autoSpaceDN w:val="0"/>
              <w:adjustRightInd w:val="0"/>
              <w:snapToGrid w:val="0"/>
              <w:spacing w:line="400" w:lineRule="exact"/>
              <w:ind w:firstLine="420" w:firstLineChars="200"/>
              <w:jc w:val="left"/>
              <w:rPr>
                <w:rFonts w:cs="宋体"/>
                <w:kern w:val="0"/>
                <w:szCs w:val="21"/>
              </w:rPr>
            </w:pPr>
            <w:r>
              <w:rPr>
                <w:szCs w:val="21"/>
              </w:rPr>
              <w:t>1</w:t>
            </w:r>
            <w:r>
              <w:rPr>
                <w:rFonts w:hint="eastAsia" w:cs="宋体"/>
                <w:szCs w:val="21"/>
              </w:rPr>
              <w:t>．大气污染物：</w:t>
            </w:r>
            <w:r>
              <w:rPr>
                <w:rFonts w:hint="eastAsia" w:cs="宋体"/>
                <w:kern w:val="0"/>
                <w:szCs w:val="21"/>
              </w:rPr>
              <w:t>施工期废气执行《四川省施工场地扬尘排放标准》（</w:t>
            </w:r>
            <w:r>
              <w:rPr>
                <w:rFonts w:cs="宋体"/>
                <w:kern w:val="0"/>
                <w:szCs w:val="21"/>
              </w:rPr>
              <w:t>DB51/2682-2020</w:t>
            </w:r>
            <w:r>
              <w:rPr>
                <w:rFonts w:hint="eastAsia" w:cs="宋体"/>
                <w:kern w:val="0"/>
                <w:szCs w:val="21"/>
              </w:rPr>
              <w:t>）中的标准限值。</w:t>
            </w:r>
          </w:p>
          <w:p>
            <w:pPr>
              <w:spacing w:line="400" w:lineRule="exact"/>
              <w:jc w:val="center"/>
              <w:rPr>
                <w:b/>
                <w:sz w:val="18"/>
                <w:szCs w:val="18"/>
              </w:rPr>
            </w:pPr>
            <w:r>
              <w:rPr>
                <w:rFonts w:hint="eastAsia" w:cs="宋体"/>
                <w:b/>
                <w:sz w:val="18"/>
                <w:szCs w:val="18"/>
              </w:rPr>
              <w:t>表3-6    四川省施工期场地扬尘排放限值</w:t>
            </w:r>
          </w:p>
          <w:tbl>
            <w:tblPr>
              <w:tblStyle w:val="21"/>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9"/>
              <w:gridCol w:w="917"/>
              <w:gridCol w:w="1682"/>
              <w:gridCol w:w="1794"/>
              <w:gridCol w:w="1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sz w:val="18"/>
                      <w:szCs w:val="18"/>
                    </w:rPr>
                  </w:pPr>
                  <w:r>
                    <w:rPr>
                      <w:rFonts w:hint="eastAsia" w:cs="宋体"/>
                      <w:sz w:val="18"/>
                      <w:szCs w:val="18"/>
                    </w:rPr>
                    <w:t>监测项目</w:t>
                  </w:r>
                </w:p>
              </w:tc>
              <w:tc>
                <w:tcPr>
                  <w:tcW w:w="9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sz w:val="18"/>
                      <w:szCs w:val="18"/>
                    </w:rPr>
                  </w:pPr>
                  <w:r>
                    <w:rPr>
                      <w:rFonts w:hint="eastAsia" w:cs="宋体"/>
                      <w:sz w:val="18"/>
                      <w:szCs w:val="18"/>
                    </w:rPr>
                    <w:t>区域</w:t>
                  </w:r>
                </w:p>
              </w:tc>
              <w:tc>
                <w:tcPr>
                  <w:tcW w:w="169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sz w:val="18"/>
                      <w:szCs w:val="18"/>
                    </w:rPr>
                  </w:pPr>
                  <w:r>
                    <w:rPr>
                      <w:rFonts w:hint="eastAsia" w:cs="宋体"/>
                      <w:sz w:val="18"/>
                      <w:szCs w:val="18"/>
                    </w:rPr>
                    <w:t>施工阶段</w:t>
                  </w:r>
                </w:p>
              </w:tc>
              <w:tc>
                <w:tcPr>
                  <w:tcW w:w="181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sz w:val="18"/>
                      <w:szCs w:val="18"/>
                    </w:rPr>
                  </w:pPr>
                  <w:r>
                    <w:rPr>
                      <w:rFonts w:hint="eastAsia" w:cs="宋体"/>
                      <w:sz w:val="18"/>
                      <w:szCs w:val="18"/>
                    </w:rPr>
                    <w:t>监测点排放限值（</w:t>
                  </w:r>
                  <w:r>
                    <w:rPr>
                      <w:sz w:val="18"/>
                      <w:szCs w:val="18"/>
                    </w:rPr>
                    <w:t>ug/m</w:t>
                  </w:r>
                  <w:r>
                    <w:rPr>
                      <w:sz w:val="18"/>
                      <w:szCs w:val="18"/>
                      <w:vertAlign w:val="superscript"/>
                    </w:rPr>
                    <w:t>3</w:t>
                  </w:r>
                  <w:r>
                    <w:rPr>
                      <w:rFonts w:hint="eastAsia" w:cs="宋体"/>
                      <w:sz w:val="18"/>
                      <w:szCs w:val="18"/>
                    </w:rPr>
                    <w:t>）</w:t>
                  </w:r>
                </w:p>
              </w:tc>
              <w:tc>
                <w:tcPr>
                  <w:tcW w:w="128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sz w:val="18"/>
                      <w:szCs w:val="18"/>
                    </w:rPr>
                  </w:pPr>
                  <w:r>
                    <w:rPr>
                      <w:rFonts w:hint="eastAsia" w:cs="宋体"/>
                      <w:sz w:val="18"/>
                      <w:szCs w:val="18"/>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201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sz w:val="18"/>
                      <w:szCs w:val="18"/>
                    </w:rPr>
                  </w:pPr>
                  <w:r>
                    <w:rPr>
                      <w:rFonts w:hint="eastAsia" w:cs="宋体"/>
                      <w:sz w:val="18"/>
                      <w:szCs w:val="18"/>
                    </w:rPr>
                    <w:t>总悬浮颗粒物（</w:t>
                  </w:r>
                  <w:r>
                    <w:rPr>
                      <w:sz w:val="18"/>
                      <w:szCs w:val="18"/>
                    </w:rPr>
                    <w:t>TSP</w:t>
                  </w:r>
                  <w:r>
                    <w:rPr>
                      <w:rFonts w:hint="eastAsia" w:cs="宋体"/>
                      <w:sz w:val="18"/>
                      <w:szCs w:val="18"/>
                    </w:rPr>
                    <w:t>）</w:t>
                  </w:r>
                </w:p>
              </w:tc>
              <w:tc>
                <w:tcPr>
                  <w:tcW w:w="92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sz w:val="18"/>
                      <w:szCs w:val="18"/>
                    </w:rPr>
                  </w:pPr>
                  <w:r>
                    <w:rPr>
                      <w:rFonts w:hint="eastAsia" w:cs="宋体"/>
                      <w:sz w:val="18"/>
                      <w:szCs w:val="18"/>
                    </w:rPr>
                    <w:t>达州市</w:t>
                  </w:r>
                </w:p>
              </w:tc>
              <w:tc>
                <w:tcPr>
                  <w:tcW w:w="169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sz w:val="18"/>
                      <w:szCs w:val="18"/>
                    </w:rPr>
                  </w:pPr>
                  <w:r>
                    <w:rPr>
                      <w:rFonts w:hint="eastAsia" w:cs="宋体"/>
                      <w:sz w:val="18"/>
                      <w:szCs w:val="18"/>
                    </w:rPr>
                    <w:t>拆除工程</w:t>
                  </w:r>
                  <w:r>
                    <w:rPr>
                      <w:sz w:val="18"/>
                      <w:szCs w:val="18"/>
                    </w:rPr>
                    <w:t>/</w:t>
                  </w:r>
                  <w:r>
                    <w:rPr>
                      <w:rFonts w:hint="eastAsia" w:cs="宋体"/>
                      <w:sz w:val="18"/>
                      <w:szCs w:val="18"/>
                    </w:rPr>
                    <w:t>土方开挖</w:t>
                  </w:r>
                  <w:r>
                    <w:rPr>
                      <w:sz w:val="18"/>
                      <w:szCs w:val="18"/>
                    </w:rPr>
                    <w:t>/</w:t>
                  </w:r>
                  <w:r>
                    <w:rPr>
                      <w:rFonts w:hint="eastAsia" w:cs="宋体"/>
                      <w:sz w:val="18"/>
                      <w:szCs w:val="18"/>
                    </w:rPr>
                    <w:t>土方回填阶段</w:t>
                  </w:r>
                </w:p>
              </w:tc>
              <w:tc>
                <w:tcPr>
                  <w:tcW w:w="181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sz w:val="18"/>
                      <w:szCs w:val="18"/>
                    </w:rPr>
                  </w:pPr>
                  <w:r>
                    <w:rPr>
                      <w:sz w:val="18"/>
                      <w:szCs w:val="18"/>
                    </w:rPr>
                    <w:t>600</w:t>
                  </w:r>
                </w:p>
              </w:tc>
              <w:tc>
                <w:tcPr>
                  <w:tcW w:w="12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sz w:val="18"/>
                      <w:szCs w:val="18"/>
                    </w:rPr>
                  </w:pPr>
                  <w:r>
                    <w:rPr>
                      <w:rFonts w:hint="eastAsia" w:cs="宋体"/>
                      <w:sz w:val="18"/>
                      <w:szCs w:val="18"/>
                    </w:rPr>
                    <w:t>自监测起持续</w:t>
                  </w:r>
                  <w:r>
                    <w:rPr>
                      <w:sz w:val="18"/>
                      <w:szCs w:val="18"/>
                    </w:rPr>
                    <w:t>15</w:t>
                  </w:r>
                  <w:r>
                    <w:rPr>
                      <w:rFonts w:hint="eastAsia" w:cs="宋体"/>
                      <w:sz w:val="18"/>
                      <w:szCs w:val="18"/>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01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p>
              </w:tc>
              <w:tc>
                <w:tcPr>
                  <w:tcW w:w="9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p>
              </w:tc>
              <w:tc>
                <w:tcPr>
                  <w:tcW w:w="169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sz w:val="18"/>
                      <w:szCs w:val="18"/>
                    </w:rPr>
                  </w:pPr>
                  <w:r>
                    <w:rPr>
                      <w:rFonts w:hint="eastAsia" w:cs="宋体"/>
                      <w:sz w:val="18"/>
                      <w:szCs w:val="18"/>
                    </w:rPr>
                    <w:t>其他工程阶段</w:t>
                  </w:r>
                </w:p>
              </w:tc>
              <w:tc>
                <w:tcPr>
                  <w:tcW w:w="181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sz w:val="18"/>
                      <w:szCs w:val="18"/>
                    </w:rPr>
                  </w:pPr>
                  <w:r>
                    <w:rPr>
                      <w:sz w:val="18"/>
                      <w:szCs w:val="18"/>
                    </w:rPr>
                    <w:t>250</w:t>
                  </w:r>
                </w:p>
              </w:tc>
              <w:tc>
                <w:tcPr>
                  <w:tcW w:w="1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p>
              </w:tc>
            </w:tr>
          </w:tbl>
          <w:p>
            <w:pPr>
              <w:spacing w:line="360" w:lineRule="exact"/>
              <w:ind w:firstLine="420" w:firstLineChars="200"/>
              <w:rPr>
                <w:spacing w:val="-4"/>
                <w:szCs w:val="21"/>
              </w:rPr>
            </w:pPr>
            <w:r>
              <w:rPr>
                <w:rFonts w:hint="eastAsia"/>
                <w:kern w:val="0"/>
                <w:szCs w:val="21"/>
              </w:rPr>
              <w:t>营运期粉尘排放</w:t>
            </w:r>
            <w:r>
              <w:rPr>
                <w:rFonts w:ascii="宋体" w:hAnsi="宋体"/>
                <w:spacing w:val="-4"/>
                <w:szCs w:val="21"/>
              </w:rPr>
              <w:t>执行</w:t>
            </w:r>
            <w:r>
              <w:rPr>
                <w:rFonts w:hint="eastAsia" w:ascii="宋体" w:hAnsi="宋体"/>
                <w:spacing w:val="-4"/>
                <w:szCs w:val="21"/>
              </w:rPr>
              <w:t>《煤炭工业污染物排放标准》（</w:t>
            </w:r>
            <w:r>
              <w:rPr>
                <w:rFonts w:hint="eastAsia"/>
                <w:spacing w:val="-4"/>
                <w:szCs w:val="21"/>
              </w:rPr>
              <w:t>GB20426-2006</w:t>
            </w:r>
            <w:r>
              <w:rPr>
                <w:rFonts w:hint="eastAsia" w:ascii="宋体" w:hAnsi="宋体"/>
                <w:spacing w:val="-4"/>
                <w:szCs w:val="21"/>
              </w:rPr>
              <w:t>）排放限值要求。</w:t>
            </w:r>
          </w:p>
          <w:p>
            <w:pPr>
              <w:spacing w:line="400" w:lineRule="exact"/>
              <w:jc w:val="center"/>
              <w:rPr>
                <w:rFonts w:cs="宋体"/>
                <w:b/>
                <w:sz w:val="18"/>
                <w:szCs w:val="18"/>
              </w:rPr>
            </w:pPr>
            <w:r>
              <w:rPr>
                <w:rFonts w:hint="eastAsia" w:cs="宋体"/>
                <w:b/>
                <w:sz w:val="18"/>
                <w:szCs w:val="18"/>
              </w:rPr>
              <w:t>表3-7   煤炭工业无组织排放限值   单位:mg/m</w:t>
            </w:r>
            <w:r>
              <w:rPr>
                <w:rFonts w:hint="eastAsia" w:cs="宋体"/>
                <w:b/>
                <w:sz w:val="18"/>
                <w:szCs w:val="18"/>
                <w:vertAlign w:val="superscript"/>
              </w:rPr>
              <w:t>3</w:t>
            </w:r>
          </w:p>
          <w:tbl>
            <w:tblPr>
              <w:tblStyle w:val="21"/>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1842"/>
              <w:gridCol w:w="2268"/>
              <w:gridCol w:w="2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 w:hRule="atLeast"/>
              </w:trPr>
              <w:tc>
                <w:tcPr>
                  <w:tcW w:w="1146"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18"/>
                      <w:szCs w:val="21"/>
                    </w:rPr>
                  </w:pPr>
                  <w:r>
                    <w:rPr>
                      <w:rFonts w:hint="eastAsia" w:ascii="宋体" w:hAnsi="宋体"/>
                      <w:sz w:val="18"/>
                    </w:rPr>
                    <w:t>污染物</w:t>
                  </w: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18"/>
                      <w:szCs w:val="21"/>
                    </w:rPr>
                  </w:pPr>
                  <w:r>
                    <w:rPr>
                      <w:rFonts w:hint="eastAsia" w:ascii="宋体" w:hAnsi="宋体"/>
                      <w:sz w:val="18"/>
                    </w:rPr>
                    <w:t>监控点</w:t>
                  </w:r>
                </w:p>
              </w:tc>
              <w:tc>
                <w:tcPr>
                  <w:tcW w:w="480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18"/>
                      <w:szCs w:val="21"/>
                    </w:rPr>
                  </w:pPr>
                  <w:r>
                    <w:rPr>
                      <w:rFonts w:hint="eastAsia" w:ascii="宋体" w:hAnsi="宋体"/>
                      <w:sz w:val="18"/>
                    </w:rPr>
                    <w:t>作业场所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trPr>
              <w:tc>
                <w:tcPr>
                  <w:tcW w:w="114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宋体" w:hAnsi="宋体"/>
                      <w:sz w:val="18"/>
                      <w:szCs w:val="21"/>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宋体" w:hAnsi="宋体"/>
                      <w:sz w:val="18"/>
                      <w:szCs w:val="21"/>
                    </w:rPr>
                  </w:pPr>
                </w:p>
              </w:tc>
              <w:tc>
                <w:tcPr>
                  <w:tcW w:w="226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18"/>
                      <w:szCs w:val="21"/>
                    </w:rPr>
                  </w:pPr>
                  <w:r>
                    <w:rPr>
                      <w:rFonts w:hint="eastAsia" w:ascii="宋体" w:hAnsi="宋体"/>
                      <w:sz w:val="18"/>
                    </w:rPr>
                    <w:t>煤炭工业所属装卸场所</w:t>
                  </w:r>
                </w:p>
              </w:tc>
              <w:tc>
                <w:tcPr>
                  <w:tcW w:w="253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18"/>
                      <w:szCs w:val="21"/>
                    </w:rPr>
                  </w:pPr>
                  <w:r>
                    <w:rPr>
                      <w:rFonts w:hint="eastAsia" w:ascii="宋体" w:hAnsi="宋体"/>
                      <w:sz w:val="18"/>
                    </w:rPr>
                    <w:t>煤炭贮存场所、煤矸石堆置场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trPr>
              <w:tc>
                <w:tcPr>
                  <w:tcW w:w="114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宋体" w:hAnsi="宋体"/>
                      <w:sz w:val="18"/>
                      <w:szCs w:val="21"/>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宋体" w:hAnsi="宋体"/>
                      <w:sz w:val="18"/>
                      <w:szCs w:val="21"/>
                    </w:rPr>
                  </w:pPr>
                </w:p>
              </w:tc>
              <w:tc>
                <w:tcPr>
                  <w:tcW w:w="226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18"/>
                      <w:szCs w:val="21"/>
                    </w:rPr>
                  </w:pPr>
                  <w:r>
                    <w:rPr>
                      <w:rFonts w:hint="eastAsia" w:ascii="宋体" w:hAnsi="宋体"/>
                      <w:sz w:val="18"/>
                    </w:rPr>
                    <w:t>无组织排放限值（监控点与参考点浓度差值）</w:t>
                  </w:r>
                </w:p>
              </w:tc>
              <w:tc>
                <w:tcPr>
                  <w:tcW w:w="253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18"/>
                      <w:szCs w:val="21"/>
                    </w:rPr>
                  </w:pPr>
                  <w:r>
                    <w:rPr>
                      <w:rFonts w:hint="eastAsia" w:ascii="宋体" w:hAnsi="宋体"/>
                      <w:sz w:val="18"/>
                    </w:rPr>
                    <w:t>无组织排放限值（监控点与参考点浓度差值）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trPr>
              <w:tc>
                <w:tcPr>
                  <w:tcW w:w="114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18"/>
                      <w:szCs w:val="21"/>
                    </w:rPr>
                  </w:pPr>
                  <w:r>
                    <w:rPr>
                      <w:rFonts w:hint="eastAsia" w:ascii="宋体" w:hAnsi="宋体"/>
                      <w:sz w:val="18"/>
                    </w:rPr>
                    <w:t>颗粒物</w:t>
                  </w:r>
                </w:p>
              </w:tc>
              <w:tc>
                <w:tcPr>
                  <w:tcW w:w="1842" w:type="dxa"/>
                  <w:vMerge w:val="restart"/>
                  <w:tcBorders>
                    <w:top w:val="single" w:color="auto" w:sz="4" w:space="0"/>
                    <w:left w:val="single" w:color="auto" w:sz="4" w:space="0"/>
                    <w:right w:val="single" w:color="auto" w:sz="4" w:space="0"/>
                  </w:tcBorders>
                  <w:vAlign w:val="center"/>
                </w:tcPr>
                <w:p>
                  <w:pPr>
                    <w:spacing w:line="320" w:lineRule="exact"/>
                    <w:jc w:val="center"/>
                    <w:rPr>
                      <w:rFonts w:ascii="宋体" w:hAnsi="宋体"/>
                      <w:sz w:val="18"/>
                      <w:szCs w:val="21"/>
                    </w:rPr>
                  </w:pPr>
                  <w:r>
                    <w:rPr>
                      <w:rFonts w:hint="eastAsia" w:ascii="宋体" w:hAnsi="宋体"/>
                      <w:sz w:val="18"/>
                    </w:rPr>
                    <w:t>周界外浓度最高点</w:t>
                  </w:r>
                </w:p>
              </w:tc>
              <w:tc>
                <w:tcPr>
                  <w:tcW w:w="226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18"/>
                      <w:szCs w:val="21"/>
                    </w:rPr>
                  </w:pPr>
                  <w:r>
                    <w:rPr>
                      <w:rFonts w:hint="eastAsia"/>
                      <w:sz w:val="18"/>
                    </w:rPr>
                    <w:t>1.0</w:t>
                  </w:r>
                </w:p>
              </w:tc>
              <w:tc>
                <w:tcPr>
                  <w:tcW w:w="253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18"/>
                      <w:szCs w:val="21"/>
                    </w:rPr>
                  </w:pPr>
                  <w:r>
                    <w:rPr>
                      <w:rFonts w:hint="eastAsia"/>
                      <w:sz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14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18"/>
                    </w:rPr>
                  </w:pPr>
                  <w:r>
                    <w:rPr>
                      <w:rFonts w:hint="eastAsia" w:ascii="宋体" w:hAnsi="宋体"/>
                      <w:sz w:val="18"/>
                    </w:rPr>
                    <w:t>二氧化硫</w:t>
                  </w:r>
                </w:p>
              </w:tc>
              <w:tc>
                <w:tcPr>
                  <w:tcW w:w="1842" w:type="dxa"/>
                  <w:vMerge w:val="continue"/>
                  <w:tcBorders>
                    <w:left w:val="single" w:color="auto" w:sz="4" w:space="0"/>
                    <w:bottom w:val="single" w:color="auto" w:sz="4" w:space="0"/>
                    <w:right w:val="single" w:color="auto" w:sz="4" w:space="0"/>
                  </w:tcBorders>
                  <w:vAlign w:val="center"/>
                </w:tcPr>
                <w:p>
                  <w:pPr>
                    <w:spacing w:line="320" w:lineRule="exact"/>
                    <w:jc w:val="center"/>
                    <w:rPr>
                      <w:rFonts w:ascii="宋体" w:hAnsi="宋体"/>
                      <w:sz w:val="18"/>
                    </w:rPr>
                  </w:pPr>
                </w:p>
              </w:tc>
              <w:tc>
                <w:tcPr>
                  <w:tcW w:w="226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 w:val="18"/>
                    </w:rPr>
                  </w:pPr>
                  <w:r>
                    <w:rPr>
                      <w:rFonts w:hint="eastAsia"/>
                      <w:sz w:val="18"/>
                    </w:rPr>
                    <w:t>-</w:t>
                  </w:r>
                </w:p>
              </w:tc>
              <w:tc>
                <w:tcPr>
                  <w:tcW w:w="253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 w:val="18"/>
                    </w:rPr>
                  </w:pPr>
                  <w:r>
                    <w:rPr>
                      <w:rFonts w:hint="eastAsia"/>
                      <w:sz w:val="18"/>
                    </w:rPr>
                    <w:t>0.4</w:t>
                  </w:r>
                </w:p>
              </w:tc>
            </w:tr>
          </w:tbl>
          <w:p>
            <w:pPr>
              <w:autoSpaceDE w:val="0"/>
              <w:autoSpaceDN w:val="0"/>
              <w:adjustRightInd w:val="0"/>
              <w:snapToGrid w:val="0"/>
              <w:spacing w:line="400" w:lineRule="exact"/>
              <w:ind w:firstLine="420" w:firstLineChars="200"/>
              <w:jc w:val="left"/>
              <w:rPr>
                <w:kern w:val="0"/>
                <w:szCs w:val="21"/>
              </w:rPr>
            </w:pPr>
            <w:r>
              <w:rPr>
                <w:kern w:val="0"/>
                <w:szCs w:val="21"/>
              </w:rPr>
              <w:t>2. 本项目含煤废水经自建</w:t>
            </w:r>
            <w:r>
              <w:rPr>
                <w:rFonts w:hint="eastAsia"/>
                <w:kern w:val="0"/>
                <w:szCs w:val="21"/>
              </w:rPr>
              <w:t>废水沉淀池</w:t>
            </w:r>
            <w:r>
              <w:rPr>
                <w:kern w:val="0"/>
                <w:szCs w:val="21"/>
              </w:rPr>
              <w:t>处理后，全部循环回用不外排。生活污水设化粪池预处理后，达到</w:t>
            </w:r>
            <w:r>
              <w:rPr>
                <w:rFonts w:hint="eastAsia"/>
                <w:kern w:val="0"/>
                <w:szCs w:val="21"/>
              </w:rPr>
              <w:t>《污水综合排放标准》（GB8978-1996）三级标准后，通过拉运的方式最终进入东岳场镇污水处理厂。</w:t>
            </w:r>
          </w:p>
          <w:p>
            <w:pPr>
              <w:autoSpaceDE w:val="0"/>
              <w:autoSpaceDN w:val="0"/>
              <w:adjustRightInd w:val="0"/>
              <w:snapToGrid w:val="0"/>
              <w:spacing w:line="400" w:lineRule="exact"/>
              <w:ind w:firstLine="420" w:firstLineChars="200"/>
              <w:jc w:val="left"/>
              <w:rPr>
                <w:kern w:val="0"/>
                <w:szCs w:val="21"/>
              </w:rPr>
            </w:pPr>
            <w:r>
              <w:rPr>
                <w:kern w:val="0"/>
                <w:szCs w:val="21"/>
              </w:rPr>
              <w:t>3. 噪声：施工期执行《建筑施工场界环境噪声排放标准》(GBl2523－2011)表1中的排放限值。LAeq：昼间&lt;70</w:t>
            </w:r>
            <w:r>
              <w:rPr>
                <w:szCs w:val="21"/>
              </w:rPr>
              <w:t>dB(A)</w:t>
            </w:r>
            <w:r>
              <w:rPr>
                <w:kern w:val="0"/>
                <w:szCs w:val="21"/>
              </w:rPr>
              <w:t xml:space="preserve">     夜间&lt;55</w:t>
            </w:r>
            <w:r>
              <w:rPr>
                <w:szCs w:val="21"/>
              </w:rPr>
              <w:t>dB(A)</w:t>
            </w:r>
          </w:p>
          <w:p>
            <w:pPr>
              <w:autoSpaceDE w:val="0"/>
              <w:autoSpaceDN w:val="0"/>
              <w:adjustRightInd w:val="0"/>
              <w:snapToGrid w:val="0"/>
              <w:spacing w:line="400" w:lineRule="exact"/>
              <w:ind w:firstLine="420" w:firstLineChars="200"/>
              <w:jc w:val="left"/>
              <w:rPr>
                <w:rFonts w:ascii="宋体" w:hAnsi="宋体"/>
                <w:kern w:val="0"/>
              </w:rPr>
            </w:pPr>
            <w:r>
              <w:rPr>
                <w:rFonts w:ascii="宋体" w:hAnsi="宋体"/>
                <w:kern w:val="0"/>
              </w:rPr>
              <w:t>营运期</w:t>
            </w:r>
            <w:r>
              <w:rPr>
                <w:kern w:val="0"/>
              </w:rPr>
              <w:t>项目东、南及北面厂界</w:t>
            </w:r>
            <w:r>
              <w:rPr>
                <w:rFonts w:ascii="宋体" w:hAnsi="宋体"/>
                <w:kern w:val="0"/>
              </w:rPr>
              <w:t>执行《工业企业厂界环境噪声排放标准》（</w:t>
            </w:r>
            <w:r>
              <w:rPr>
                <w:kern w:val="0"/>
              </w:rPr>
              <w:t>GBl2348-2008</w:t>
            </w:r>
            <w:r>
              <w:rPr>
                <w:rFonts w:ascii="宋体" w:hAnsi="宋体"/>
                <w:kern w:val="0"/>
              </w:rPr>
              <w:t>）</w:t>
            </w:r>
            <w:r>
              <w:rPr>
                <w:kern w:val="0"/>
              </w:rPr>
              <w:t>2</w:t>
            </w:r>
            <w:r>
              <w:rPr>
                <w:rFonts w:ascii="宋体" w:hAnsi="宋体"/>
                <w:kern w:val="0"/>
              </w:rPr>
              <w:t>类标准；</w:t>
            </w:r>
          </w:p>
          <w:p>
            <w:pPr>
              <w:autoSpaceDE w:val="0"/>
              <w:autoSpaceDN w:val="0"/>
              <w:adjustRightInd w:val="0"/>
              <w:snapToGrid w:val="0"/>
              <w:spacing w:line="400" w:lineRule="exact"/>
              <w:ind w:firstLine="420" w:firstLineChars="200"/>
              <w:jc w:val="center"/>
              <w:rPr>
                <w:rFonts w:ascii="宋体" w:hAnsi="宋体"/>
                <w:kern w:val="0"/>
              </w:rPr>
            </w:pPr>
            <w:r>
              <w:rPr>
                <w:kern w:val="0"/>
              </w:rPr>
              <w:t>LAeq</w:t>
            </w:r>
            <w:r>
              <w:rPr>
                <w:rFonts w:ascii="宋体" w:hAnsi="宋体"/>
                <w:kern w:val="0"/>
              </w:rPr>
              <w:t>：昼间</w:t>
            </w:r>
            <w:r>
              <w:rPr>
                <w:kern w:val="0"/>
              </w:rPr>
              <w:t>&lt;60dB</w:t>
            </w:r>
            <w:r>
              <w:rPr>
                <w:rFonts w:ascii="宋体" w:hAnsi="宋体"/>
                <w:kern w:val="0"/>
              </w:rPr>
              <w:t>（</w:t>
            </w:r>
            <w:r>
              <w:rPr>
                <w:kern w:val="0"/>
              </w:rPr>
              <w:t>A</w:t>
            </w:r>
            <w:r>
              <w:rPr>
                <w:rFonts w:ascii="宋体" w:hAnsi="宋体"/>
                <w:kern w:val="0"/>
              </w:rPr>
              <w:t>）</w:t>
            </w:r>
            <w:r>
              <w:rPr>
                <w:kern w:val="0"/>
              </w:rPr>
              <w:t xml:space="preserve">    </w:t>
            </w:r>
            <w:r>
              <w:rPr>
                <w:rFonts w:ascii="宋体" w:hAnsi="宋体"/>
                <w:kern w:val="0"/>
              </w:rPr>
              <w:t>夜间</w:t>
            </w:r>
            <w:r>
              <w:rPr>
                <w:kern w:val="0"/>
              </w:rPr>
              <w:t>&lt;50dB</w:t>
            </w:r>
            <w:r>
              <w:rPr>
                <w:rFonts w:ascii="宋体" w:hAnsi="宋体"/>
                <w:kern w:val="0"/>
              </w:rPr>
              <w:t>（</w:t>
            </w:r>
            <w:r>
              <w:rPr>
                <w:kern w:val="0"/>
              </w:rPr>
              <w:t>A</w:t>
            </w:r>
            <w:r>
              <w:rPr>
                <w:rFonts w:ascii="宋体" w:hAnsi="宋体"/>
                <w:kern w:val="0"/>
              </w:rPr>
              <w:t>）。</w:t>
            </w:r>
          </w:p>
          <w:p>
            <w:pPr>
              <w:autoSpaceDE w:val="0"/>
              <w:autoSpaceDN w:val="0"/>
              <w:adjustRightInd w:val="0"/>
              <w:snapToGrid w:val="0"/>
              <w:spacing w:line="400" w:lineRule="exact"/>
              <w:ind w:firstLine="420" w:firstLineChars="200"/>
              <w:jc w:val="center"/>
              <w:rPr>
                <w:rFonts w:ascii="宋体" w:hAnsi="宋体"/>
                <w:kern w:val="0"/>
              </w:rPr>
            </w:pPr>
            <w:r>
              <w:rPr>
                <w:kern w:val="0"/>
              </w:rPr>
              <w:t>项目西面厂界</w:t>
            </w:r>
            <w:r>
              <w:rPr>
                <w:rFonts w:ascii="宋体" w:hAnsi="宋体"/>
                <w:kern w:val="0"/>
              </w:rPr>
              <w:t>执行《工业企业厂界环境噪声排放标准》（</w:t>
            </w:r>
            <w:r>
              <w:rPr>
                <w:kern w:val="0"/>
              </w:rPr>
              <w:t>GBl2348-2008</w:t>
            </w:r>
            <w:r>
              <w:rPr>
                <w:rFonts w:ascii="宋体" w:hAnsi="宋体"/>
                <w:kern w:val="0"/>
              </w:rPr>
              <w:t>）</w:t>
            </w:r>
            <w:r>
              <w:rPr>
                <w:rFonts w:hint="eastAsia"/>
                <w:kern w:val="0"/>
              </w:rPr>
              <w:t>4</w:t>
            </w:r>
            <w:r>
              <w:rPr>
                <w:rFonts w:ascii="宋体" w:hAnsi="宋体"/>
                <w:kern w:val="0"/>
              </w:rPr>
              <w:t>类标准。</w:t>
            </w:r>
          </w:p>
          <w:p>
            <w:pPr>
              <w:autoSpaceDE w:val="0"/>
              <w:autoSpaceDN w:val="0"/>
              <w:adjustRightInd w:val="0"/>
              <w:snapToGrid w:val="0"/>
              <w:spacing w:line="400" w:lineRule="exact"/>
              <w:ind w:firstLine="420" w:firstLineChars="200"/>
              <w:jc w:val="center"/>
            </w:pPr>
            <w:r>
              <w:rPr>
                <w:kern w:val="0"/>
              </w:rPr>
              <w:t>LAeq</w:t>
            </w:r>
            <w:r>
              <w:rPr>
                <w:rFonts w:ascii="宋体" w:hAnsi="宋体"/>
                <w:kern w:val="0"/>
              </w:rPr>
              <w:t>：昼间</w:t>
            </w:r>
            <w:r>
              <w:rPr>
                <w:kern w:val="0"/>
              </w:rPr>
              <w:t>&lt;</w:t>
            </w:r>
            <w:r>
              <w:rPr>
                <w:rFonts w:hint="eastAsia"/>
                <w:kern w:val="0"/>
              </w:rPr>
              <w:t>70</w:t>
            </w:r>
            <w:r>
              <w:rPr>
                <w:kern w:val="0"/>
              </w:rPr>
              <w:t>dB</w:t>
            </w:r>
            <w:r>
              <w:rPr>
                <w:rFonts w:ascii="宋体" w:hAnsi="宋体"/>
                <w:kern w:val="0"/>
              </w:rPr>
              <w:t>（</w:t>
            </w:r>
            <w:r>
              <w:rPr>
                <w:kern w:val="0"/>
              </w:rPr>
              <w:t>A</w:t>
            </w:r>
            <w:r>
              <w:rPr>
                <w:rFonts w:ascii="宋体" w:hAnsi="宋体"/>
                <w:kern w:val="0"/>
              </w:rPr>
              <w:t>）</w:t>
            </w:r>
            <w:r>
              <w:rPr>
                <w:kern w:val="0"/>
              </w:rPr>
              <w:t xml:space="preserve">    </w:t>
            </w:r>
            <w:r>
              <w:rPr>
                <w:rFonts w:ascii="宋体" w:hAnsi="宋体"/>
                <w:kern w:val="0"/>
              </w:rPr>
              <w:t>夜间</w:t>
            </w:r>
            <w:r>
              <w:rPr>
                <w:kern w:val="0"/>
              </w:rPr>
              <w:t>&lt;5</w:t>
            </w:r>
            <w:r>
              <w:rPr>
                <w:rFonts w:hint="eastAsia"/>
                <w:kern w:val="0"/>
              </w:rPr>
              <w:t>5</w:t>
            </w:r>
            <w:r>
              <w:rPr>
                <w:kern w:val="0"/>
              </w:rPr>
              <w:t>dB</w:t>
            </w:r>
            <w:r>
              <w:rPr>
                <w:rFonts w:ascii="宋体" w:hAnsi="宋体"/>
                <w:kern w:val="0"/>
              </w:rPr>
              <w:t>（</w:t>
            </w:r>
            <w:r>
              <w:rPr>
                <w:kern w:val="0"/>
              </w:rPr>
              <w:t>A</w:t>
            </w:r>
            <w:r>
              <w:rPr>
                <w:rFonts w:ascii="宋体" w:hAnsi="宋体"/>
                <w:kern w:val="0"/>
              </w:rPr>
              <w:t>）</w:t>
            </w:r>
          </w:p>
          <w:p>
            <w:pPr>
              <w:autoSpaceDE w:val="0"/>
              <w:autoSpaceDN w:val="0"/>
              <w:adjustRightInd w:val="0"/>
              <w:snapToGrid w:val="0"/>
              <w:spacing w:line="380" w:lineRule="exact"/>
              <w:ind w:firstLine="420" w:firstLineChars="200"/>
              <w:jc w:val="left"/>
            </w:pPr>
            <w:r>
              <w:rPr>
                <w:kern w:val="0"/>
                <w:szCs w:val="21"/>
              </w:rPr>
              <w:t>4. 固体废物：</w:t>
            </w:r>
            <w:r>
              <w:rPr>
                <w:rFonts w:hint="eastAsia" w:cs="宋体"/>
                <w:kern w:val="0"/>
                <w:szCs w:val="21"/>
              </w:rPr>
              <w:t>一般固体废物处置执行《一般工业固体废物贮存和填埋污染控制标准》（</w:t>
            </w:r>
            <w:r>
              <w:rPr>
                <w:rFonts w:cs="宋体"/>
                <w:kern w:val="0"/>
                <w:szCs w:val="21"/>
              </w:rPr>
              <w:t>GB18599-20</w:t>
            </w:r>
            <w:r>
              <w:rPr>
                <w:rFonts w:hint="eastAsia" w:cs="宋体"/>
                <w:kern w:val="0"/>
                <w:szCs w:val="21"/>
              </w:rPr>
              <w:t>20）的有关规定。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92" w:type="dxa"/>
            <w:tcBorders>
              <w:top w:val="single" w:color="auto" w:sz="4" w:space="0"/>
              <w:left w:val="single" w:color="auto" w:sz="8" w:space="0"/>
              <w:bottom w:val="single" w:color="auto" w:sz="8" w:space="0"/>
              <w:right w:val="single" w:color="auto" w:sz="4" w:space="0"/>
            </w:tcBorders>
            <w:vAlign w:val="center"/>
          </w:tcPr>
          <w:p>
            <w:pPr>
              <w:adjustRightInd w:val="0"/>
              <w:snapToGrid w:val="0"/>
              <w:jc w:val="center"/>
              <w:rPr>
                <w:rFonts w:hint="eastAsia"/>
                <w:kern w:val="0"/>
                <w:szCs w:val="21"/>
              </w:rPr>
            </w:pPr>
          </w:p>
          <w:p>
            <w:pPr>
              <w:adjustRightInd w:val="0"/>
              <w:snapToGrid w:val="0"/>
              <w:jc w:val="center"/>
              <w:rPr>
                <w:kern w:val="0"/>
                <w:szCs w:val="21"/>
              </w:rPr>
            </w:pPr>
            <w:r>
              <w:rPr>
                <w:kern w:val="0"/>
                <w:szCs w:val="21"/>
              </w:rPr>
              <w:t>总量</w:t>
            </w:r>
          </w:p>
          <w:p>
            <w:pPr>
              <w:adjustRightInd w:val="0"/>
              <w:snapToGrid w:val="0"/>
              <w:jc w:val="center"/>
              <w:rPr>
                <w:kern w:val="0"/>
                <w:szCs w:val="21"/>
              </w:rPr>
            </w:pPr>
            <w:r>
              <w:rPr>
                <w:kern w:val="0"/>
                <w:szCs w:val="21"/>
              </w:rPr>
              <w:t>控制</w:t>
            </w:r>
          </w:p>
          <w:p>
            <w:pPr>
              <w:adjustRightInd w:val="0"/>
              <w:snapToGrid w:val="0"/>
              <w:jc w:val="center"/>
              <w:rPr>
                <w:kern w:val="0"/>
                <w:szCs w:val="21"/>
              </w:rPr>
            </w:pPr>
            <w:r>
              <w:rPr>
                <w:kern w:val="0"/>
                <w:szCs w:val="21"/>
              </w:rPr>
              <w:t>指标</w:t>
            </w: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tc>
        <w:tc>
          <w:tcPr>
            <w:tcW w:w="8127" w:type="dxa"/>
            <w:tcBorders>
              <w:top w:val="single" w:color="auto" w:sz="4" w:space="0"/>
              <w:left w:val="single" w:color="auto" w:sz="4" w:space="0"/>
              <w:bottom w:val="single" w:color="auto" w:sz="8" w:space="0"/>
              <w:right w:val="single" w:color="auto" w:sz="8" w:space="0"/>
            </w:tcBorders>
            <w:vAlign w:val="center"/>
          </w:tcPr>
          <w:p>
            <w:pPr>
              <w:pStyle w:val="15"/>
              <w:jc w:val="center"/>
            </w:pPr>
          </w:p>
          <w:p>
            <w:pPr>
              <w:pStyle w:val="15"/>
              <w:jc w:val="center"/>
            </w:pPr>
            <w:r>
              <w:t>无</w:t>
            </w:r>
          </w:p>
          <w:p>
            <w:pPr>
              <w:pStyle w:val="15"/>
              <w:jc w:val="center"/>
            </w:pPr>
          </w:p>
          <w:p>
            <w:pPr>
              <w:pStyle w:val="15"/>
              <w:jc w:val="center"/>
            </w:pPr>
          </w:p>
          <w:p>
            <w:pPr>
              <w:pStyle w:val="15"/>
              <w:jc w:val="center"/>
            </w:pPr>
          </w:p>
          <w:p>
            <w:pPr>
              <w:pStyle w:val="15"/>
              <w:jc w:val="center"/>
            </w:pPr>
          </w:p>
          <w:p>
            <w:pPr>
              <w:pStyle w:val="15"/>
              <w:jc w:val="center"/>
            </w:pPr>
          </w:p>
          <w:p>
            <w:pPr>
              <w:pStyle w:val="15"/>
              <w:jc w:val="center"/>
            </w:pPr>
          </w:p>
          <w:p>
            <w:pPr>
              <w:pStyle w:val="15"/>
              <w:jc w:val="center"/>
            </w:pPr>
          </w:p>
          <w:p>
            <w:pPr>
              <w:pStyle w:val="15"/>
              <w:jc w:val="center"/>
            </w:pPr>
          </w:p>
          <w:p>
            <w:pPr>
              <w:pStyle w:val="15"/>
              <w:jc w:val="center"/>
            </w:pPr>
          </w:p>
          <w:p>
            <w:pPr>
              <w:pStyle w:val="15"/>
              <w:jc w:val="center"/>
            </w:pPr>
          </w:p>
          <w:p>
            <w:pPr>
              <w:pStyle w:val="15"/>
              <w:jc w:val="center"/>
            </w:pPr>
          </w:p>
          <w:p>
            <w:pPr>
              <w:pStyle w:val="15"/>
              <w:jc w:val="center"/>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tc>
      </w:tr>
    </w:tbl>
    <w:p>
      <w:pPr>
        <w:pStyle w:val="19"/>
        <w:jc w:val="center"/>
        <w:outlineLvl w:val="0"/>
        <w:rPr>
          <w:rFonts w:ascii="Times New Roman" w:hAnsi="Times New Roman" w:eastAsia="黑体" w:cs="Times New Roman"/>
          <w:snapToGrid w:val="0"/>
          <w:kern w:val="0"/>
          <w:sz w:val="30"/>
          <w:szCs w:val="30"/>
        </w:rPr>
      </w:pPr>
      <w:r>
        <w:rPr>
          <w:rFonts w:ascii="Times New Roman" w:hAnsi="Times New Roman" w:eastAsia="黑体" w:cs="Times New Roman"/>
          <w:snapToGrid w:val="0"/>
          <w:kern w:val="0"/>
          <w:sz w:val="36"/>
          <w:szCs w:val="36"/>
        </w:rPr>
        <w:br w:type="page"/>
      </w:r>
      <w:r>
        <w:rPr>
          <w:rFonts w:ascii="Times New Roman" w:hAnsi="Times New Roman" w:eastAsia="黑体" w:cs="Times New Roman"/>
          <w:snapToGrid w:val="0"/>
          <w:sz w:val="30"/>
          <w:szCs w:val="30"/>
        </w:rPr>
        <w:t>四、主要环境影响和保护措施</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1"/>
        <w:gridCol w:w="816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60" w:hRule="atLeast"/>
          <w:jc w:val="center"/>
        </w:trPr>
        <w:tc>
          <w:tcPr>
            <w:tcW w:w="741" w:type="dxa"/>
            <w:tcBorders>
              <w:top w:val="single" w:color="auto" w:sz="8" w:space="0"/>
              <w:left w:val="single" w:color="auto" w:sz="8" w:space="0"/>
              <w:bottom w:val="single" w:color="auto" w:sz="4" w:space="0"/>
              <w:right w:val="single" w:color="auto" w:sz="4" w:space="0"/>
            </w:tcBorders>
            <w:tcMar>
              <w:top w:w="0" w:type="dxa"/>
              <w:left w:w="28" w:type="dxa"/>
              <w:bottom w:w="0" w:type="dxa"/>
              <w:right w:w="28" w:type="dxa"/>
            </w:tcMar>
            <w:vAlign w:val="center"/>
          </w:tcPr>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施工</w:t>
            </w:r>
          </w:p>
          <w:p>
            <w:pPr>
              <w:pStyle w:val="19"/>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期环</w:t>
            </w:r>
          </w:p>
          <w:p>
            <w:pPr>
              <w:pStyle w:val="19"/>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境保</w:t>
            </w:r>
          </w:p>
          <w:p>
            <w:pPr>
              <w:pStyle w:val="19"/>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护措</w:t>
            </w:r>
          </w:p>
          <w:p>
            <w:pPr>
              <w:pStyle w:val="19"/>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施</w:t>
            </w: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施工</w:t>
            </w:r>
          </w:p>
          <w:p>
            <w:pPr>
              <w:pStyle w:val="19"/>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期环</w:t>
            </w:r>
          </w:p>
          <w:p>
            <w:pPr>
              <w:pStyle w:val="19"/>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境保</w:t>
            </w:r>
          </w:p>
          <w:p>
            <w:pPr>
              <w:pStyle w:val="19"/>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护措</w:t>
            </w:r>
          </w:p>
          <w:p>
            <w:pPr>
              <w:pStyle w:val="19"/>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施</w:t>
            </w: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bCs/>
                <w:sz w:val="21"/>
                <w:szCs w:val="21"/>
              </w:rPr>
            </w:pPr>
          </w:p>
        </w:tc>
        <w:tc>
          <w:tcPr>
            <w:tcW w:w="8167" w:type="dxa"/>
            <w:tcBorders>
              <w:top w:val="single" w:color="auto" w:sz="8" w:space="0"/>
              <w:left w:val="single" w:color="auto" w:sz="4" w:space="0"/>
              <w:bottom w:val="single" w:color="auto" w:sz="4" w:space="0"/>
              <w:right w:val="single" w:color="auto" w:sz="8" w:space="0"/>
            </w:tcBorders>
            <w:vAlign w:val="center"/>
          </w:tcPr>
          <w:p>
            <w:pPr>
              <w:adjustRightInd w:val="0"/>
              <w:snapToGrid w:val="0"/>
              <w:spacing w:line="400" w:lineRule="exact"/>
              <w:ind w:left="-53" w:leftChars="-25" w:right="-53" w:rightChars="-25"/>
              <w:jc w:val="left"/>
              <w:rPr>
                <w:rFonts w:eastAsia="黑体"/>
                <w:bCs/>
                <w:szCs w:val="21"/>
              </w:rPr>
            </w:pPr>
            <w:r>
              <w:rPr>
                <w:rFonts w:eastAsia="黑体"/>
                <w:bCs/>
                <w:szCs w:val="21"/>
              </w:rPr>
              <w:t>1、废气</w:t>
            </w:r>
          </w:p>
          <w:p>
            <w:pPr>
              <w:autoSpaceDE w:val="0"/>
              <w:autoSpaceDN w:val="0"/>
              <w:adjustRightInd w:val="0"/>
              <w:spacing w:line="400" w:lineRule="exact"/>
              <w:ind w:firstLine="422" w:firstLineChars="201"/>
              <w:jc w:val="left"/>
              <w:rPr>
                <w:szCs w:val="21"/>
              </w:rPr>
            </w:pPr>
            <w:r>
              <w:rPr>
                <w:rFonts w:hint="eastAsia"/>
                <w:szCs w:val="21"/>
              </w:rPr>
              <w:t>本项目施工期间排放的大气污染物主要为施工扬尘、施工机械和运输车辆产生的尾气等。施工现场应采取的污染防治措施如下：</w:t>
            </w:r>
          </w:p>
          <w:p>
            <w:pPr>
              <w:autoSpaceDE w:val="0"/>
              <w:autoSpaceDN w:val="0"/>
              <w:adjustRightInd w:val="0"/>
              <w:spacing w:line="400" w:lineRule="exact"/>
              <w:ind w:firstLine="422" w:firstLineChars="201"/>
              <w:jc w:val="left"/>
              <w:rPr>
                <w:szCs w:val="21"/>
              </w:rPr>
            </w:pPr>
            <w:r>
              <w:rPr>
                <w:rFonts w:hint="eastAsia"/>
                <w:szCs w:val="21"/>
              </w:rPr>
              <w:t>①建筑施工现场严格执行“六必须、六不准、六个100%”。即必须打围作业、必须硬化道路、必须设置冲洗设施、必须湿法作业、必须配齐保洁人员、必须定时清扫施工现场。不准车辆带泥出门、不准高空抛撒建渣、不准现场搅拌混凝土、不准场地积水、不准现场焚烧废弃物、不准现场堆放未覆盖的裸土。施工工地周边100%围挡、物料堆放100%覆盖、出入车辆100%冲洗、施工现场地面100%硬化、拆迁工地100%湿法作业、渣土车辆100%密闭运输。本项目施工所用的混凝土均外购商混砼，不在现场开展混凝土搅拌作业。</w:t>
            </w:r>
          </w:p>
          <w:p>
            <w:pPr>
              <w:autoSpaceDE w:val="0"/>
              <w:autoSpaceDN w:val="0"/>
              <w:adjustRightInd w:val="0"/>
              <w:spacing w:line="400" w:lineRule="exact"/>
              <w:ind w:firstLine="422" w:firstLineChars="201"/>
              <w:jc w:val="left"/>
              <w:rPr>
                <w:szCs w:val="21"/>
              </w:rPr>
            </w:pPr>
            <w:r>
              <w:rPr>
                <w:rFonts w:hint="eastAsia"/>
                <w:szCs w:val="21"/>
              </w:rPr>
              <w:t>②施工过程产生的建筑垃圾，及时清运按规定妥善处置。</w:t>
            </w:r>
          </w:p>
          <w:p>
            <w:pPr>
              <w:autoSpaceDE w:val="0"/>
              <w:autoSpaceDN w:val="0"/>
              <w:adjustRightInd w:val="0"/>
              <w:spacing w:line="400" w:lineRule="exact"/>
              <w:ind w:firstLine="422" w:firstLineChars="201"/>
              <w:jc w:val="left"/>
              <w:rPr>
                <w:szCs w:val="21"/>
              </w:rPr>
            </w:pPr>
            <w:r>
              <w:rPr>
                <w:rFonts w:hint="eastAsia"/>
                <w:szCs w:val="21"/>
              </w:rPr>
              <w:t>③车辆进出场地时应落实防尘冲洗措施；冲洗废水利用现有沉淀池处理后回用。</w:t>
            </w:r>
          </w:p>
          <w:p>
            <w:pPr>
              <w:autoSpaceDE w:val="0"/>
              <w:autoSpaceDN w:val="0"/>
              <w:adjustRightInd w:val="0"/>
              <w:spacing w:line="400" w:lineRule="exact"/>
              <w:ind w:firstLine="422" w:firstLineChars="201"/>
              <w:jc w:val="left"/>
              <w:rPr>
                <w:szCs w:val="21"/>
              </w:rPr>
            </w:pPr>
            <w:r>
              <w:rPr>
                <w:rFonts w:hint="eastAsia"/>
                <w:szCs w:val="21"/>
              </w:rPr>
              <w:t>④施工现场加强管理，遇到风速四级以上易产生扬尘时尽量停止施工作业，并对建筑材料采取措施，严禁凌空抛掷。</w:t>
            </w:r>
          </w:p>
          <w:p>
            <w:pPr>
              <w:autoSpaceDE w:val="0"/>
              <w:autoSpaceDN w:val="0"/>
              <w:adjustRightInd w:val="0"/>
              <w:snapToGrid w:val="0"/>
              <w:spacing w:line="400" w:lineRule="exact"/>
              <w:ind w:firstLine="420" w:firstLineChars="200"/>
              <w:jc w:val="left"/>
              <w:rPr>
                <w:rFonts w:eastAsia="黑体"/>
                <w:bCs/>
                <w:szCs w:val="21"/>
              </w:rPr>
            </w:pPr>
            <w:r>
              <w:rPr>
                <w:szCs w:val="21"/>
                <w:lang w:val="zh-CN"/>
              </w:rPr>
              <w:t>通过采取上述废气治理措施，项目施工期废气对周围环境影响较小。</w:t>
            </w:r>
          </w:p>
          <w:p>
            <w:pPr>
              <w:autoSpaceDE w:val="0"/>
              <w:autoSpaceDN w:val="0"/>
              <w:adjustRightInd w:val="0"/>
              <w:snapToGrid w:val="0"/>
              <w:spacing w:line="400" w:lineRule="exact"/>
              <w:jc w:val="left"/>
              <w:rPr>
                <w:rFonts w:eastAsia="黑体"/>
                <w:bCs/>
                <w:szCs w:val="21"/>
              </w:rPr>
            </w:pPr>
            <w:r>
              <w:rPr>
                <w:rFonts w:hint="eastAsia" w:eastAsia="黑体"/>
                <w:bCs/>
                <w:szCs w:val="21"/>
              </w:rPr>
              <w:t>2、废水</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施工废水主要来源于各种设备的清洗废水，其主要污染物为SS。施工工人主要为附近居民，不在厂区内食宿。施工废水应采取的处理措施如下：</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①设置固定的车辆冲洗区域，将施工废水收集后至现有沉淀池处理全部回用，禁止废水无组织漫流，增大重复用水率，降低污水产生量。</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②加强施工机械管理，尽量避免跑、冒、滴、漏。</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③建筑材料</w:t>
            </w:r>
            <w:r>
              <w:rPr>
                <w:rFonts w:hint="eastAsia"/>
                <w:kern w:val="0"/>
                <w:szCs w:val="21"/>
                <w:lang w:eastAsia="zh-CN"/>
              </w:rPr>
              <w:t>雨棚</w:t>
            </w:r>
            <w:r>
              <w:rPr>
                <w:rFonts w:hint="eastAsia"/>
                <w:kern w:val="0"/>
                <w:szCs w:val="21"/>
              </w:rPr>
              <w:t>遮挡，必要时设防护围栏，防止被雨水冲刷流入水体。</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采取上述措施后，施工废水不会对周围环境造成污染性影响。</w:t>
            </w:r>
          </w:p>
          <w:p>
            <w:pPr>
              <w:autoSpaceDE w:val="0"/>
              <w:autoSpaceDN w:val="0"/>
              <w:adjustRightInd w:val="0"/>
              <w:snapToGrid w:val="0"/>
              <w:spacing w:line="400" w:lineRule="exact"/>
              <w:jc w:val="left"/>
              <w:rPr>
                <w:rFonts w:eastAsia="黑体"/>
                <w:bCs/>
                <w:szCs w:val="21"/>
              </w:rPr>
            </w:pPr>
            <w:r>
              <w:rPr>
                <w:rFonts w:hint="eastAsia" w:eastAsia="黑体"/>
                <w:bCs/>
                <w:szCs w:val="21"/>
              </w:rPr>
              <w:t>3</w:t>
            </w:r>
            <w:r>
              <w:rPr>
                <w:rFonts w:eastAsia="黑体"/>
                <w:bCs/>
                <w:szCs w:val="21"/>
              </w:rPr>
              <w:t>、噪声</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项目使用的施工机械设备（如混凝土振动泵等）和运输车辆，这些机械设备噪声源的强度在85～100dB(A）之间。</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为降低噪声污染影响，建议在施工过程中应严格落实以下噪声控制措施：</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①在满足工艺要求的前提下，首先选用先进的、噪声较低的环保型设备，严格按操作规程使用各类机械，使机器设备处于良好的运行状态。</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②合理安排工期，尽量缩短整个施工期；严格控制施工时间，禁止夜间（22:00-次日6：00）进行产生环境噪声污染的施工作业；应尽可能避免大量高噪声设备同时施工。</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③坚持文明施工，降低人为噪声，搬运应该轻拿轻放。</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④合理布局，避免在同一地点安排大量动力机械设备。</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⑤运输物料的车辆进入现场应减速行驶、并禁止鸣笛。合理安排运输路线，物料运输通道尽量避开居民区和环境噪声敏感区。</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通过严格的施工管理和采取以上措施后，能够最大限度地减轻施工噪声对周围环境的影响，建设期间施工噪声不会产生扰民影响。</w:t>
            </w:r>
          </w:p>
          <w:p>
            <w:pPr>
              <w:autoSpaceDE w:val="0"/>
              <w:autoSpaceDN w:val="0"/>
              <w:adjustRightInd w:val="0"/>
              <w:snapToGrid w:val="0"/>
              <w:spacing w:line="400" w:lineRule="exact"/>
              <w:jc w:val="left"/>
              <w:rPr>
                <w:rFonts w:eastAsia="黑体"/>
                <w:bCs/>
                <w:szCs w:val="21"/>
              </w:rPr>
            </w:pPr>
            <w:r>
              <w:rPr>
                <w:rFonts w:hint="eastAsia" w:eastAsia="黑体"/>
                <w:bCs/>
                <w:szCs w:val="21"/>
              </w:rPr>
              <w:t>四、固体废物</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主要包括：场地硬化产生的建筑垃圾，煤棚搭建时产生的废建材等。施工期的建筑垃圾，如不能得到有效处理而任其随意堆放，不仅会占用有限的土地资源，也会引起小范围的水土流失，随地表径流排入附近水体，造成污染影响。</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针对施工期固废应采取的处置措施如下：</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①根据《城市建筑垃圾管理规定》（中华人民共和国建设部令第139号），任何单位和个人不得将建筑垃圾混入生活垃圾，不得擅自设立弃置场受纳建筑垃圾。</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②本项目施工期产生的少量建筑垃圾，应及时运至当地管理部门指定的建筑垃圾堆放场。</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③废弃建材可收集后，及时外运至废品回收站出售。</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④建设单位应加强现场的施工管理，施工前材料选购应精确计量，避免材料浪费；尽量控制工程的变更，产生不必要的施工建筑垃圾。</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⑤车辆运输散状物料时，必须密闭、覆盖，不得沿途漏撒。</w:t>
            </w:r>
          </w:p>
          <w:p>
            <w:pPr>
              <w:autoSpaceDE w:val="0"/>
              <w:autoSpaceDN w:val="0"/>
              <w:adjustRightInd w:val="0"/>
              <w:snapToGrid w:val="0"/>
              <w:spacing w:line="400" w:lineRule="exact"/>
              <w:ind w:firstLine="420" w:firstLineChars="200"/>
              <w:jc w:val="left"/>
              <w:rPr>
                <w:bCs/>
                <w:spacing w:val="-10"/>
                <w:szCs w:val="21"/>
              </w:rPr>
            </w:pPr>
            <w:r>
              <w:rPr>
                <w:rFonts w:hint="eastAsia"/>
                <w:kern w:val="0"/>
                <w:szCs w:val="21"/>
              </w:rPr>
              <w:t>采取上述措施后，项目施工期的固体废物不会对环境产生不利影响。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741" w:type="dxa"/>
            <w:tcBorders>
              <w:top w:val="single" w:color="auto" w:sz="4" w:space="0"/>
              <w:left w:val="single" w:color="auto" w:sz="8" w:space="0"/>
              <w:bottom w:val="single" w:color="auto" w:sz="8" w:space="0"/>
              <w:right w:val="single" w:color="auto" w:sz="4" w:space="0"/>
            </w:tcBorders>
            <w:tcMar>
              <w:top w:w="0" w:type="dxa"/>
              <w:left w:w="28" w:type="dxa"/>
              <w:bottom w:w="0" w:type="dxa"/>
              <w:right w:w="28" w:type="dxa"/>
            </w:tcMar>
            <w:vAlign w:val="center"/>
          </w:tcPr>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pStyle w:val="15"/>
            </w:pPr>
          </w:p>
          <w:p>
            <w:pPr>
              <w:adjustRightInd w:val="0"/>
              <w:snapToGrid w:val="0"/>
              <w:jc w:val="center"/>
              <w:rPr>
                <w:bCs/>
                <w:szCs w:val="21"/>
              </w:rPr>
            </w:pPr>
          </w:p>
          <w:p>
            <w:pPr>
              <w:adjustRightInd w:val="0"/>
              <w:snapToGrid w:val="0"/>
              <w:jc w:val="center"/>
              <w:rPr>
                <w:bCs/>
                <w:szCs w:val="21"/>
              </w:rPr>
            </w:pPr>
            <w:r>
              <w:rPr>
                <w:bCs/>
                <w:szCs w:val="21"/>
              </w:rPr>
              <w:t>运营</w:t>
            </w:r>
          </w:p>
          <w:p>
            <w:pPr>
              <w:adjustRightInd w:val="0"/>
              <w:snapToGrid w:val="0"/>
              <w:jc w:val="center"/>
              <w:rPr>
                <w:bCs/>
                <w:szCs w:val="21"/>
              </w:rPr>
            </w:pPr>
            <w:r>
              <w:rPr>
                <w:bCs/>
                <w:szCs w:val="21"/>
              </w:rPr>
              <w:t>期环</w:t>
            </w:r>
          </w:p>
          <w:p>
            <w:pPr>
              <w:adjustRightInd w:val="0"/>
              <w:snapToGrid w:val="0"/>
              <w:jc w:val="center"/>
              <w:rPr>
                <w:bCs/>
                <w:szCs w:val="21"/>
              </w:rPr>
            </w:pPr>
            <w:r>
              <w:rPr>
                <w:bCs/>
                <w:szCs w:val="21"/>
              </w:rPr>
              <w:t>境影</w:t>
            </w:r>
          </w:p>
          <w:p>
            <w:pPr>
              <w:adjustRightInd w:val="0"/>
              <w:snapToGrid w:val="0"/>
              <w:jc w:val="center"/>
              <w:rPr>
                <w:bCs/>
                <w:szCs w:val="21"/>
              </w:rPr>
            </w:pPr>
            <w:r>
              <w:rPr>
                <w:bCs/>
                <w:szCs w:val="21"/>
              </w:rPr>
              <w:t>响和</w:t>
            </w:r>
          </w:p>
          <w:p>
            <w:pPr>
              <w:adjustRightInd w:val="0"/>
              <w:snapToGrid w:val="0"/>
              <w:jc w:val="center"/>
              <w:rPr>
                <w:bCs/>
                <w:szCs w:val="21"/>
              </w:rPr>
            </w:pPr>
            <w:r>
              <w:rPr>
                <w:bCs/>
                <w:szCs w:val="21"/>
              </w:rPr>
              <w:t>保护</w:t>
            </w:r>
          </w:p>
          <w:p>
            <w:pPr>
              <w:adjustRightInd w:val="0"/>
              <w:snapToGrid w:val="0"/>
              <w:jc w:val="center"/>
              <w:rPr>
                <w:bCs/>
                <w:szCs w:val="21"/>
              </w:rPr>
            </w:pPr>
            <w:r>
              <w:rPr>
                <w:bCs/>
                <w:szCs w:val="21"/>
              </w:rPr>
              <w:t>措施</w:t>
            </w:r>
          </w:p>
          <w:p>
            <w:pPr>
              <w:pStyle w:val="15"/>
            </w:pPr>
          </w:p>
          <w:p>
            <w:pPr>
              <w:pStyle w:val="15"/>
            </w:pPr>
          </w:p>
          <w:p>
            <w:pPr>
              <w:pStyle w:val="15"/>
            </w:pPr>
          </w:p>
          <w:p>
            <w:pPr>
              <w:pStyle w:val="15"/>
            </w:pPr>
          </w:p>
          <w:p>
            <w:pPr>
              <w:pStyle w:val="15"/>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pStyle w:val="15"/>
            </w:pPr>
          </w:p>
          <w:p>
            <w:pPr>
              <w:pStyle w:val="15"/>
            </w:pPr>
          </w:p>
          <w:p>
            <w:pPr>
              <w:pStyle w:val="15"/>
            </w:pPr>
          </w:p>
          <w:p>
            <w:pPr>
              <w:pStyle w:val="15"/>
            </w:pPr>
          </w:p>
          <w:p>
            <w:pPr>
              <w:pStyle w:val="15"/>
            </w:pPr>
          </w:p>
          <w:p>
            <w:pPr>
              <w:pStyle w:val="15"/>
            </w:pPr>
          </w:p>
          <w:p>
            <w:pPr>
              <w:adjustRightInd w:val="0"/>
              <w:snapToGrid w:val="0"/>
              <w:jc w:val="center"/>
              <w:rPr>
                <w:bCs/>
                <w:szCs w:val="21"/>
              </w:rPr>
            </w:pPr>
            <w:r>
              <w:rPr>
                <w:bCs/>
                <w:szCs w:val="21"/>
              </w:rPr>
              <w:t>运营</w:t>
            </w:r>
          </w:p>
          <w:p>
            <w:pPr>
              <w:adjustRightInd w:val="0"/>
              <w:snapToGrid w:val="0"/>
              <w:jc w:val="center"/>
              <w:rPr>
                <w:bCs/>
                <w:szCs w:val="21"/>
              </w:rPr>
            </w:pPr>
            <w:r>
              <w:rPr>
                <w:bCs/>
                <w:szCs w:val="21"/>
              </w:rPr>
              <w:t>期环</w:t>
            </w:r>
          </w:p>
          <w:p>
            <w:pPr>
              <w:adjustRightInd w:val="0"/>
              <w:snapToGrid w:val="0"/>
              <w:jc w:val="center"/>
              <w:rPr>
                <w:bCs/>
                <w:szCs w:val="21"/>
              </w:rPr>
            </w:pPr>
            <w:r>
              <w:rPr>
                <w:bCs/>
                <w:szCs w:val="21"/>
              </w:rPr>
              <w:t>境影</w:t>
            </w:r>
          </w:p>
          <w:p>
            <w:pPr>
              <w:adjustRightInd w:val="0"/>
              <w:snapToGrid w:val="0"/>
              <w:jc w:val="center"/>
              <w:rPr>
                <w:bCs/>
                <w:szCs w:val="21"/>
              </w:rPr>
            </w:pPr>
            <w:r>
              <w:rPr>
                <w:bCs/>
                <w:szCs w:val="21"/>
              </w:rPr>
              <w:t>响和</w:t>
            </w:r>
          </w:p>
          <w:p>
            <w:pPr>
              <w:adjustRightInd w:val="0"/>
              <w:snapToGrid w:val="0"/>
              <w:jc w:val="center"/>
              <w:rPr>
                <w:bCs/>
                <w:szCs w:val="21"/>
              </w:rPr>
            </w:pPr>
            <w:r>
              <w:rPr>
                <w:bCs/>
                <w:szCs w:val="21"/>
              </w:rPr>
              <w:t>保护</w:t>
            </w:r>
          </w:p>
          <w:p>
            <w:pPr>
              <w:adjustRightInd w:val="0"/>
              <w:snapToGrid w:val="0"/>
              <w:jc w:val="center"/>
              <w:rPr>
                <w:bCs/>
                <w:szCs w:val="21"/>
              </w:rPr>
            </w:pPr>
            <w:r>
              <w:rPr>
                <w:bCs/>
                <w:szCs w:val="21"/>
              </w:rPr>
              <w:t>措施</w:t>
            </w: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pStyle w:val="15"/>
            </w:pPr>
          </w:p>
          <w:p>
            <w:pPr>
              <w:pStyle w:val="15"/>
            </w:pPr>
          </w:p>
          <w:p>
            <w:pPr>
              <w:pStyle w:val="15"/>
            </w:pPr>
          </w:p>
          <w:p>
            <w:pPr>
              <w:pStyle w:val="15"/>
            </w:pPr>
          </w:p>
          <w:p>
            <w:pPr>
              <w:pStyle w:val="15"/>
            </w:pPr>
          </w:p>
          <w:p>
            <w:pPr>
              <w:pStyle w:val="15"/>
            </w:pPr>
          </w:p>
          <w:p>
            <w:pPr>
              <w:adjustRightInd w:val="0"/>
              <w:snapToGrid w:val="0"/>
              <w:jc w:val="center"/>
              <w:rPr>
                <w:bCs/>
                <w:szCs w:val="21"/>
              </w:rPr>
            </w:pPr>
            <w:r>
              <w:rPr>
                <w:bCs/>
                <w:szCs w:val="21"/>
              </w:rPr>
              <w:t>运营</w:t>
            </w:r>
          </w:p>
          <w:p>
            <w:pPr>
              <w:adjustRightInd w:val="0"/>
              <w:snapToGrid w:val="0"/>
              <w:jc w:val="center"/>
              <w:rPr>
                <w:bCs/>
                <w:szCs w:val="21"/>
              </w:rPr>
            </w:pPr>
            <w:r>
              <w:rPr>
                <w:bCs/>
                <w:szCs w:val="21"/>
              </w:rPr>
              <w:t>期环</w:t>
            </w:r>
          </w:p>
          <w:p>
            <w:pPr>
              <w:adjustRightInd w:val="0"/>
              <w:snapToGrid w:val="0"/>
              <w:jc w:val="center"/>
              <w:rPr>
                <w:bCs/>
                <w:szCs w:val="21"/>
              </w:rPr>
            </w:pPr>
            <w:r>
              <w:rPr>
                <w:bCs/>
                <w:szCs w:val="21"/>
              </w:rPr>
              <w:t>境影</w:t>
            </w:r>
          </w:p>
          <w:p>
            <w:pPr>
              <w:adjustRightInd w:val="0"/>
              <w:snapToGrid w:val="0"/>
              <w:jc w:val="center"/>
              <w:rPr>
                <w:bCs/>
                <w:szCs w:val="21"/>
              </w:rPr>
            </w:pPr>
            <w:r>
              <w:rPr>
                <w:bCs/>
                <w:szCs w:val="21"/>
              </w:rPr>
              <w:t>响和</w:t>
            </w:r>
          </w:p>
          <w:p>
            <w:pPr>
              <w:adjustRightInd w:val="0"/>
              <w:snapToGrid w:val="0"/>
              <w:jc w:val="center"/>
              <w:rPr>
                <w:bCs/>
                <w:szCs w:val="21"/>
              </w:rPr>
            </w:pPr>
            <w:r>
              <w:rPr>
                <w:bCs/>
                <w:szCs w:val="21"/>
              </w:rPr>
              <w:t>保护</w:t>
            </w:r>
          </w:p>
          <w:p>
            <w:pPr>
              <w:adjustRightInd w:val="0"/>
              <w:snapToGrid w:val="0"/>
              <w:jc w:val="center"/>
              <w:rPr>
                <w:bCs/>
                <w:szCs w:val="21"/>
              </w:rPr>
            </w:pPr>
            <w:r>
              <w:rPr>
                <w:bCs/>
                <w:szCs w:val="21"/>
              </w:rPr>
              <w:t>措施</w:t>
            </w: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pStyle w:val="15"/>
            </w:pPr>
          </w:p>
          <w:p>
            <w:pPr>
              <w:pStyle w:val="15"/>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r>
              <w:rPr>
                <w:bCs/>
                <w:szCs w:val="21"/>
              </w:rPr>
              <w:t>运营</w:t>
            </w:r>
          </w:p>
          <w:p>
            <w:pPr>
              <w:adjustRightInd w:val="0"/>
              <w:snapToGrid w:val="0"/>
              <w:jc w:val="center"/>
              <w:rPr>
                <w:bCs/>
                <w:szCs w:val="21"/>
              </w:rPr>
            </w:pPr>
            <w:r>
              <w:rPr>
                <w:bCs/>
                <w:szCs w:val="21"/>
              </w:rPr>
              <w:t>期环</w:t>
            </w:r>
          </w:p>
          <w:p>
            <w:pPr>
              <w:adjustRightInd w:val="0"/>
              <w:snapToGrid w:val="0"/>
              <w:jc w:val="center"/>
              <w:rPr>
                <w:bCs/>
                <w:szCs w:val="21"/>
              </w:rPr>
            </w:pPr>
            <w:r>
              <w:rPr>
                <w:bCs/>
                <w:szCs w:val="21"/>
              </w:rPr>
              <w:t>境影</w:t>
            </w:r>
          </w:p>
          <w:p>
            <w:pPr>
              <w:adjustRightInd w:val="0"/>
              <w:snapToGrid w:val="0"/>
              <w:jc w:val="center"/>
              <w:rPr>
                <w:bCs/>
                <w:szCs w:val="21"/>
              </w:rPr>
            </w:pPr>
            <w:r>
              <w:rPr>
                <w:bCs/>
                <w:szCs w:val="21"/>
              </w:rPr>
              <w:t>响和</w:t>
            </w:r>
          </w:p>
          <w:p>
            <w:pPr>
              <w:adjustRightInd w:val="0"/>
              <w:snapToGrid w:val="0"/>
              <w:jc w:val="center"/>
              <w:rPr>
                <w:bCs/>
                <w:szCs w:val="21"/>
              </w:rPr>
            </w:pPr>
            <w:r>
              <w:rPr>
                <w:bCs/>
                <w:szCs w:val="21"/>
              </w:rPr>
              <w:t>保护</w:t>
            </w:r>
          </w:p>
          <w:p>
            <w:pPr>
              <w:adjustRightInd w:val="0"/>
              <w:snapToGrid w:val="0"/>
              <w:jc w:val="center"/>
              <w:rPr>
                <w:bCs/>
                <w:szCs w:val="21"/>
              </w:rPr>
            </w:pPr>
            <w:r>
              <w:rPr>
                <w:bCs/>
                <w:szCs w:val="21"/>
              </w:rPr>
              <w:t>措施</w:t>
            </w: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pStyle w:val="15"/>
            </w:pPr>
          </w:p>
          <w:p>
            <w:pPr>
              <w:pStyle w:val="15"/>
            </w:pPr>
          </w:p>
          <w:p>
            <w:pPr>
              <w:pStyle w:val="15"/>
            </w:pPr>
          </w:p>
          <w:p>
            <w:pPr>
              <w:pStyle w:val="15"/>
            </w:pPr>
          </w:p>
          <w:p>
            <w:pPr>
              <w:pStyle w:val="15"/>
            </w:pPr>
          </w:p>
          <w:p>
            <w:pPr>
              <w:pStyle w:val="15"/>
            </w:pPr>
          </w:p>
          <w:p>
            <w:pPr>
              <w:adjustRightInd w:val="0"/>
              <w:snapToGrid w:val="0"/>
              <w:jc w:val="center"/>
              <w:rPr>
                <w:bCs/>
                <w:szCs w:val="21"/>
              </w:rPr>
            </w:pPr>
            <w:r>
              <w:rPr>
                <w:bCs/>
                <w:szCs w:val="21"/>
              </w:rPr>
              <w:t>运营</w:t>
            </w:r>
          </w:p>
          <w:p>
            <w:pPr>
              <w:adjustRightInd w:val="0"/>
              <w:snapToGrid w:val="0"/>
              <w:jc w:val="center"/>
              <w:rPr>
                <w:bCs/>
                <w:szCs w:val="21"/>
              </w:rPr>
            </w:pPr>
            <w:r>
              <w:rPr>
                <w:bCs/>
                <w:szCs w:val="21"/>
              </w:rPr>
              <w:t>期环</w:t>
            </w:r>
          </w:p>
          <w:p>
            <w:pPr>
              <w:adjustRightInd w:val="0"/>
              <w:snapToGrid w:val="0"/>
              <w:jc w:val="center"/>
              <w:rPr>
                <w:bCs/>
                <w:szCs w:val="21"/>
              </w:rPr>
            </w:pPr>
            <w:r>
              <w:rPr>
                <w:bCs/>
                <w:szCs w:val="21"/>
              </w:rPr>
              <w:t>境影</w:t>
            </w:r>
          </w:p>
          <w:p>
            <w:pPr>
              <w:adjustRightInd w:val="0"/>
              <w:snapToGrid w:val="0"/>
              <w:jc w:val="center"/>
              <w:rPr>
                <w:bCs/>
                <w:szCs w:val="21"/>
              </w:rPr>
            </w:pPr>
            <w:r>
              <w:rPr>
                <w:bCs/>
                <w:szCs w:val="21"/>
              </w:rPr>
              <w:t>响和</w:t>
            </w:r>
          </w:p>
          <w:p>
            <w:pPr>
              <w:adjustRightInd w:val="0"/>
              <w:snapToGrid w:val="0"/>
              <w:jc w:val="center"/>
              <w:rPr>
                <w:bCs/>
                <w:szCs w:val="21"/>
              </w:rPr>
            </w:pPr>
            <w:r>
              <w:rPr>
                <w:bCs/>
                <w:szCs w:val="21"/>
              </w:rPr>
              <w:t>保护</w:t>
            </w:r>
          </w:p>
          <w:p>
            <w:pPr>
              <w:adjustRightInd w:val="0"/>
              <w:snapToGrid w:val="0"/>
              <w:jc w:val="center"/>
              <w:rPr>
                <w:bCs/>
                <w:szCs w:val="21"/>
              </w:rPr>
            </w:pPr>
            <w:r>
              <w:rPr>
                <w:bCs/>
                <w:szCs w:val="21"/>
              </w:rPr>
              <w:t>措施</w:t>
            </w: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adjustRightInd w:val="0"/>
              <w:snapToGrid w:val="0"/>
              <w:jc w:val="center"/>
              <w:rPr>
                <w:bCs/>
                <w:szCs w:val="21"/>
              </w:rPr>
            </w:pPr>
          </w:p>
          <w:p>
            <w:pPr>
              <w:pStyle w:val="15"/>
            </w:pPr>
          </w:p>
          <w:p>
            <w:pPr>
              <w:pStyle w:val="15"/>
            </w:pPr>
          </w:p>
          <w:p>
            <w:pPr>
              <w:pStyle w:val="15"/>
            </w:pPr>
          </w:p>
          <w:p>
            <w:pPr>
              <w:pStyle w:val="15"/>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r>
              <w:rPr>
                <w:bCs/>
                <w:szCs w:val="21"/>
              </w:rPr>
              <w:t>运营</w:t>
            </w:r>
          </w:p>
          <w:p>
            <w:pPr>
              <w:adjustRightInd w:val="0"/>
              <w:snapToGrid w:val="0"/>
              <w:jc w:val="center"/>
              <w:rPr>
                <w:bCs/>
                <w:szCs w:val="21"/>
              </w:rPr>
            </w:pPr>
            <w:r>
              <w:rPr>
                <w:bCs/>
                <w:szCs w:val="21"/>
              </w:rPr>
              <w:t>期环</w:t>
            </w:r>
          </w:p>
          <w:p>
            <w:pPr>
              <w:adjustRightInd w:val="0"/>
              <w:snapToGrid w:val="0"/>
              <w:jc w:val="center"/>
              <w:rPr>
                <w:bCs/>
                <w:szCs w:val="21"/>
              </w:rPr>
            </w:pPr>
            <w:r>
              <w:rPr>
                <w:bCs/>
                <w:szCs w:val="21"/>
              </w:rPr>
              <w:t>境影</w:t>
            </w:r>
          </w:p>
          <w:p>
            <w:pPr>
              <w:adjustRightInd w:val="0"/>
              <w:snapToGrid w:val="0"/>
              <w:jc w:val="center"/>
              <w:rPr>
                <w:bCs/>
                <w:szCs w:val="21"/>
              </w:rPr>
            </w:pPr>
            <w:r>
              <w:rPr>
                <w:bCs/>
                <w:szCs w:val="21"/>
              </w:rPr>
              <w:t>响和</w:t>
            </w:r>
          </w:p>
          <w:p>
            <w:pPr>
              <w:adjustRightInd w:val="0"/>
              <w:snapToGrid w:val="0"/>
              <w:jc w:val="center"/>
              <w:rPr>
                <w:bCs/>
                <w:szCs w:val="21"/>
              </w:rPr>
            </w:pPr>
            <w:r>
              <w:rPr>
                <w:bCs/>
                <w:szCs w:val="21"/>
              </w:rPr>
              <w:t>保护</w:t>
            </w:r>
          </w:p>
          <w:p>
            <w:pPr>
              <w:adjustRightInd w:val="0"/>
              <w:snapToGrid w:val="0"/>
              <w:jc w:val="center"/>
              <w:rPr>
                <w:bCs/>
                <w:szCs w:val="21"/>
              </w:rPr>
            </w:pPr>
            <w:r>
              <w:rPr>
                <w:bCs/>
                <w:szCs w:val="21"/>
              </w:rPr>
              <w:t>措施</w:t>
            </w: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pStyle w:val="15"/>
            </w:pPr>
          </w:p>
          <w:p>
            <w:pPr>
              <w:pStyle w:val="15"/>
            </w:pPr>
          </w:p>
          <w:p>
            <w:pPr>
              <w:pStyle w:val="15"/>
            </w:pPr>
          </w:p>
          <w:p>
            <w:pPr>
              <w:pStyle w:val="15"/>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r>
              <w:rPr>
                <w:bCs/>
                <w:szCs w:val="21"/>
              </w:rPr>
              <w:t>运营</w:t>
            </w:r>
          </w:p>
          <w:p>
            <w:pPr>
              <w:adjustRightInd w:val="0"/>
              <w:snapToGrid w:val="0"/>
              <w:jc w:val="center"/>
              <w:rPr>
                <w:bCs/>
                <w:szCs w:val="21"/>
              </w:rPr>
            </w:pPr>
            <w:r>
              <w:rPr>
                <w:bCs/>
                <w:szCs w:val="21"/>
              </w:rPr>
              <w:t>期环</w:t>
            </w:r>
          </w:p>
          <w:p>
            <w:pPr>
              <w:adjustRightInd w:val="0"/>
              <w:snapToGrid w:val="0"/>
              <w:jc w:val="center"/>
              <w:rPr>
                <w:bCs/>
                <w:szCs w:val="21"/>
              </w:rPr>
            </w:pPr>
            <w:r>
              <w:rPr>
                <w:bCs/>
                <w:szCs w:val="21"/>
              </w:rPr>
              <w:t>境影</w:t>
            </w:r>
          </w:p>
          <w:p>
            <w:pPr>
              <w:adjustRightInd w:val="0"/>
              <w:snapToGrid w:val="0"/>
              <w:jc w:val="center"/>
              <w:rPr>
                <w:bCs/>
                <w:szCs w:val="21"/>
              </w:rPr>
            </w:pPr>
            <w:r>
              <w:rPr>
                <w:bCs/>
                <w:szCs w:val="21"/>
              </w:rPr>
              <w:t>响和</w:t>
            </w:r>
          </w:p>
          <w:p>
            <w:pPr>
              <w:adjustRightInd w:val="0"/>
              <w:snapToGrid w:val="0"/>
              <w:jc w:val="center"/>
              <w:rPr>
                <w:bCs/>
                <w:szCs w:val="21"/>
              </w:rPr>
            </w:pPr>
            <w:r>
              <w:rPr>
                <w:bCs/>
                <w:szCs w:val="21"/>
              </w:rPr>
              <w:t>保护</w:t>
            </w:r>
          </w:p>
          <w:p>
            <w:pPr>
              <w:adjustRightInd w:val="0"/>
              <w:snapToGrid w:val="0"/>
              <w:jc w:val="center"/>
              <w:rPr>
                <w:bCs/>
                <w:szCs w:val="21"/>
              </w:rPr>
            </w:pPr>
            <w:r>
              <w:rPr>
                <w:bCs/>
                <w:szCs w:val="21"/>
              </w:rPr>
              <w:t>措施</w:t>
            </w: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adjustRightInd w:val="0"/>
              <w:snapToGrid w:val="0"/>
              <w:jc w:val="center"/>
              <w:rPr>
                <w:bCs/>
                <w:szCs w:val="21"/>
              </w:rPr>
            </w:pPr>
            <w:r>
              <w:rPr>
                <w:bCs/>
                <w:szCs w:val="21"/>
              </w:rPr>
              <w:t>运营</w:t>
            </w:r>
          </w:p>
          <w:p>
            <w:pPr>
              <w:adjustRightInd w:val="0"/>
              <w:snapToGrid w:val="0"/>
              <w:jc w:val="center"/>
              <w:rPr>
                <w:bCs/>
                <w:szCs w:val="21"/>
              </w:rPr>
            </w:pPr>
            <w:r>
              <w:rPr>
                <w:bCs/>
                <w:szCs w:val="21"/>
              </w:rPr>
              <w:t>期环</w:t>
            </w:r>
          </w:p>
          <w:p>
            <w:pPr>
              <w:adjustRightInd w:val="0"/>
              <w:snapToGrid w:val="0"/>
              <w:jc w:val="center"/>
              <w:rPr>
                <w:bCs/>
                <w:szCs w:val="21"/>
              </w:rPr>
            </w:pPr>
            <w:r>
              <w:rPr>
                <w:bCs/>
                <w:szCs w:val="21"/>
              </w:rPr>
              <w:t>境影</w:t>
            </w:r>
          </w:p>
          <w:p>
            <w:pPr>
              <w:adjustRightInd w:val="0"/>
              <w:snapToGrid w:val="0"/>
              <w:jc w:val="center"/>
              <w:rPr>
                <w:bCs/>
                <w:szCs w:val="21"/>
              </w:rPr>
            </w:pPr>
            <w:r>
              <w:rPr>
                <w:bCs/>
                <w:szCs w:val="21"/>
              </w:rPr>
              <w:t>响和</w:t>
            </w:r>
          </w:p>
          <w:p>
            <w:pPr>
              <w:adjustRightInd w:val="0"/>
              <w:snapToGrid w:val="0"/>
              <w:jc w:val="center"/>
              <w:rPr>
                <w:bCs/>
                <w:szCs w:val="21"/>
              </w:rPr>
            </w:pPr>
            <w:r>
              <w:rPr>
                <w:bCs/>
                <w:szCs w:val="21"/>
              </w:rPr>
              <w:t>保护</w:t>
            </w:r>
          </w:p>
          <w:p>
            <w:pPr>
              <w:adjustRightInd w:val="0"/>
              <w:snapToGrid w:val="0"/>
              <w:jc w:val="center"/>
              <w:rPr>
                <w:bCs/>
                <w:szCs w:val="21"/>
              </w:rPr>
            </w:pPr>
            <w:r>
              <w:rPr>
                <w:bCs/>
                <w:szCs w:val="21"/>
              </w:rPr>
              <w:t>措施</w:t>
            </w: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pStyle w:val="15"/>
            </w:pPr>
          </w:p>
          <w:p>
            <w:pPr>
              <w:pStyle w:val="15"/>
            </w:pPr>
          </w:p>
          <w:p>
            <w:pPr>
              <w:pStyle w:val="15"/>
            </w:pPr>
          </w:p>
          <w:p>
            <w:pPr>
              <w:adjustRightInd w:val="0"/>
              <w:snapToGrid w:val="0"/>
              <w:jc w:val="center"/>
              <w:rPr>
                <w:bCs/>
                <w:szCs w:val="21"/>
              </w:rPr>
            </w:pPr>
          </w:p>
          <w:p>
            <w:pPr>
              <w:adjustRightInd w:val="0"/>
              <w:snapToGrid w:val="0"/>
              <w:jc w:val="center"/>
              <w:rPr>
                <w:bCs/>
                <w:szCs w:val="21"/>
              </w:rPr>
            </w:pPr>
          </w:p>
          <w:p>
            <w:pPr>
              <w:pStyle w:val="15"/>
            </w:pPr>
          </w:p>
          <w:p>
            <w:pPr>
              <w:pStyle w:val="15"/>
            </w:pPr>
          </w:p>
          <w:p>
            <w:pPr>
              <w:adjustRightInd w:val="0"/>
              <w:snapToGrid w:val="0"/>
              <w:jc w:val="center"/>
              <w:rPr>
                <w:bCs/>
                <w:szCs w:val="21"/>
              </w:rPr>
            </w:pPr>
            <w:r>
              <w:rPr>
                <w:bCs/>
                <w:szCs w:val="21"/>
              </w:rPr>
              <w:t>运营</w:t>
            </w:r>
          </w:p>
          <w:p>
            <w:pPr>
              <w:adjustRightInd w:val="0"/>
              <w:snapToGrid w:val="0"/>
              <w:jc w:val="center"/>
              <w:rPr>
                <w:bCs/>
                <w:szCs w:val="21"/>
              </w:rPr>
            </w:pPr>
            <w:r>
              <w:rPr>
                <w:bCs/>
                <w:szCs w:val="21"/>
              </w:rPr>
              <w:t>期环</w:t>
            </w:r>
          </w:p>
          <w:p>
            <w:pPr>
              <w:adjustRightInd w:val="0"/>
              <w:snapToGrid w:val="0"/>
              <w:jc w:val="center"/>
              <w:rPr>
                <w:bCs/>
                <w:szCs w:val="21"/>
              </w:rPr>
            </w:pPr>
            <w:r>
              <w:rPr>
                <w:bCs/>
                <w:szCs w:val="21"/>
              </w:rPr>
              <w:t>境影</w:t>
            </w:r>
          </w:p>
          <w:p>
            <w:pPr>
              <w:adjustRightInd w:val="0"/>
              <w:snapToGrid w:val="0"/>
              <w:jc w:val="center"/>
              <w:rPr>
                <w:bCs/>
                <w:szCs w:val="21"/>
              </w:rPr>
            </w:pPr>
            <w:r>
              <w:rPr>
                <w:bCs/>
                <w:szCs w:val="21"/>
              </w:rPr>
              <w:t>响和</w:t>
            </w:r>
          </w:p>
          <w:p>
            <w:pPr>
              <w:adjustRightInd w:val="0"/>
              <w:snapToGrid w:val="0"/>
              <w:jc w:val="center"/>
              <w:rPr>
                <w:bCs/>
                <w:szCs w:val="21"/>
              </w:rPr>
            </w:pPr>
            <w:r>
              <w:rPr>
                <w:bCs/>
                <w:szCs w:val="21"/>
              </w:rPr>
              <w:t>保护</w:t>
            </w:r>
          </w:p>
          <w:p>
            <w:pPr>
              <w:adjustRightInd w:val="0"/>
              <w:snapToGrid w:val="0"/>
              <w:jc w:val="center"/>
              <w:rPr>
                <w:bCs/>
                <w:szCs w:val="21"/>
              </w:rPr>
            </w:pPr>
            <w:r>
              <w:rPr>
                <w:bCs/>
                <w:szCs w:val="21"/>
              </w:rPr>
              <w:t>措施</w:t>
            </w: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adjustRightInd w:val="0"/>
              <w:snapToGrid w:val="0"/>
              <w:jc w:val="center"/>
              <w:rPr>
                <w:bCs/>
                <w:szCs w:val="21"/>
              </w:rPr>
            </w:pPr>
            <w:r>
              <w:rPr>
                <w:bCs/>
                <w:szCs w:val="21"/>
              </w:rPr>
              <w:t>运营</w:t>
            </w:r>
          </w:p>
          <w:p>
            <w:pPr>
              <w:adjustRightInd w:val="0"/>
              <w:snapToGrid w:val="0"/>
              <w:jc w:val="center"/>
              <w:rPr>
                <w:bCs/>
                <w:szCs w:val="21"/>
              </w:rPr>
            </w:pPr>
            <w:r>
              <w:rPr>
                <w:bCs/>
                <w:szCs w:val="21"/>
              </w:rPr>
              <w:t>期环</w:t>
            </w:r>
          </w:p>
          <w:p>
            <w:pPr>
              <w:adjustRightInd w:val="0"/>
              <w:snapToGrid w:val="0"/>
              <w:jc w:val="center"/>
              <w:rPr>
                <w:bCs/>
                <w:szCs w:val="21"/>
              </w:rPr>
            </w:pPr>
            <w:r>
              <w:rPr>
                <w:bCs/>
                <w:szCs w:val="21"/>
              </w:rPr>
              <w:t>境影</w:t>
            </w:r>
          </w:p>
          <w:p>
            <w:pPr>
              <w:adjustRightInd w:val="0"/>
              <w:snapToGrid w:val="0"/>
              <w:jc w:val="center"/>
              <w:rPr>
                <w:bCs/>
                <w:szCs w:val="21"/>
              </w:rPr>
            </w:pPr>
            <w:r>
              <w:rPr>
                <w:bCs/>
                <w:szCs w:val="21"/>
              </w:rPr>
              <w:t>响和</w:t>
            </w:r>
          </w:p>
          <w:p>
            <w:pPr>
              <w:adjustRightInd w:val="0"/>
              <w:snapToGrid w:val="0"/>
              <w:jc w:val="center"/>
              <w:rPr>
                <w:bCs/>
                <w:szCs w:val="21"/>
              </w:rPr>
            </w:pPr>
            <w:r>
              <w:rPr>
                <w:bCs/>
                <w:szCs w:val="21"/>
              </w:rPr>
              <w:t>保护</w:t>
            </w:r>
          </w:p>
          <w:p>
            <w:pPr>
              <w:adjustRightInd w:val="0"/>
              <w:snapToGrid w:val="0"/>
              <w:jc w:val="center"/>
              <w:rPr>
                <w:bCs/>
                <w:szCs w:val="21"/>
              </w:rPr>
            </w:pPr>
            <w:r>
              <w:rPr>
                <w:bCs/>
                <w:szCs w:val="21"/>
              </w:rPr>
              <w:t>措施</w:t>
            </w:r>
          </w:p>
          <w:p>
            <w:pPr>
              <w:pStyle w:val="15"/>
            </w:pPr>
          </w:p>
          <w:p>
            <w:pPr>
              <w:pStyle w:val="15"/>
            </w:pPr>
          </w:p>
          <w:p>
            <w:pPr>
              <w:pStyle w:val="15"/>
            </w:pPr>
          </w:p>
          <w:p>
            <w:pPr>
              <w:pStyle w:val="15"/>
            </w:pPr>
          </w:p>
          <w:p>
            <w:pPr>
              <w:pStyle w:val="15"/>
            </w:pPr>
          </w:p>
          <w:p>
            <w:pPr>
              <w:pStyle w:val="15"/>
            </w:pPr>
          </w:p>
          <w:p>
            <w:pPr>
              <w:pStyle w:val="15"/>
            </w:pPr>
          </w:p>
          <w:p>
            <w:pPr>
              <w:pStyle w:val="15"/>
            </w:pPr>
          </w:p>
        </w:tc>
        <w:tc>
          <w:tcPr>
            <w:tcW w:w="8167" w:type="dxa"/>
            <w:tcBorders>
              <w:top w:val="single" w:color="auto" w:sz="4" w:space="0"/>
              <w:left w:val="single" w:color="auto" w:sz="4" w:space="0"/>
              <w:bottom w:val="single" w:color="auto" w:sz="8" w:space="0"/>
              <w:right w:val="single" w:color="auto" w:sz="8" w:space="0"/>
            </w:tcBorders>
            <w:vAlign w:val="center"/>
          </w:tcPr>
          <w:p>
            <w:pPr>
              <w:adjustRightInd w:val="0"/>
              <w:snapToGrid w:val="0"/>
              <w:spacing w:line="400" w:lineRule="exact"/>
              <w:ind w:left="-53" w:leftChars="-25" w:right="-53" w:rightChars="-25"/>
              <w:jc w:val="left"/>
              <w:rPr>
                <w:rFonts w:eastAsia="黑体"/>
                <w:bCs/>
                <w:sz w:val="22"/>
                <w:szCs w:val="22"/>
              </w:rPr>
            </w:pPr>
            <w:r>
              <w:rPr>
                <w:rFonts w:eastAsia="黑体"/>
                <w:bCs/>
                <w:sz w:val="22"/>
                <w:szCs w:val="22"/>
              </w:rPr>
              <w:t>1、废气</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营运期废气主要为煤粉尘，其产生环节包括煤棚内煤炭装卸作业、煤棚内煤炭堆存时风蚀起尘，以及车辆行驶时的少量道路扬尘。</w:t>
            </w:r>
          </w:p>
          <w:p>
            <w:pPr>
              <w:autoSpaceDE w:val="0"/>
              <w:autoSpaceDN w:val="0"/>
              <w:adjustRightInd w:val="0"/>
              <w:snapToGrid w:val="0"/>
              <w:spacing w:line="400" w:lineRule="exact"/>
              <w:ind w:firstLine="422" w:firstLineChars="200"/>
              <w:jc w:val="left"/>
              <w:rPr>
                <w:rFonts w:cs="宋体"/>
                <w:b/>
                <w:kern w:val="0"/>
                <w:szCs w:val="21"/>
              </w:rPr>
            </w:pPr>
            <w:r>
              <w:rPr>
                <w:rFonts w:hint="eastAsia" w:cs="宋体"/>
                <w:b/>
                <w:kern w:val="0"/>
                <w:szCs w:val="21"/>
              </w:rPr>
              <w:t>（</w:t>
            </w:r>
            <w:r>
              <w:rPr>
                <w:rFonts w:cs="宋体"/>
                <w:b/>
                <w:kern w:val="0"/>
                <w:szCs w:val="21"/>
              </w:rPr>
              <w:t>1</w:t>
            </w:r>
            <w:r>
              <w:rPr>
                <w:rFonts w:hint="eastAsia" w:cs="宋体"/>
                <w:b/>
                <w:kern w:val="0"/>
                <w:szCs w:val="21"/>
              </w:rPr>
              <w:t>）污染源强</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①来煤卸料扬尘</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项目来煤进入堆棚后，通过卡车自动卸煤，卸煤过程煤炭落料会产生一定的煤粉尘，其起尘量与卸料高度、煤炭含水率等因素有关。本次评价参考《逸散性工业粉尘控制技术》中，卡车自卸产尘系数0.01kg/t。本项目年来煤6.0万吨，卸料煤粉尘产生量为0.6t/a。</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②煤炭装车扬尘</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煤炭外运装车过程中，会产生一定的煤粉尘，其起尘量与装车高度、煤炭含水率等因素有关。本次评价参考采用清华大学装车扬尘公式计算：</w:t>
            </w:r>
          </w:p>
          <w:p>
            <w:pPr>
              <w:adjustRightInd w:val="0"/>
              <w:spacing w:line="400" w:lineRule="exact"/>
              <w:ind w:firstLine="480" w:firstLineChars="200"/>
              <w:jc w:val="center"/>
              <w:rPr>
                <w:sz w:val="24"/>
              </w:rPr>
            </w:pPr>
            <w:r>
              <w:rPr>
                <w:rFonts w:hint="eastAsia"/>
                <w:sz w:val="24"/>
              </w:rPr>
              <w:t>Q=98.8/6M•e</w:t>
            </w:r>
            <w:r>
              <w:rPr>
                <w:rFonts w:hint="eastAsia"/>
                <w:sz w:val="24"/>
                <w:vertAlign w:val="superscript"/>
              </w:rPr>
              <w:t>0.64</w:t>
            </w:r>
            <w:r>
              <w:rPr>
                <w:rFonts w:hint="eastAsia"/>
                <w:sz w:val="24"/>
              </w:rPr>
              <w:t>U•e</w:t>
            </w:r>
            <w:r>
              <w:rPr>
                <w:rFonts w:hint="eastAsia"/>
                <w:sz w:val="24"/>
                <w:vertAlign w:val="superscript"/>
              </w:rPr>
              <w:t>-0.27</w:t>
            </w:r>
            <w:r>
              <w:rPr>
                <w:rFonts w:hint="eastAsia"/>
                <w:sz w:val="24"/>
              </w:rPr>
              <w:t>W•H</w:t>
            </w:r>
            <w:r>
              <w:rPr>
                <w:rFonts w:hint="eastAsia"/>
                <w:sz w:val="24"/>
                <w:vertAlign w:val="superscript"/>
              </w:rPr>
              <w:t>1.283</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式中：Q—煤装车扬尘，g/次；</w:t>
            </w:r>
          </w:p>
          <w:p>
            <w:pPr>
              <w:autoSpaceDE w:val="0"/>
              <w:autoSpaceDN w:val="0"/>
              <w:adjustRightInd w:val="0"/>
              <w:snapToGrid w:val="0"/>
              <w:spacing w:line="400" w:lineRule="exact"/>
              <w:ind w:firstLine="1050" w:firstLineChars="500"/>
              <w:jc w:val="left"/>
              <w:rPr>
                <w:kern w:val="0"/>
                <w:szCs w:val="21"/>
              </w:rPr>
            </w:pPr>
            <w:r>
              <w:rPr>
                <w:rFonts w:hint="eastAsia"/>
                <w:kern w:val="0"/>
                <w:szCs w:val="21"/>
              </w:rPr>
              <w:t>U—风速，1.7m/s；</w:t>
            </w:r>
          </w:p>
          <w:p>
            <w:pPr>
              <w:autoSpaceDE w:val="0"/>
              <w:autoSpaceDN w:val="0"/>
              <w:adjustRightInd w:val="0"/>
              <w:snapToGrid w:val="0"/>
              <w:spacing w:line="406" w:lineRule="exact"/>
              <w:ind w:firstLine="1050" w:firstLineChars="500"/>
              <w:jc w:val="left"/>
              <w:rPr>
                <w:kern w:val="0"/>
                <w:szCs w:val="21"/>
              </w:rPr>
            </w:pPr>
            <w:r>
              <w:rPr>
                <w:rFonts w:hint="eastAsia"/>
                <w:kern w:val="0"/>
                <w:szCs w:val="21"/>
              </w:rPr>
              <w:t>W—煤物料湿度，0.06；</w:t>
            </w:r>
          </w:p>
          <w:p>
            <w:pPr>
              <w:autoSpaceDE w:val="0"/>
              <w:autoSpaceDN w:val="0"/>
              <w:adjustRightInd w:val="0"/>
              <w:snapToGrid w:val="0"/>
              <w:spacing w:line="406" w:lineRule="exact"/>
              <w:ind w:firstLine="1050" w:firstLineChars="500"/>
              <w:jc w:val="left"/>
              <w:rPr>
                <w:kern w:val="0"/>
                <w:szCs w:val="21"/>
              </w:rPr>
            </w:pPr>
            <w:r>
              <w:rPr>
                <w:rFonts w:hint="eastAsia"/>
                <w:kern w:val="0"/>
                <w:szCs w:val="21"/>
              </w:rPr>
              <w:t>M—车辆吨位，20t；</w:t>
            </w:r>
          </w:p>
          <w:p>
            <w:pPr>
              <w:autoSpaceDE w:val="0"/>
              <w:autoSpaceDN w:val="0"/>
              <w:adjustRightInd w:val="0"/>
              <w:snapToGrid w:val="0"/>
              <w:spacing w:line="406" w:lineRule="exact"/>
              <w:ind w:firstLine="1050" w:firstLineChars="500"/>
              <w:jc w:val="left"/>
              <w:rPr>
                <w:kern w:val="0"/>
                <w:szCs w:val="21"/>
              </w:rPr>
            </w:pPr>
            <w:r>
              <w:rPr>
                <w:rFonts w:hint="eastAsia"/>
                <w:kern w:val="0"/>
                <w:szCs w:val="21"/>
              </w:rPr>
              <w:t>H—煤装卸高度，1.5m。</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经计算，在无控制措施的情况下煤炭装车扬尘量为325.474g/次。项目煤炭年装车量6.0万t/a，则装车扬尘为0.65t/a。</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③煤炭堆存时的粉尘</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堆场起尘是一种贴近物料表面的气流对散状颗粒的搬运现象。风是粉尘颗粒发生运动引起大气起尘的动力因素，风力逐渐增大到使粉尘颗粒脱离静止而进入运动状态的风速，被称为启动风速。当外界风速达到一定强度，使堆料表面颗粒产生的向上迁移的动力足以克服颗粒自身重力和颗粒之间的摩擦力时，粉尘颗粒便会离开堆料表面而形成扬尘。矿石物料堆场的起尘现象不仅与启动风速密切相关，还与堆料的高度、物料的粒径、表面的含水率等因数有关。通过查阅相关研究资料，矿石类物料露天堆场的扬尘启动风速一般为4.0m/s。</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根据设计方案，本项目煤炭全部贮存在封闭式储煤棚内，车间内空气流动风速小于粉尘启动风速，再通过采取喷雾降尘措施，能够杜绝堆场的风力起尘。本次评价不考虑煤炭的堆存扬尘。</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④道路扬尘</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项目道路扬尘主要产生于运输车辆在厂区内行驶过程。运输车辆在厂区内行驶或驶出厂区时，若车身及轮胎携带有少量粉尘，在行驶途中会产生少量的道路扬尘，会对道路沿线环境造成不利影响。扬尘的产生量一般与道路的清洁度、风速、车速等有关。汽车扬尘一般肉眼可见，但产生量难以确定，一般以大、小程度论之。</w:t>
            </w:r>
          </w:p>
          <w:p>
            <w:pPr>
              <w:autoSpaceDE w:val="0"/>
              <w:autoSpaceDN w:val="0"/>
              <w:adjustRightInd w:val="0"/>
              <w:snapToGrid w:val="0"/>
              <w:spacing w:line="406" w:lineRule="exact"/>
              <w:ind w:firstLine="422" w:firstLineChars="200"/>
              <w:jc w:val="left"/>
              <w:rPr>
                <w:rFonts w:cs="宋体"/>
                <w:b/>
                <w:kern w:val="0"/>
                <w:szCs w:val="21"/>
              </w:rPr>
            </w:pPr>
            <w:r>
              <w:rPr>
                <w:rFonts w:hint="eastAsia" w:cs="宋体"/>
                <w:b/>
                <w:kern w:val="0"/>
                <w:szCs w:val="21"/>
              </w:rPr>
              <w:t>（</w:t>
            </w:r>
            <w:r>
              <w:rPr>
                <w:rFonts w:cs="宋体"/>
                <w:b/>
                <w:kern w:val="0"/>
                <w:szCs w:val="21"/>
              </w:rPr>
              <w:t>2</w:t>
            </w:r>
            <w:r>
              <w:rPr>
                <w:rFonts w:hint="eastAsia" w:cs="宋体"/>
                <w:b/>
                <w:kern w:val="0"/>
                <w:szCs w:val="21"/>
              </w:rPr>
              <w:t>）治理措施及排放情况</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①装卸扬尘</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本项目煤粉尘主要产生在储煤棚内的煤炭装卸过程，产生量为1.25t/a。</w:t>
            </w:r>
          </w:p>
          <w:p>
            <w:pPr>
              <w:autoSpaceDE w:val="0"/>
              <w:autoSpaceDN w:val="0"/>
              <w:adjustRightInd w:val="0"/>
              <w:snapToGrid w:val="0"/>
              <w:spacing w:line="406" w:lineRule="exact"/>
              <w:ind w:firstLine="422" w:firstLineChars="200"/>
              <w:jc w:val="left"/>
              <w:rPr>
                <w:kern w:val="0"/>
                <w:szCs w:val="21"/>
              </w:rPr>
            </w:pPr>
            <w:r>
              <w:rPr>
                <w:rFonts w:hint="eastAsia"/>
                <w:b/>
                <w:kern w:val="0"/>
                <w:szCs w:val="21"/>
              </w:rPr>
              <w:t>治理措施：</w:t>
            </w:r>
            <w:r>
              <w:rPr>
                <w:rFonts w:hint="eastAsia"/>
                <w:kern w:val="0"/>
                <w:szCs w:val="21"/>
              </w:rPr>
              <w:t>通过对现有露天储煤棚进行改造，建设封闭式储煤棚；同时在煤棚内上方设置喷雾装置，采取喷雾降尘；营运时严格管理，所有装卸作业均在堆棚内进行，禁止露天作业。装卸作业进行时，启动专用雾炮机喷雾降尘。</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通过采取上述治理措施，装卸粉尘</w:t>
            </w:r>
            <w:r>
              <w:rPr>
                <w:kern w:val="0"/>
                <w:szCs w:val="21"/>
              </w:rPr>
              <w:t>可减少</w:t>
            </w:r>
            <w:r>
              <w:rPr>
                <w:rFonts w:hint="eastAsia"/>
                <w:kern w:val="0"/>
                <w:szCs w:val="21"/>
              </w:rPr>
              <w:t>80</w:t>
            </w:r>
            <w:r>
              <w:rPr>
                <w:kern w:val="0"/>
                <w:szCs w:val="21"/>
              </w:rPr>
              <w:t>%以上，则卸料扬尘排放量为</w:t>
            </w:r>
            <w:r>
              <w:rPr>
                <w:rFonts w:hint="eastAsia"/>
                <w:kern w:val="0"/>
                <w:szCs w:val="21"/>
              </w:rPr>
              <w:t>0.25</w:t>
            </w:r>
            <w:r>
              <w:rPr>
                <w:kern w:val="0"/>
                <w:szCs w:val="21"/>
              </w:rPr>
              <w:t>t/a。</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②道路扬尘</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主要采取对场地内道路进行硬化处理，要求车辆运输必须加盖篷布，密闭运输。同时，车辆驶离厂区时必须进行防尘冲洗，避免车辆带泥上路造成扬尘污染。每日生产结束后，对厂区内露天场地进行防尘冲洗，保持场地干净整洁。</w:t>
            </w:r>
          </w:p>
          <w:p>
            <w:pPr>
              <w:autoSpaceDE w:val="0"/>
              <w:autoSpaceDN w:val="0"/>
              <w:adjustRightInd w:val="0"/>
              <w:snapToGrid w:val="0"/>
              <w:spacing w:line="406" w:lineRule="exact"/>
              <w:ind w:firstLine="420" w:firstLineChars="200"/>
              <w:jc w:val="left"/>
              <w:rPr>
                <w:kern w:val="0"/>
                <w:szCs w:val="21"/>
              </w:rPr>
            </w:pPr>
            <w:r>
              <w:rPr>
                <w:kern w:val="0"/>
                <w:szCs w:val="21"/>
              </w:rPr>
              <w:t>采取上述措施后，本项目营运期的道路扬尘不会对周边大气环境造成污染影响。</w:t>
            </w:r>
          </w:p>
          <w:p>
            <w:pPr>
              <w:autoSpaceDE w:val="0"/>
              <w:autoSpaceDN w:val="0"/>
              <w:adjustRightInd w:val="0"/>
              <w:snapToGrid w:val="0"/>
              <w:spacing w:line="400" w:lineRule="exact"/>
              <w:ind w:firstLine="422" w:firstLineChars="200"/>
              <w:jc w:val="left"/>
              <w:rPr>
                <w:rFonts w:cs="宋体"/>
                <w:b/>
                <w:kern w:val="0"/>
                <w:szCs w:val="21"/>
              </w:rPr>
            </w:pPr>
            <w:r>
              <w:rPr>
                <w:rFonts w:hint="eastAsia" w:cs="宋体"/>
                <w:b/>
                <w:kern w:val="0"/>
                <w:szCs w:val="21"/>
              </w:rPr>
              <w:t>（</w:t>
            </w:r>
            <w:r>
              <w:rPr>
                <w:rFonts w:cs="宋体"/>
                <w:b/>
                <w:kern w:val="0"/>
                <w:szCs w:val="21"/>
              </w:rPr>
              <w:t>3</w:t>
            </w:r>
            <w:r>
              <w:rPr>
                <w:rFonts w:hint="eastAsia" w:cs="宋体"/>
                <w:b/>
                <w:kern w:val="0"/>
                <w:szCs w:val="21"/>
              </w:rPr>
              <w:t>）污染物排放源统计</w:t>
            </w:r>
          </w:p>
          <w:p>
            <w:pPr>
              <w:autoSpaceDE w:val="0"/>
              <w:autoSpaceDN w:val="0"/>
              <w:adjustRightInd w:val="0"/>
              <w:snapToGrid w:val="0"/>
              <w:spacing w:line="360" w:lineRule="exact"/>
              <w:jc w:val="center"/>
              <w:rPr>
                <w:rFonts w:eastAsia="黑体"/>
                <w:kern w:val="0"/>
                <w:sz w:val="18"/>
                <w:szCs w:val="18"/>
              </w:rPr>
            </w:pPr>
            <w:r>
              <w:rPr>
                <w:rFonts w:eastAsia="黑体"/>
                <w:kern w:val="0"/>
                <w:sz w:val="18"/>
                <w:szCs w:val="18"/>
              </w:rPr>
              <w:t>表</w:t>
            </w:r>
            <w:r>
              <w:rPr>
                <w:rFonts w:hint="eastAsia" w:eastAsia="黑体"/>
                <w:kern w:val="0"/>
                <w:sz w:val="18"/>
                <w:szCs w:val="18"/>
              </w:rPr>
              <w:t>4-1   废气产排污节点、污染物及污染治理设施信息表</w:t>
            </w:r>
          </w:p>
          <w:tbl>
            <w:tblPr>
              <w:tblStyle w:val="21"/>
              <w:tblW w:w="779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1328"/>
              <w:gridCol w:w="671"/>
              <w:gridCol w:w="643"/>
              <w:gridCol w:w="757"/>
              <w:gridCol w:w="759"/>
              <w:gridCol w:w="911"/>
              <w:gridCol w:w="697"/>
              <w:gridCol w:w="850"/>
              <w:gridCol w:w="709"/>
              <w:gridCol w:w="47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21" w:hRule="atLeast"/>
                <w:jc w:val="center"/>
              </w:trPr>
              <w:tc>
                <w:tcPr>
                  <w:tcW w:w="1328"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00" w:lineRule="exact"/>
                    <w:jc w:val="center"/>
                    <w:rPr>
                      <w:rFonts w:cs="宋体"/>
                      <w:b/>
                      <w:bCs/>
                      <w:sz w:val="18"/>
                      <w:szCs w:val="18"/>
                    </w:rPr>
                  </w:pPr>
                  <w:r>
                    <w:rPr>
                      <w:rFonts w:hint="eastAsia" w:cs="宋体"/>
                      <w:b/>
                      <w:bCs/>
                      <w:sz w:val="18"/>
                      <w:szCs w:val="18"/>
                    </w:rPr>
                    <w:t>生产设施</w:t>
                  </w:r>
                </w:p>
                <w:p>
                  <w:pPr>
                    <w:adjustRightInd w:val="0"/>
                    <w:snapToGrid w:val="0"/>
                    <w:spacing w:line="300" w:lineRule="exact"/>
                    <w:jc w:val="center"/>
                    <w:rPr>
                      <w:b/>
                      <w:bCs/>
                      <w:sz w:val="18"/>
                      <w:szCs w:val="18"/>
                    </w:rPr>
                  </w:pPr>
                  <w:r>
                    <w:rPr>
                      <w:rFonts w:hint="eastAsia" w:cs="宋体"/>
                      <w:b/>
                      <w:bCs/>
                      <w:sz w:val="18"/>
                      <w:szCs w:val="18"/>
                    </w:rPr>
                    <w:t>名称及编号</w:t>
                  </w:r>
                </w:p>
              </w:tc>
              <w:tc>
                <w:tcPr>
                  <w:tcW w:w="671"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00" w:lineRule="exact"/>
                    <w:jc w:val="center"/>
                    <w:rPr>
                      <w:b/>
                      <w:bCs/>
                      <w:sz w:val="18"/>
                      <w:szCs w:val="18"/>
                    </w:rPr>
                  </w:pPr>
                  <w:r>
                    <w:rPr>
                      <w:rFonts w:hint="eastAsia" w:cs="宋体"/>
                      <w:b/>
                      <w:bCs/>
                      <w:sz w:val="18"/>
                      <w:szCs w:val="18"/>
                    </w:rPr>
                    <w:t>污染物</w:t>
                  </w:r>
                </w:p>
              </w:tc>
              <w:tc>
                <w:tcPr>
                  <w:tcW w:w="2159" w:type="dxa"/>
                  <w:gridSpan w:val="3"/>
                  <w:tcBorders>
                    <w:top w:val="single" w:color="auto" w:sz="4" w:space="0"/>
                    <w:left w:val="single" w:color="000000" w:sz="4" w:space="0"/>
                    <w:bottom w:val="single" w:color="auto" w:sz="4" w:space="0"/>
                    <w:right w:val="single" w:color="000000" w:sz="4" w:space="0"/>
                  </w:tcBorders>
                  <w:shd w:val="clear" w:color="auto" w:fill="auto"/>
                  <w:vAlign w:val="center"/>
                </w:tcPr>
                <w:p>
                  <w:pPr>
                    <w:adjustRightInd w:val="0"/>
                    <w:snapToGrid w:val="0"/>
                    <w:spacing w:line="300" w:lineRule="exact"/>
                    <w:jc w:val="center"/>
                    <w:rPr>
                      <w:b/>
                      <w:bCs/>
                      <w:sz w:val="18"/>
                      <w:szCs w:val="18"/>
                    </w:rPr>
                  </w:pPr>
                  <w:r>
                    <w:rPr>
                      <w:rFonts w:hint="eastAsia" w:cs="宋体"/>
                      <w:b/>
                      <w:bCs/>
                      <w:sz w:val="18"/>
                      <w:szCs w:val="18"/>
                    </w:rPr>
                    <w:t>排放情况</w:t>
                  </w:r>
                </w:p>
              </w:tc>
              <w:tc>
                <w:tcPr>
                  <w:tcW w:w="3638" w:type="dxa"/>
                  <w:gridSpan w:val="5"/>
                  <w:tcBorders>
                    <w:top w:val="single" w:color="auto" w:sz="4" w:space="0"/>
                    <w:left w:val="single" w:color="000000" w:sz="4" w:space="0"/>
                    <w:bottom w:val="single" w:color="auto" w:sz="4" w:space="0"/>
                    <w:right w:val="single" w:color="auto" w:sz="4" w:space="0"/>
                  </w:tcBorders>
                  <w:shd w:val="clear" w:color="auto" w:fill="auto"/>
                  <w:vAlign w:val="center"/>
                </w:tcPr>
                <w:p>
                  <w:pPr>
                    <w:adjustRightInd w:val="0"/>
                    <w:snapToGrid w:val="0"/>
                    <w:spacing w:line="300" w:lineRule="exact"/>
                    <w:jc w:val="center"/>
                    <w:rPr>
                      <w:b/>
                      <w:bCs/>
                      <w:sz w:val="18"/>
                      <w:szCs w:val="18"/>
                    </w:rPr>
                  </w:pPr>
                  <w:r>
                    <w:rPr>
                      <w:rFonts w:hint="eastAsia" w:cs="宋体"/>
                      <w:b/>
                      <w:bCs/>
                      <w:sz w:val="18"/>
                      <w:szCs w:val="18"/>
                    </w:rPr>
                    <w:t>排放口信息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61" w:hRule="atLeast"/>
                <w:jc w:val="center"/>
              </w:trPr>
              <w:tc>
                <w:tcPr>
                  <w:tcW w:w="1328"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pPr>
                    <w:spacing w:line="300" w:lineRule="exact"/>
                    <w:rPr>
                      <w:rFonts w:ascii="Calibri" w:hAnsi="Calibri"/>
                      <w:sz w:val="20"/>
                      <w:szCs w:val="20"/>
                    </w:rPr>
                  </w:pPr>
                </w:p>
              </w:tc>
              <w:tc>
                <w:tcPr>
                  <w:tcW w:w="671"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pPr>
                    <w:spacing w:line="300" w:lineRule="exact"/>
                    <w:rPr>
                      <w:rFonts w:ascii="Calibri" w:hAnsi="Calibri"/>
                      <w:sz w:val="20"/>
                      <w:szCs w:val="20"/>
                    </w:rPr>
                  </w:pPr>
                </w:p>
              </w:tc>
              <w:tc>
                <w:tcPr>
                  <w:tcW w:w="643" w:type="dxa"/>
                  <w:tcBorders>
                    <w:top w:val="single" w:color="auto"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00" w:lineRule="exact"/>
                    <w:jc w:val="center"/>
                    <w:rPr>
                      <w:b/>
                      <w:bCs/>
                      <w:sz w:val="18"/>
                      <w:szCs w:val="18"/>
                    </w:rPr>
                  </w:pPr>
                  <w:r>
                    <w:rPr>
                      <w:rFonts w:hint="eastAsia" w:cs="宋体"/>
                      <w:b/>
                      <w:bCs/>
                      <w:sz w:val="18"/>
                      <w:szCs w:val="18"/>
                    </w:rPr>
                    <w:t>排放量（</w:t>
                  </w:r>
                  <w:r>
                    <w:rPr>
                      <w:sz w:val="18"/>
                      <w:szCs w:val="18"/>
                    </w:rPr>
                    <w:t>t/a</w:t>
                  </w:r>
                  <w:r>
                    <w:rPr>
                      <w:rFonts w:hint="eastAsia" w:cs="宋体"/>
                      <w:b/>
                      <w:bCs/>
                      <w:sz w:val="18"/>
                      <w:szCs w:val="18"/>
                    </w:rPr>
                    <w:t>）</w:t>
                  </w:r>
                </w:p>
              </w:tc>
              <w:tc>
                <w:tcPr>
                  <w:tcW w:w="757" w:type="dxa"/>
                  <w:tcBorders>
                    <w:top w:val="single" w:color="auto" w:sz="4" w:space="0"/>
                    <w:left w:val="single" w:color="000000" w:sz="4" w:space="0"/>
                    <w:bottom w:val="single" w:color="000000" w:sz="4" w:space="0"/>
                    <w:right w:val="single" w:color="auto" w:sz="4" w:space="0"/>
                  </w:tcBorders>
                  <w:shd w:val="clear" w:color="auto" w:fill="auto"/>
                  <w:vAlign w:val="center"/>
                </w:tcPr>
                <w:p>
                  <w:pPr>
                    <w:adjustRightInd w:val="0"/>
                    <w:snapToGrid w:val="0"/>
                    <w:spacing w:line="300" w:lineRule="exact"/>
                    <w:ind w:left="-105" w:leftChars="-50" w:right="-105" w:rightChars="-50"/>
                    <w:jc w:val="center"/>
                    <w:rPr>
                      <w:b/>
                      <w:bCs/>
                      <w:sz w:val="18"/>
                      <w:szCs w:val="18"/>
                    </w:rPr>
                  </w:pPr>
                  <w:r>
                    <w:rPr>
                      <w:rFonts w:hint="eastAsia" w:cs="宋体"/>
                      <w:b/>
                      <w:bCs/>
                      <w:sz w:val="18"/>
                      <w:szCs w:val="18"/>
                    </w:rPr>
                    <w:t>浓度（</w:t>
                  </w:r>
                  <w:r>
                    <w:rPr>
                      <w:b/>
                      <w:bCs/>
                      <w:sz w:val="18"/>
                      <w:szCs w:val="18"/>
                    </w:rPr>
                    <w:t>mg/m</w:t>
                  </w:r>
                  <w:r>
                    <w:rPr>
                      <w:b/>
                      <w:bCs/>
                      <w:sz w:val="18"/>
                      <w:szCs w:val="18"/>
                      <w:vertAlign w:val="superscript"/>
                    </w:rPr>
                    <w:t>3</w:t>
                  </w:r>
                  <w:r>
                    <w:rPr>
                      <w:rFonts w:hint="eastAsia" w:cs="宋体"/>
                      <w:b/>
                      <w:bCs/>
                      <w:sz w:val="18"/>
                      <w:szCs w:val="18"/>
                    </w:rPr>
                    <w:t>）</w:t>
                  </w:r>
                </w:p>
              </w:tc>
              <w:tc>
                <w:tcPr>
                  <w:tcW w:w="759" w:type="dxa"/>
                  <w:tcBorders>
                    <w:top w:val="single" w:color="auto" w:sz="4" w:space="0"/>
                    <w:left w:val="single" w:color="000000" w:sz="4" w:space="0"/>
                    <w:bottom w:val="single" w:color="000000" w:sz="4" w:space="0"/>
                    <w:right w:val="single" w:color="auto" w:sz="4" w:space="0"/>
                  </w:tcBorders>
                  <w:shd w:val="clear" w:color="auto" w:fill="auto"/>
                  <w:vAlign w:val="center"/>
                </w:tcPr>
                <w:p>
                  <w:pPr>
                    <w:adjustRightInd w:val="0"/>
                    <w:snapToGrid w:val="0"/>
                    <w:spacing w:line="300" w:lineRule="exact"/>
                    <w:jc w:val="center"/>
                    <w:rPr>
                      <w:b/>
                      <w:bCs/>
                      <w:sz w:val="18"/>
                      <w:szCs w:val="18"/>
                    </w:rPr>
                  </w:pPr>
                  <w:r>
                    <w:rPr>
                      <w:rFonts w:hint="eastAsia" w:cs="宋体"/>
                      <w:b/>
                      <w:bCs/>
                      <w:sz w:val="18"/>
                      <w:szCs w:val="18"/>
                    </w:rPr>
                    <w:t>速率（</w:t>
                  </w:r>
                  <w:r>
                    <w:rPr>
                      <w:b/>
                      <w:bCs/>
                      <w:sz w:val="18"/>
                      <w:szCs w:val="18"/>
                    </w:rPr>
                    <w:t>kg/h</w:t>
                  </w:r>
                  <w:r>
                    <w:rPr>
                      <w:rFonts w:hint="eastAsia" w:cs="宋体"/>
                      <w:b/>
                      <w:bCs/>
                      <w:sz w:val="18"/>
                      <w:szCs w:val="18"/>
                    </w:rPr>
                    <w:t>）</w:t>
                  </w:r>
                </w:p>
              </w:tc>
              <w:tc>
                <w:tcPr>
                  <w:tcW w:w="911" w:type="dxa"/>
                  <w:tcBorders>
                    <w:top w:val="single" w:color="auto" w:sz="4" w:space="0"/>
                    <w:left w:val="single" w:color="000000" w:sz="4" w:space="0"/>
                    <w:bottom w:val="single" w:color="000000" w:sz="4" w:space="0"/>
                    <w:right w:val="single" w:color="auto" w:sz="4" w:space="0"/>
                  </w:tcBorders>
                  <w:shd w:val="clear" w:color="auto" w:fill="auto"/>
                  <w:vAlign w:val="center"/>
                </w:tcPr>
                <w:p>
                  <w:pPr>
                    <w:adjustRightInd w:val="0"/>
                    <w:snapToGrid w:val="0"/>
                    <w:spacing w:line="300" w:lineRule="exact"/>
                    <w:jc w:val="center"/>
                    <w:rPr>
                      <w:rFonts w:cs="宋体"/>
                      <w:b/>
                      <w:bCs/>
                      <w:sz w:val="18"/>
                      <w:szCs w:val="18"/>
                    </w:rPr>
                  </w:pPr>
                  <w:r>
                    <w:rPr>
                      <w:rFonts w:hint="eastAsia" w:cs="宋体"/>
                      <w:b/>
                      <w:bCs/>
                      <w:sz w:val="18"/>
                      <w:szCs w:val="18"/>
                    </w:rPr>
                    <w:t>编号及</w:t>
                  </w:r>
                </w:p>
                <w:p>
                  <w:pPr>
                    <w:adjustRightInd w:val="0"/>
                    <w:snapToGrid w:val="0"/>
                    <w:spacing w:line="300" w:lineRule="exact"/>
                    <w:jc w:val="center"/>
                    <w:rPr>
                      <w:b/>
                      <w:bCs/>
                      <w:sz w:val="18"/>
                      <w:szCs w:val="18"/>
                    </w:rPr>
                  </w:pPr>
                  <w:r>
                    <w:rPr>
                      <w:rFonts w:hint="eastAsia" w:cs="宋体"/>
                      <w:b/>
                      <w:bCs/>
                      <w:sz w:val="18"/>
                      <w:szCs w:val="18"/>
                    </w:rPr>
                    <w:t>名称</w:t>
                  </w:r>
                </w:p>
              </w:tc>
              <w:tc>
                <w:tcPr>
                  <w:tcW w:w="697" w:type="dxa"/>
                  <w:tcBorders>
                    <w:top w:val="single" w:color="auto" w:sz="4" w:space="0"/>
                    <w:left w:val="single" w:color="000000" w:sz="4" w:space="0"/>
                    <w:bottom w:val="single" w:color="000000" w:sz="4" w:space="0"/>
                    <w:right w:val="single" w:color="auto" w:sz="4" w:space="0"/>
                  </w:tcBorders>
                  <w:shd w:val="clear" w:color="auto" w:fill="auto"/>
                  <w:vAlign w:val="center"/>
                </w:tcPr>
                <w:p>
                  <w:pPr>
                    <w:adjustRightInd w:val="0"/>
                    <w:snapToGrid w:val="0"/>
                    <w:spacing w:line="300" w:lineRule="exact"/>
                    <w:jc w:val="center"/>
                    <w:rPr>
                      <w:b/>
                      <w:bCs/>
                      <w:sz w:val="18"/>
                      <w:szCs w:val="18"/>
                    </w:rPr>
                  </w:pPr>
                  <w:r>
                    <w:rPr>
                      <w:rFonts w:hint="eastAsia" w:cs="宋体"/>
                      <w:b/>
                      <w:bCs/>
                      <w:sz w:val="18"/>
                      <w:szCs w:val="18"/>
                    </w:rPr>
                    <w:t>坐标</w:t>
                  </w:r>
                </w:p>
              </w:tc>
              <w:tc>
                <w:tcPr>
                  <w:tcW w:w="850" w:type="dxa"/>
                  <w:tcBorders>
                    <w:top w:val="single" w:color="auto" w:sz="4" w:space="0"/>
                    <w:left w:val="single" w:color="000000" w:sz="4" w:space="0"/>
                    <w:bottom w:val="single" w:color="000000" w:sz="4" w:space="0"/>
                    <w:right w:val="single" w:color="auto" w:sz="4" w:space="0"/>
                  </w:tcBorders>
                  <w:shd w:val="clear" w:color="auto" w:fill="auto"/>
                  <w:vAlign w:val="center"/>
                </w:tcPr>
                <w:p>
                  <w:pPr>
                    <w:adjustRightInd w:val="0"/>
                    <w:snapToGrid w:val="0"/>
                    <w:spacing w:line="300" w:lineRule="exact"/>
                    <w:jc w:val="center"/>
                    <w:rPr>
                      <w:b/>
                      <w:bCs/>
                      <w:sz w:val="18"/>
                      <w:szCs w:val="18"/>
                    </w:rPr>
                  </w:pPr>
                  <w:r>
                    <w:rPr>
                      <w:rFonts w:hint="eastAsia" w:cs="宋体"/>
                      <w:b/>
                      <w:bCs/>
                      <w:sz w:val="18"/>
                      <w:szCs w:val="18"/>
                    </w:rPr>
                    <w:t>高度</w:t>
                  </w:r>
                  <w:r>
                    <w:rPr>
                      <w:b/>
                      <w:bCs/>
                      <w:sz w:val="18"/>
                      <w:szCs w:val="18"/>
                    </w:rPr>
                    <w:t>m/</w:t>
                  </w:r>
                  <w:r>
                    <w:rPr>
                      <w:rFonts w:hint="eastAsia" w:cs="宋体"/>
                      <w:b/>
                      <w:bCs/>
                      <w:sz w:val="18"/>
                      <w:szCs w:val="18"/>
                    </w:rPr>
                    <w:t>内径</w:t>
                  </w:r>
                  <w:r>
                    <w:rPr>
                      <w:b/>
                      <w:bCs/>
                      <w:sz w:val="18"/>
                      <w:szCs w:val="18"/>
                    </w:rPr>
                    <w:t>m</w:t>
                  </w:r>
                </w:p>
              </w:tc>
              <w:tc>
                <w:tcPr>
                  <w:tcW w:w="709" w:type="dxa"/>
                  <w:tcBorders>
                    <w:top w:val="single" w:color="auto" w:sz="4" w:space="0"/>
                    <w:left w:val="single" w:color="000000" w:sz="4" w:space="0"/>
                    <w:bottom w:val="single" w:color="000000" w:sz="4" w:space="0"/>
                    <w:right w:val="single" w:color="auto" w:sz="4" w:space="0"/>
                  </w:tcBorders>
                  <w:shd w:val="clear" w:color="auto" w:fill="auto"/>
                  <w:vAlign w:val="center"/>
                </w:tcPr>
                <w:p>
                  <w:pPr>
                    <w:adjustRightInd w:val="0"/>
                    <w:snapToGrid w:val="0"/>
                    <w:spacing w:line="300" w:lineRule="exact"/>
                    <w:jc w:val="center"/>
                    <w:rPr>
                      <w:b/>
                      <w:bCs/>
                      <w:sz w:val="18"/>
                      <w:szCs w:val="18"/>
                    </w:rPr>
                  </w:pPr>
                  <w:r>
                    <w:rPr>
                      <w:rFonts w:hint="eastAsia" w:cs="宋体"/>
                      <w:b/>
                      <w:bCs/>
                      <w:sz w:val="18"/>
                      <w:szCs w:val="18"/>
                    </w:rPr>
                    <w:t>温度</w:t>
                  </w:r>
                </w:p>
              </w:tc>
              <w:tc>
                <w:tcPr>
                  <w:tcW w:w="471" w:type="dxa"/>
                  <w:tcBorders>
                    <w:top w:val="single" w:color="auto" w:sz="4" w:space="0"/>
                    <w:left w:val="single" w:color="000000" w:sz="4" w:space="0"/>
                    <w:bottom w:val="single" w:color="000000" w:sz="4" w:space="0"/>
                    <w:right w:val="single" w:color="auto" w:sz="4" w:space="0"/>
                  </w:tcBorders>
                  <w:shd w:val="clear" w:color="auto" w:fill="auto"/>
                  <w:vAlign w:val="center"/>
                </w:tcPr>
                <w:p>
                  <w:pPr>
                    <w:adjustRightInd w:val="0"/>
                    <w:snapToGrid w:val="0"/>
                    <w:spacing w:line="300" w:lineRule="exact"/>
                    <w:jc w:val="center"/>
                    <w:rPr>
                      <w:b/>
                      <w:bCs/>
                      <w:sz w:val="18"/>
                      <w:szCs w:val="18"/>
                    </w:rPr>
                  </w:pPr>
                  <w:r>
                    <w:rPr>
                      <w:rFonts w:hint="eastAsia" w:cs="宋体"/>
                      <w:b/>
                      <w:bCs/>
                      <w:sz w:val="18"/>
                      <w:szCs w:val="18"/>
                    </w:rPr>
                    <w:t>类型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5" w:hRule="atLeast"/>
                <w:jc w:val="center"/>
              </w:trPr>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00" w:lineRule="exact"/>
                    <w:jc w:val="center"/>
                    <w:rPr>
                      <w:sz w:val="18"/>
                      <w:szCs w:val="18"/>
                    </w:rPr>
                  </w:pPr>
                  <w:r>
                    <w:rPr>
                      <w:rFonts w:hint="eastAsia"/>
                      <w:sz w:val="18"/>
                      <w:szCs w:val="18"/>
                    </w:rPr>
                    <w:t>来煤卸煤</w:t>
                  </w:r>
                </w:p>
                <w:p>
                  <w:pPr>
                    <w:adjustRightInd w:val="0"/>
                    <w:snapToGrid w:val="0"/>
                    <w:spacing w:line="300" w:lineRule="exact"/>
                    <w:jc w:val="center"/>
                    <w:rPr>
                      <w:sz w:val="18"/>
                      <w:szCs w:val="18"/>
                    </w:rPr>
                  </w:pPr>
                  <w:r>
                    <w:rPr>
                      <w:sz w:val="18"/>
                      <w:szCs w:val="18"/>
                    </w:rPr>
                    <w:t>MF0001</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00" w:lineRule="exact"/>
                    <w:jc w:val="center"/>
                    <w:rPr>
                      <w:sz w:val="18"/>
                      <w:szCs w:val="18"/>
                    </w:rPr>
                  </w:pPr>
                  <w:r>
                    <w:rPr>
                      <w:rFonts w:hint="eastAsia" w:cs="宋体"/>
                      <w:sz w:val="18"/>
                      <w:szCs w:val="18"/>
                    </w:rPr>
                    <w:t>颗粒物</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00" w:lineRule="exact"/>
                    <w:jc w:val="center"/>
                    <w:rPr>
                      <w:sz w:val="18"/>
                      <w:szCs w:val="18"/>
                    </w:rPr>
                  </w:pPr>
                  <w:r>
                    <w:rPr>
                      <w:rFonts w:hint="eastAsia"/>
                      <w:sz w:val="18"/>
                      <w:szCs w:val="18"/>
                    </w:rPr>
                    <w:t>0.12</w:t>
                  </w:r>
                </w:p>
              </w:tc>
              <w:tc>
                <w:tcPr>
                  <w:tcW w:w="757" w:type="dxa"/>
                  <w:tcBorders>
                    <w:top w:val="single" w:color="000000" w:sz="4" w:space="0"/>
                    <w:left w:val="single" w:color="000000" w:sz="4" w:space="0"/>
                    <w:bottom w:val="single" w:color="000000" w:sz="4" w:space="0"/>
                    <w:right w:val="single" w:color="auto" w:sz="4" w:space="0"/>
                  </w:tcBorders>
                  <w:shd w:val="clear" w:color="auto" w:fill="auto"/>
                  <w:vAlign w:val="center"/>
                </w:tcPr>
                <w:p>
                  <w:pPr>
                    <w:adjustRightInd w:val="0"/>
                    <w:snapToGrid w:val="0"/>
                    <w:spacing w:line="300" w:lineRule="exact"/>
                    <w:jc w:val="center"/>
                    <w:rPr>
                      <w:sz w:val="18"/>
                      <w:szCs w:val="18"/>
                    </w:rPr>
                  </w:pPr>
                  <w:r>
                    <w:rPr>
                      <w:rFonts w:hint="eastAsia"/>
                      <w:sz w:val="18"/>
                      <w:szCs w:val="18"/>
                    </w:rPr>
                    <w:t>/</w:t>
                  </w:r>
                </w:p>
              </w:tc>
              <w:tc>
                <w:tcPr>
                  <w:tcW w:w="759" w:type="dxa"/>
                  <w:tcBorders>
                    <w:top w:val="single" w:color="000000" w:sz="4" w:space="0"/>
                    <w:left w:val="single" w:color="000000" w:sz="4" w:space="0"/>
                    <w:bottom w:val="single" w:color="000000" w:sz="4" w:space="0"/>
                    <w:right w:val="single" w:color="auto" w:sz="4" w:space="0"/>
                  </w:tcBorders>
                  <w:shd w:val="clear" w:color="auto" w:fill="auto"/>
                  <w:vAlign w:val="center"/>
                </w:tcPr>
                <w:p>
                  <w:pPr>
                    <w:adjustRightInd w:val="0"/>
                    <w:snapToGrid w:val="0"/>
                    <w:spacing w:line="300" w:lineRule="exact"/>
                    <w:jc w:val="center"/>
                    <w:rPr>
                      <w:sz w:val="18"/>
                      <w:szCs w:val="18"/>
                    </w:rPr>
                  </w:pPr>
                  <w:r>
                    <w:rPr>
                      <w:rFonts w:hint="eastAsia"/>
                      <w:sz w:val="18"/>
                      <w:szCs w:val="18"/>
                    </w:rPr>
                    <w:t>0.05</w:t>
                  </w:r>
                </w:p>
              </w:tc>
              <w:tc>
                <w:tcPr>
                  <w:tcW w:w="911" w:type="dxa"/>
                  <w:tcBorders>
                    <w:top w:val="single" w:color="000000" w:sz="4" w:space="0"/>
                    <w:left w:val="single" w:color="000000" w:sz="4" w:space="0"/>
                    <w:bottom w:val="single" w:color="000000" w:sz="4" w:space="0"/>
                    <w:right w:val="single" w:color="auto" w:sz="4" w:space="0"/>
                  </w:tcBorders>
                  <w:shd w:val="clear" w:color="auto" w:fill="auto"/>
                  <w:vAlign w:val="center"/>
                </w:tcPr>
                <w:p>
                  <w:pPr>
                    <w:adjustRightInd w:val="0"/>
                    <w:snapToGrid w:val="0"/>
                    <w:spacing w:line="300" w:lineRule="exact"/>
                    <w:jc w:val="center"/>
                    <w:rPr>
                      <w:sz w:val="18"/>
                      <w:szCs w:val="18"/>
                    </w:rPr>
                  </w:pPr>
                  <w:r>
                    <w:rPr>
                      <w:rFonts w:hint="eastAsia" w:cs="宋体"/>
                      <w:sz w:val="18"/>
                      <w:szCs w:val="18"/>
                    </w:rPr>
                    <w:t>无组织排放</w:t>
                  </w:r>
                </w:p>
              </w:tc>
              <w:tc>
                <w:tcPr>
                  <w:tcW w:w="697" w:type="dxa"/>
                  <w:tcBorders>
                    <w:top w:val="single" w:color="000000" w:sz="4" w:space="0"/>
                    <w:left w:val="single" w:color="000000" w:sz="4" w:space="0"/>
                    <w:bottom w:val="single" w:color="000000" w:sz="4" w:space="0"/>
                    <w:right w:val="single" w:color="auto" w:sz="4" w:space="0"/>
                  </w:tcBorders>
                  <w:shd w:val="clear" w:color="auto" w:fill="auto"/>
                  <w:vAlign w:val="center"/>
                </w:tcPr>
                <w:p>
                  <w:pPr>
                    <w:adjustRightInd w:val="0"/>
                    <w:snapToGrid w:val="0"/>
                    <w:spacing w:line="300" w:lineRule="exact"/>
                    <w:jc w:val="center"/>
                    <w:rPr>
                      <w:sz w:val="18"/>
                      <w:szCs w:val="18"/>
                    </w:rPr>
                  </w:pPr>
                  <w:r>
                    <w:rPr>
                      <w:sz w:val="18"/>
                      <w:szCs w:val="18"/>
                    </w:rPr>
                    <w:t>/</w:t>
                  </w:r>
                </w:p>
              </w:tc>
              <w:tc>
                <w:tcPr>
                  <w:tcW w:w="850" w:type="dxa"/>
                  <w:tcBorders>
                    <w:top w:val="single" w:color="000000" w:sz="4" w:space="0"/>
                    <w:left w:val="single" w:color="000000" w:sz="4" w:space="0"/>
                    <w:bottom w:val="single" w:color="000000" w:sz="4" w:space="0"/>
                    <w:right w:val="single" w:color="auto" w:sz="4" w:space="0"/>
                  </w:tcBorders>
                  <w:shd w:val="clear" w:color="auto" w:fill="auto"/>
                  <w:vAlign w:val="center"/>
                </w:tcPr>
                <w:p>
                  <w:pPr>
                    <w:adjustRightInd w:val="0"/>
                    <w:snapToGrid w:val="0"/>
                    <w:spacing w:line="300" w:lineRule="exact"/>
                    <w:jc w:val="center"/>
                    <w:rPr>
                      <w:sz w:val="18"/>
                      <w:szCs w:val="18"/>
                    </w:rPr>
                  </w:pPr>
                  <w:r>
                    <w:rPr>
                      <w:sz w:val="18"/>
                      <w:szCs w:val="18"/>
                    </w:rPr>
                    <w:t>/</w:t>
                  </w:r>
                </w:p>
              </w:tc>
              <w:tc>
                <w:tcPr>
                  <w:tcW w:w="709" w:type="dxa"/>
                  <w:tcBorders>
                    <w:top w:val="single" w:color="000000" w:sz="4" w:space="0"/>
                    <w:left w:val="single" w:color="000000" w:sz="4" w:space="0"/>
                    <w:bottom w:val="single" w:color="000000" w:sz="4" w:space="0"/>
                    <w:right w:val="single" w:color="auto" w:sz="4" w:space="0"/>
                  </w:tcBorders>
                  <w:shd w:val="clear" w:color="auto" w:fill="auto"/>
                  <w:vAlign w:val="center"/>
                </w:tcPr>
                <w:p>
                  <w:pPr>
                    <w:adjustRightInd w:val="0"/>
                    <w:snapToGrid w:val="0"/>
                    <w:spacing w:line="300" w:lineRule="exact"/>
                    <w:jc w:val="center"/>
                    <w:rPr>
                      <w:sz w:val="18"/>
                      <w:szCs w:val="18"/>
                    </w:rPr>
                  </w:pPr>
                  <w:r>
                    <w:rPr>
                      <w:sz w:val="18"/>
                      <w:szCs w:val="18"/>
                    </w:rPr>
                    <w:t>/</w:t>
                  </w:r>
                </w:p>
              </w:tc>
              <w:tc>
                <w:tcPr>
                  <w:tcW w:w="471" w:type="dxa"/>
                  <w:tcBorders>
                    <w:top w:val="single" w:color="000000" w:sz="4" w:space="0"/>
                    <w:left w:val="single" w:color="000000" w:sz="4" w:space="0"/>
                    <w:bottom w:val="single" w:color="000000" w:sz="4" w:space="0"/>
                    <w:right w:val="single" w:color="auto" w:sz="4" w:space="0"/>
                  </w:tcBorders>
                  <w:shd w:val="clear" w:color="auto" w:fill="auto"/>
                  <w:vAlign w:val="center"/>
                </w:tcPr>
                <w:p>
                  <w:pPr>
                    <w:adjustRightInd w:val="0"/>
                    <w:snapToGrid w:val="0"/>
                    <w:spacing w:line="300" w:lineRule="exact"/>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5" w:hRule="atLeast"/>
                <w:jc w:val="center"/>
              </w:trPr>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00" w:lineRule="exact"/>
                    <w:jc w:val="center"/>
                    <w:rPr>
                      <w:sz w:val="18"/>
                      <w:szCs w:val="18"/>
                    </w:rPr>
                  </w:pPr>
                  <w:r>
                    <w:rPr>
                      <w:sz w:val="18"/>
                      <w:szCs w:val="18"/>
                    </w:rPr>
                    <w:t>煤炭外运装车MF0002</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00" w:lineRule="exact"/>
                    <w:jc w:val="center"/>
                    <w:rPr>
                      <w:sz w:val="18"/>
                      <w:szCs w:val="18"/>
                    </w:rPr>
                  </w:pPr>
                  <w:r>
                    <w:rPr>
                      <w:rFonts w:hint="eastAsia" w:cs="宋体"/>
                      <w:sz w:val="18"/>
                      <w:szCs w:val="18"/>
                    </w:rPr>
                    <w:t>颗粒物</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00" w:lineRule="exact"/>
                    <w:jc w:val="center"/>
                    <w:rPr>
                      <w:sz w:val="18"/>
                      <w:szCs w:val="18"/>
                    </w:rPr>
                  </w:pPr>
                  <w:r>
                    <w:rPr>
                      <w:rFonts w:hint="eastAsia"/>
                      <w:sz w:val="18"/>
                      <w:szCs w:val="18"/>
                    </w:rPr>
                    <w:t>0.13</w:t>
                  </w:r>
                </w:p>
              </w:tc>
              <w:tc>
                <w:tcPr>
                  <w:tcW w:w="757" w:type="dxa"/>
                  <w:tcBorders>
                    <w:top w:val="single" w:color="000000" w:sz="4" w:space="0"/>
                    <w:left w:val="single" w:color="000000" w:sz="4" w:space="0"/>
                    <w:bottom w:val="single" w:color="000000" w:sz="4" w:space="0"/>
                    <w:right w:val="single" w:color="auto" w:sz="4" w:space="0"/>
                  </w:tcBorders>
                  <w:shd w:val="clear" w:color="auto" w:fill="auto"/>
                  <w:vAlign w:val="center"/>
                </w:tcPr>
                <w:p>
                  <w:pPr>
                    <w:adjustRightInd w:val="0"/>
                    <w:snapToGrid w:val="0"/>
                    <w:spacing w:line="300" w:lineRule="exact"/>
                    <w:jc w:val="center"/>
                    <w:rPr>
                      <w:sz w:val="18"/>
                      <w:szCs w:val="18"/>
                    </w:rPr>
                  </w:pPr>
                  <w:r>
                    <w:rPr>
                      <w:rFonts w:hint="eastAsia"/>
                      <w:sz w:val="18"/>
                      <w:szCs w:val="18"/>
                    </w:rPr>
                    <w:t>/</w:t>
                  </w:r>
                </w:p>
              </w:tc>
              <w:tc>
                <w:tcPr>
                  <w:tcW w:w="759" w:type="dxa"/>
                  <w:tcBorders>
                    <w:top w:val="single" w:color="000000" w:sz="4" w:space="0"/>
                    <w:left w:val="single" w:color="000000" w:sz="4" w:space="0"/>
                    <w:bottom w:val="single" w:color="000000" w:sz="4" w:space="0"/>
                    <w:right w:val="single" w:color="auto" w:sz="4" w:space="0"/>
                  </w:tcBorders>
                  <w:shd w:val="clear" w:color="auto" w:fill="auto"/>
                  <w:vAlign w:val="center"/>
                </w:tcPr>
                <w:p>
                  <w:pPr>
                    <w:adjustRightInd w:val="0"/>
                    <w:snapToGrid w:val="0"/>
                    <w:spacing w:line="300" w:lineRule="exact"/>
                    <w:jc w:val="center"/>
                    <w:rPr>
                      <w:sz w:val="18"/>
                      <w:szCs w:val="18"/>
                    </w:rPr>
                  </w:pPr>
                  <w:r>
                    <w:rPr>
                      <w:rFonts w:hint="eastAsia"/>
                      <w:sz w:val="18"/>
                      <w:szCs w:val="18"/>
                    </w:rPr>
                    <w:t>0.054</w:t>
                  </w:r>
                </w:p>
              </w:tc>
              <w:tc>
                <w:tcPr>
                  <w:tcW w:w="911" w:type="dxa"/>
                  <w:tcBorders>
                    <w:top w:val="single" w:color="000000" w:sz="4" w:space="0"/>
                    <w:left w:val="single" w:color="000000" w:sz="4" w:space="0"/>
                    <w:bottom w:val="single" w:color="000000" w:sz="4" w:space="0"/>
                    <w:right w:val="single" w:color="auto" w:sz="4" w:space="0"/>
                  </w:tcBorders>
                  <w:shd w:val="clear" w:color="auto" w:fill="auto"/>
                  <w:vAlign w:val="center"/>
                </w:tcPr>
                <w:p>
                  <w:pPr>
                    <w:adjustRightInd w:val="0"/>
                    <w:snapToGrid w:val="0"/>
                    <w:spacing w:line="300" w:lineRule="exact"/>
                    <w:jc w:val="center"/>
                    <w:rPr>
                      <w:sz w:val="18"/>
                      <w:szCs w:val="18"/>
                    </w:rPr>
                  </w:pPr>
                  <w:r>
                    <w:rPr>
                      <w:rFonts w:hint="eastAsia" w:cs="宋体"/>
                      <w:sz w:val="18"/>
                      <w:szCs w:val="18"/>
                    </w:rPr>
                    <w:t>无组织排放</w:t>
                  </w:r>
                </w:p>
              </w:tc>
              <w:tc>
                <w:tcPr>
                  <w:tcW w:w="697" w:type="dxa"/>
                  <w:tcBorders>
                    <w:top w:val="single" w:color="000000" w:sz="4" w:space="0"/>
                    <w:left w:val="single" w:color="000000" w:sz="4" w:space="0"/>
                    <w:bottom w:val="single" w:color="000000" w:sz="4" w:space="0"/>
                    <w:right w:val="single" w:color="auto" w:sz="4" w:space="0"/>
                  </w:tcBorders>
                  <w:shd w:val="clear" w:color="auto" w:fill="auto"/>
                  <w:vAlign w:val="center"/>
                </w:tcPr>
                <w:p>
                  <w:pPr>
                    <w:adjustRightInd w:val="0"/>
                    <w:snapToGrid w:val="0"/>
                    <w:spacing w:line="300" w:lineRule="exact"/>
                    <w:jc w:val="center"/>
                    <w:rPr>
                      <w:sz w:val="18"/>
                      <w:szCs w:val="18"/>
                    </w:rPr>
                  </w:pPr>
                  <w:r>
                    <w:rPr>
                      <w:sz w:val="18"/>
                      <w:szCs w:val="18"/>
                    </w:rPr>
                    <w:t>/</w:t>
                  </w:r>
                </w:p>
              </w:tc>
              <w:tc>
                <w:tcPr>
                  <w:tcW w:w="850" w:type="dxa"/>
                  <w:tcBorders>
                    <w:top w:val="single" w:color="000000" w:sz="4" w:space="0"/>
                    <w:left w:val="single" w:color="000000" w:sz="4" w:space="0"/>
                    <w:bottom w:val="single" w:color="000000" w:sz="4" w:space="0"/>
                    <w:right w:val="single" w:color="auto" w:sz="4" w:space="0"/>
                  </w:tcBorders>
                  <w:shd w:val="clear" w:color="auto" w:fill="auto"/>
                  <w:vAlign w:val="center"/>
                </w:tcPr>
                <w:p>
                  <w:pPr>
                    <w:adjustRightInd w:val="0"/>
                    <w:snapToGrid w:val="0"/>
                    <w:spacing w:line="300" w:lineRule="exact"/>
                    <w:jc w:val="center"/>
                    <w:rPr>
                      <w:sz w:val="18"/>
                      <w:szCs w:val="18"/>
                    </w:rPr>
                  </w:pPr>
                  <w:r>
                    <w:rPr>
                      <w:sz w:val="18"/>
                      <w:szCs w:val="18"/>
                    </w:rPr>
                    <w:t>/</w:t>
                  </w:r>
                </w:p>
              </w:tc>
              <w:tc>
                <w:tcPr>
                  <w:tcW w:w="709" w:type="dxa"/>
                  <w:tcBorders>
                    <w:top w:val="single" w:color="000000" w:sz="4" w:space="0"/>
                    <w:left w:val="single" w:color="000000" w:sz="4" w:space="0"/>
                    <w:bottom w:val="single" w:color="000000" w:sz="4" w:space="0"/>
                    <w:right w:val="single" w:color="auto" w:sz="4" w:space="0"/>
                  </w:tcBorders>
                  <w:shd w:val="clear" w:color="auto" w:fill="auto"/>
                  <w:vAlign w:val="center"/>
                </w:tcPr>
                <w:p>
                  <w:pPr>
                    <w:adjustRightInd w:val="0"/>
                    <w:snapToGrid w:val="0"/>
                    <w:spacing w:line="300" w:lineRule="exact"/>
                    <w:jc w:val="center"/>
                    <w:rPr>
                      <w:sz w:val="18"/>
                      <w:szCs w:val="18"/>
                    </w:rPr>
                  </w:pPr>
                  <w:r>
                    <w:rPr>
                      <w:sz w:val="18"/>
                      <w:szCs w:val="18"/>
                    </w:rPr>
                    <w:t>/</w:t>
                  </w:r>
                </w:p>
              </w:tc>
              <w:tc>
                <w:tcPr>
                  <w:tcW w:w="471" w:type="dxa"/>
                  <w:tcBorders>
                    <w:top w:val="single" w:color="000000" w:sz="4" w:space="0"/>
                    <w:left w:val="single" w:color="000000" w:sz="4" w:space="0"/>
                    <w:bottom w:val="single" w:color="000000" w:sz="4" w:space="0"/>
                    <w:right w:val="single" w:color="auto" w:sz="4" w:space="0"/>
                  </w:tcBorders>
                  <w:shd w:val="clear" w:color="auto" w:fill="auto"/>
                  <w:vAlign w:val="center"/>
                </w:tcPr>
                <w:p>
                  <w:pPr>
                    <w:adjustRightInd w:val="0"/>
                    <w:snapToGrid w:val="0"/>
                    <w:spacing w:line="300" w:lineRule="exact"/>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5" w:hRule="atLeast"/>
                <w:jc w:val="center"/>
              </w:trPr>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00" w:lineRule="exact"/>
                    <w:jc w:val="center"/>
                    <w:rPr>
                      <w:sz w:val="18"/>
                      <w:szCs w:val="18"/>
                    </w:rPr>
                  </w:pPr>
                  <w:r>
                    <w:rPr>
                      <w:sz w:val="18"/>
                      <w:szCs w:val="18"/>
                    </w:rPr>
                    <w:t>煤炭储存MF0003</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00" w:lineRule="exact"/>
                    <w:jc w:val="center"/>
                    <w:rPr>
                      <w:sz w:val="18"/>
                      <w:szCs w:val="18"/>
                    </w:rPr>
                  </w:pPr>
                  <w:r>
                    <w:rPr>
                      <w:rFonts w:hint="eastAsia" w:cs="宋体"/>
                      <w:sz w:val="18"/>
                      <w:szCs w:val="18"/>
                    </w:rPr>
                    <w:t>颗粒物</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00" w:lineRule="exact"/>
                    <w:jc w:val="center"/>
                    <w:rPr>
                      <w:sz w:val="18"/>
                      <w:szCs w:val="18"/>
                    </w:rPr>
                  </w:pPr>
                  <w:r>
                    <w:rPr>
                      <w:rFonts w:hint="eastAsia"/>
                      <w:sz w:val="18"/>
                      <w:szCs w:val="18"/>
                    </w:rPr>
                    <w:t>/</w:t>
                  </w:r>
                </w:p>
              </w:tc>
              <w:tc>
                <w:tcPr>
                  <w:tcW w:w="757" w:type="dxa"/>
                  <w:tcBorders>
                    <w:top w:val="single" w:color="000000" w:sz="4" w:space="0"/>
                    <w:left w:val="single" w:color="000000" w:sz="4" w:space="0"/>
                    <w:bottom w:val="single" w:color="000000" w:sz="4" w:space="0"/>
                    <w:right w:val="single" w:color="auto" w:sz="4" w:space="0"/>
                  </w:tcBorders>
                  <w:shd w:val="clear" w:color="auto" w:fill="auto"/>
                  <w:vAlign w:val="center"/>
                </w:tcPr>
                <w:p>
                  <w:pPr>
                    <w:adjustRightInd w:val="0"/>
                    <w:snapToGrid w:val="0"/>
                    <w:spacing w:line="300" w:lineRule="exact"/>
                    <w:jc w:val="center"/>
                    <w:rPr>
                      <w:sz w:val="18"/>
                      <w:szCs w:val="18"/>
                    </w:rPr>
                  </w:pPr>
                  <w:r>
                    <w:rPr>
                      <w:rFonts w:hint="eastAsia"/>
                      <w:sz w:val="18"/>
                      <w:szCs w:val="18"/>
                    </w:rPr>
                    <w:t>/</w:t>
                  </w:r>
                </w:p>
              </w:tc>
              <w:tc>
                <w:tcPr>
                  <w:tcW w:w="759" w:type="dxa"/>
                  <w:tcBorders>
                    <w:top w:val="single" w:color="000000" w:sz="4" w:space="0"/>
                    <w:left w:val="single" w:color="000000" w:sz="4" w:space="0"/>
                    <w:bottom w:val="single" w:color="000000" w:sz="4" w:space="0"/>
                    <w:right w:val="single" w:color="auto" w:sz="4" w:space="0"/>
                  </w:tcBorders>
                  <w:shd w:val="clear" w:color="auto" w:fill="auto"/>
                  <w:vAlign w:val="center"/>
                </w:tcPr>
                <w:p>
                  <w:pPr>
                    <w:adjustRightInd w:val="0"/>
                    <w:snapToGrid w:val="0"/>
                    <w:spacing w:line="300" w:lineRule="exact"/>
                    <w:jc w:val="center"/>
                    <w:rPr>
                      <w:sz w:val="18"/>
                      <w:szCs w:val="18"/>
                    </w:rPr>
                  </w:pPr>
                  <w:r>
                    <w:rPr>
                      <w:rFonts w:hint="eastAsia"/>
                      <w:sz w:val="18"/>
                      <w:szCs w:val="18"/>
                    </w:rPr>
                    <w:t>/</w:t>
                  </w:r>
                </w:p>
              </w:tc>
              <w:tc>
                <w:tcPr>
                  <w:tcW w:w="911" w:type="dxa"/>
                  <w:tcBorders>
                    <w:top w:val="single" w:color="000000" w:sz="4" w:space="0"/>
                    <w:left w:val="single" w:color="000000" w:sz="4" w:space="0"/>
                    <w:bottom w:val="single" w:color="000000" w:sz="4" w:space="0"/>
                    <w:right w:val="single" w:color="auto" w:sz="4" w:space="0"/>
                  </w:tcBorders>
                  <w:shd w:val="clear" w:color="auto" w:fill="auto"/>
                  <w:vAlign w:val="center"/>
                </w:tcPr>
                <w:p>
                  <w:pPr>
                    <w:adjustRightInd w:val="0"/>
                    <w:snapToGrid w:val="0"/>
                    <w:spacing w:line="300" w:lineRule="exact"/>
                    <w:jc w:val="center"/>
                    <w:rPr>
                      <w:sz w:val="18"/>
                      <w:szCs w:val="18"/>
                    </w:rPr>
                  </w:pPr>
                  <w:r>
                    <w:rPr>
                      <w:rFonts w:hint="eastAsia" w:cs="宋体"/>
                      <w:sz w:val="18"/>
                      <w:szCs w:val="18"/>
                    </w:rPr>
                    <w:t>无组织排放</w:t>
                  </w:r>
                </w:p>
              </w:tc>
              <w:tc>
                <w:tcPr>
                  <w:tcW w:w="697" w:type="dxa"/>
                  <w:tcBorders>
                    <w:top w:val="single" w:color="000000" w:sz="4" w:space="0"/>
                    <w:left w:val="single" w:color="000000" w:sz="4" w:space="0"/>
                    <w:bottom w:val="single" w:color="000000" w:sz="4" w:space="0"/>
                    <w:right w:val="single" w:color="auto" w:sz="4" w:space="0"/>
                  </w:tcBorders>
                  <w:shd w:val="clear" w:color="auto" w:fill="auto"/>
                  <w:vAlign w:val="center"/>
                </w:tcPr>
                <w:p>
                  <w:pPr>
                    <w:adjustRightInd w:val="0"/>
                    <w:snapToGrid w:val="0"/>
                    <w:spacing w:line="300" w:lineRule="exact"/>
                    <w:jc w:val="center"/>
                    <w:rPr>
                      <w:sz w:val="18"/>
                      <w:szCs w:val="18"/>
                    </w:rPr>
                  </w:pPr>
                  <w:r>
                    <w:rPr>
                      <w:sz w:val="18"/>
                      <w:szCs w:val="18"/>
                    </w:rPr>
                    <w:t>/</w:t>
                  </w:r>
                </w:p>
              </w:tc>
              <w:tc>
                <w:tcPr>
                  <w:tcW w:w="850" w:type="dxa"/>
                  <w:tcBorders>
                    <w:top w:val="single" w:color="000000" w:sz="4" w:space="0"/>
                    <w:left w:val="single" w:color="000000" w:sz="4" w:space="0"/>
                    <w:bottom w:val="single" w:color="000000" w:sz="4" w:space="0"/>
                    <w:right w:val="single" w:color="auto" w:sz="4" w:space="0"/>
                  </w:tcBorders>
                  <w:shd w:val="clear" w:color="auto" w:fill="auto"/>
                  <w:vAlign w:val="center"/>
                </w:tcPr>
                <w:p>
                  <w:pPr>
                    <w:adjustRightInd w:val="0"/>
                    <w:snapToGrid w:val="0"/>
                    <w:spacing w:line="300" w:lineRule="exact"/>
                    <w:jc w:val="center"/>
                    <w:rPr>
                      <w:sz w:val="18"/>
                      <w:szCs w:val="18"/>
                    </w:rPr>
                  </w:pPr>
                  <w:r>
                    <w:rPr>
                      <w:sz w:val="18"/>
                      <w:szCs w:val="18"/>
                    </w:rPr>
                    <w:t>/</w:t>
                  </w:r>
                </w:p>
              </w:tc>
              <w:tc>
                <w:tcPr>
                  <w:tcW w:w="709" w:type="dxa"/>
                  <w:tcBorders>
                    <w:top w:val="single" w:color="000000" w:sz="4" w:space="0"/>
                    <w:left w:val="single" w:color="000000" w:sz="4" w:space="0"/>
                    <w:bottom w:val="single" w:color="000000" w:sz="4" w:space="0"/>
                    <w:right w:val="single" w:color="auto" w:sz="4" w:space="0"/>
                  </w:tcBorders>
                  <w:shd w:val="clear" w:color="auto" w:fill="auto"/>
                  <w:vAlign w:val="center"/>
                </w:tcPr>
                <w:p>
                  <w:pPr>
                    <w:adjustRightInd w:val="0"/>
                    <w:snapToGrid w:val="0"/>
                    <w:spacing w:line="300" w:lineRule="exact"/>
                    <w:jc w:val="center"/>
                    <w:rPr>
                      <w:sz w:val="18"/>
                      <w:szCs w:val="18"/>
                    </w:rPr>
                  </w:pPr>
                  <w:r>
                    <w:rPr>
                      <w:sz w:val="18"/>
                      <w:szCs w:val="18"/>
                    </w:rPr>
                    <w:t>/</w:t>
                  </w:r>
                </w:p>
              </w:tc>
              <w:tc>
                <w:tcPr>
                  <w:tcW w:w="471" w:type="dxa"/>
                  <w:tcBorders>
                    <w:top w:val="single" w:color="000000" w:sz="4" w:space="0"/>
                    <w:left w:val="single" w:color="000000" w:sz="4" w:space="0"/>
                    <w:bottom w:val="single" w:color="000000" w:sz="4" w:space="0"/>
                    <w:right w:val="single" w:color="auto" w:sz="4" w:space="0"/>
                  </w:tcBorders>
                  <w:shd w:val="clear" w:color="auto" w:fill="auto"/>
                  <w:vAlign w:val="center"/>
                </w:tcPr>
                <w:p>
                  <w:pPr>
                    <w:adjustRightInd w:val="0"/>
                    <w:snapToGrid w:val="0"/>
                    <w:spacing w:line="300" w:lineRule="exact"/>
                    <w:jc w:val="center"/>
                    <w:rPr>
                      <w:sz w:val="18"/>
                      <w:szCs w:val="18"/>
                    </w:rPr>
                  </w:pPr>
                  <w:r>
                    <w:rPr>
                      <w:sz w:val="18"/>
                      <w:szCs w:val="18"/>
                    </w:rPr>
                    <w:t>/</w:t>
                  </w:r>
                </w:p>
              </w:tc>
            </w:tr>
          </w:tbl>
          <w:p>
            <w:pPr>
              <w:autoSpaceDE w:val="0"/>
              <w:autoSpaceDN w:val="0"/>
              <w:adjustRightInd w:val="0"/>
              <w:snapToGrid w:val="0"/>
              <w:spacing w:line="400" w:lineRule="exact"/>
              <w:ind w:firstLine="422" w:firstLineChars="200"/>
              <w:jc w:val="left"/>
              <w:rPr>
                <w:rFonts w:cs="宋体"/>
                <w:b/>
                <w:kern w:val="0"/>
                <w:szCs w:val="21"/>
              </w:rPr>
            </w:pPr>
            <w:r>
              <w:rPr>
                <w:rFonts w:hint="eastAsia" w:cs="宋体"/>
                <w:b/>
                <w:kern w:val="0"/>
                <w:szCs w:val="21"/>
              </w:rPr>
              <w:t>（</w:t>
            </w:r>
            <w:r>
              <w:rPr>
                <w:rFonts w:cs="宋体"/>
                <w:b/>
                <w:kern w:val="0"/>
                <w:szCs w:val="21"/>
              </w:rPr>
              <w:t>4</w:t>
            </w:r>
            <w:r>
              <w:rPr>
                <w:rFonts w:hint="eastAsia" w:cs="宋体"/>
                <w:b/>
                <w:kern w:val="0"/>
                <w:szCs w:val="21"/>
              </w:rPr>
              <w:t>）监测要求</w:t>
            </w:r>
          </w:p>
          <w:p>
            <w:pPr>
              <w:autoSpaceDE w:val="0"/>
              <w:autoSpaceDN w:val="0"/>
              <w:adjustRightInd w:val="0"/>
              <w:snapToGrid w:val="0"/>
              <w:spacing w:line="400" w:lineRule="exact"/>
              <w:ind w:firstLine="412" w:firstLineChars="200"/>
              <w:jc w:val="left"/>
              <w:rPr>
                <w:bCs/>
                <w:spacing w:val="-2"/>
                <w:szCs w:val="21"/>
                <w:lang w:val="zh-CN"/>
              </w:rPr>
            </w:pPr>
            <w:r>
              <w:rPr>
                <w:rFonts w:hint="eastAsia"/>
                <w:bCs/>
                <w:spacing w:val="-2"/>
                <w:szCs w:val="21"/>
              </w:rPr>
              <w:t>根据《排污单位自行监测技术指南总则》（</w:t>
            </w:r>
            <w:r>
              <w:rPr>
                <w:bCs/>
                <w:spacing w:val="-2"/>
                <w:szCs w:val="21"/>
              </w:rPr>
              <w:t>HJ819-2017</w:t>
            </w:r>
            <w:r>
              <w:rPr>
                <w:rFonts w:hint="eastAsia"/>
                <w:bCs/>
                <w:spacing w:val="-2"/>
                <w:szCs w:val="21"/>
              </w:rPr>
              <w:t>）文件，并结合本项目污染物的特点，制定营运期监测计划见下表。</w:t>
            </w:r>
          </w:p>
          <w:p>
            <w:pPr>
              <w:autoSpaceDE w:val="0"/>
              <w:autoSpaceDN w:val="0"/>
              <w:adjustRightInd w:val="0"/>
              <w:spacing w:line="400" w:lineRule="exact"/>
              <w:ind w:firstLine="465"/>
              <w:jc w:val="center"/>
              <w:rPr>
                <w:rFonts w:eastAsia="黑体"/>
                <w:bCs/>
                <w:sz w:val="18"/>
                <w:szCs w:val="18"/>
              </w:rPr>
            </w:pPr>
            <w:r>
              <w:rPr>
                <w:rFonts w:eastAsia="黑体"/>
                <w:bCs/>
                <w:sz w:val="18"/>
                <w:szCs w:val="18"/>
              </w:rPr>
              <w:t>表</w:t>
            </w:r>
            <w:r>
              <w:rPr>
                <w:rFonts w:hint="eastAsia" w:eastAsia="黑体"/>
                <w:bCs/>
                <w:sz w:val="18"/>
                <w:szCs w:val="18"/>
              </w:rPr>
              <w:t>4-2</w:t>
            </w:r>
            <w:r>
              <w:rPr>
                <w:rFonts w:eastAsia="黑体"/>
                <w:bCs/>
                <w:sz w:val="18"/>
                <w:szCs w:val="18"/>
              </w:rPr>
              <w:t xml:space="preserve">    营运期废气监测计划</w:t>
            </w:r>
          </w:p>
          <w:tbl>
            <w:tblPr>
              <w:tblStyle w:val="21"/>
              <w:tblW w:w="78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2565"/>
              <w:gridCol w:w="1710"/>
              <w:gridCol w:w="1353"/>
              <w:gridCol w:w="1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 w:hRule="atLeast"/>
                <w:jc w:val="center"/>
              </w:trPr>
              <w:tc>
                <w:tcPr>
                  <w:tcW w:w="107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00" w:lineRule="exact"/>
                    <w:jc w:val="center"/>
                    <w:rPr>
                      <w:b/>
                      <w:sz w:val="18"/>
                      <w:szCs w:val="18"/>
                    </w:rPr>
                  </w:pPr>
                  <w:r>
                    <w:rPr>
                      <w:b/>
                      <w:sz w:val="18"/>
                      <w:szCs w:val="18"/>
                    </w:rPr>
                    <w:t>监测项目</w:t>
                  </w:r>
                </w:p>
              </w:tc>
              <w:tc>
                <w:tcPr>
                  <w:tcW w:w="2565" w:type="dxa"/>
                  <w:tcBorders>
                    <w:top w:val="single" w:color="auto" w:sz="4" w:space="0"/>
                    <w:left w:val="nil"/>
                    <w:bottom w:val="single" w:color="auto" w:sz="4" w:space="0"/>
                    <w:right w:val="single" w:color="auto" w:sz="4" w:space="0"/>
                  </w:tcBorders>
                  <w:vAlign w:val="center"/>
                </w:tcPr>
                <w:p>
                  <w:pPr>
                    <w:autoSpaceDE w:val="0"/>
                    <w:autoSpaceDN w:val="0"/>
                    <w:adjustRightInd w:val="0"/>
                    <w:spacing w:line="400" w:lineRule="exact"/>
                    <w:jc w:val="center"/>
                    <w:rPr>
                      <w:b/>
                      <w:sz w:val="18"/>
                      <w:szCs w:val="18"/>
                    </w:rPr>
                  </w:pPr>
                  <w:r>
                    <w:rPr>
                      <w:b/>
                      <w:sz w:val="18"/>
                      <w:szCs w:val="18"/>
                    </w:rPr>
                    <w:t>监测点位</w:t>
                  </w:r>
                </w:p>
              </w:tc>
              <w:tc>
                <w:tcPr>
                  <w:tcW w:w="1710" w:type="dxa"/>
                  <w:tcBorders>
                    <w:top w:val="single" w:color="auto" w:sz="4" w:space="0"/>
                    <w:left w:val="nil"/>
                    <w:bottom w:val="single" w:color="auto" w:sz="4" w:space="0"/>
                    <w:right w:val="single" w:color="auto" w:sz="4" w:space="0"/>
                  </w:tcBorders>
                  <w:vAlign w:val="center"/>
                </w:tcPr>
                <w:p>
                  <w:pPr>
                    <w:autoSpaceDE w:val="0"/>
                    <w:autoSpaceDN w:val="0"/>
                    <w:adjustRightInd w:val="0"/>
                    <w:spacing w:line="400" w:lineRule="exact"/>
                    <w:jc w:val="center"/>
                    <w:rPr>
                      <w:b/>
                      <w:sz w:val="18"/>
                      <w:szCs w:val="18"/>
                    </w:rPr>
                  </w:pPr>
                  <w:r>
                    <w:rPr>
                      <w:b/>
                      <w:sz w:val="18"/>
                      <w:szCs w:val="18"/>
                    </w:rPr>
                    <w:t>监测因子</w:t>
                  </w:r>
                </w:p>
              </w:tc>
              <w:tc>
                <w:tcPr>
                  <w:tcW w:w="1353" w:type="dxa"/>
                  <w:tcBorders>
                    <w:top w:val="single" w:color="auto" w:sz="4" w:space="0"/>
                    <w:left w:val="nil"/>
                    <w:bottom w:val="single" w:color="auto" w:sz="4" w:space="0"/>
                    <w:right w:val="single" w:color="auto" w:sz="4" w:space="0"/>
                  </w:tcBorders>
                  <w:vAlign w:val="center"/>
                </w:tcPr>
                <w:p>
                  <w:pPr>
                    <w:autoSpaceDE w:val="0"/>
                    <w:autoSpaceDN w:val="0"/>
                    <w:adjustRightInd w:val="0"/>
                    <w:spacing w:line="400" w:lineRule="exact"/>
                    <w:jc w:val="center"/>
                    <w:rPr>
                      <w:b/>
                      <w:sz w:val="18"/>
                      <w:szCs w:val="18"/>
                    </w:rPr>
                  </w:pPr>
                  <w:r>
                    <w:rPr>
                      <w:b/>
                      <w:sz w:val="18"/>
                      <w:szCs w:val="18"/>
                    </w:rPr>
                    <w:t>监测频次</w:t>
                  </w:r>
                </w:p>
              </w:tc>
              <w:tc>
                <w:tcPr>
                  <w:tcW w:w="1097" w:type="dxa"/>
                  <w:tcBorders>
                    <w:top w:val="single" w:color="auto" w:sz="4" w:space="0"/>
                    <w:left w:val="nil"/>
                    <w:bottom w:val="single" w:color="auto" w:sz="4" w:space="0"/>
                    <w:right w:val="single" w:color="auto" w:sz="4" w:space="0"/>
                  </w:tcBorders>
                  <w:vAlign w:val="center"/>
                </w:tcPr>
                <w:p>
                  <w:pPr>
                    <w:autoSpaceDE w:val="0"/>
                    <w:autoSpaceDN w:val="0"/>
                    <w:adjustRightInd w:val="0"/>
                    <w:spacing w:line="400" w:lineRule="exact"/>
                    <w:jc w:val="center"/>
                    <w:rPr>
                      <w:b/>
                      <w:sz w:val="18"/>
                      <w:szCs w:val="18"/>
                    </w:rPr>
                  </w:pPr>
                  <w:r>
                    <w:rPr>
                      <w:b/>
                      <w:sz w:val="18"/>
                      <w:szCs w:val="18"/>
                    </w:rPr>
                    <w:t>监测周期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107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00" w:lineRule="exact"/>
                    <w:jc w:val="center"/>
                    <w:rPr>
                      <w:bCs/>
                      <w:sz w:val="18"/>
                      <w:szCs w:val="18"/>
                    </w:rPr>
                  </w:pPr>
                  <w:r>
                    <w:rPr>
                      <w:bCs/>
                      <w:sz w:val="18"/>
                      <w:szCs w:val="18"/>
                    </w:rPr>
                    <w:t>废气</w:t>
                  </w:r>
                </w:p>
              </w:tc>
              <w:tc>
                <w:tcPr>
                  <w:tcW w:w="2565" w:type="dxa"/>
                  <w:tcBorders>
                    <w:top w:val="single" w:color="auto" w:sz="4" w:space="0"/>
                    <w:left w:val="nil"/>
                    <w:bottom w:val="single" w:color="auto" w:sz="4" w:space="0"/>
                    <w:right w:val="single" w:color="auto" w:sz="4" w:space="0"/>
                  </w:tcBorders>
                  <w:vAlign w:val="center"/>
                </w:tcPr>
                <w:p>
                  <w:pPr>
                    <w:autoSpaceDE w:val="0"/>
                    <w:autoSpaceDN w:val="0"/>
                    <w:adjustRightInd w:val="0"/>
                    <w:spacing w:line="400" w:lineRule="exact"/>
                    <w:jc w:val="center"/>
                    <w:rPr>
                      <w:bCs/>
                      <w:sz w:val="18"/>
                      <w:szCs w:val="18"/>
                    </w:rPr>
                  </w:pPr>
                  <w:r>
                    <w:rPr>
                      <w:bCs/>
                      <w:sz w:val="18"/>
                      <w:szCs w:val="18"/>
                    </w:rPr>
                    <w:t>项目区上风向设参照点1个，下风向设监控点2个</w:t>
                  </w:r>
                </w:p>
              </w:tc>
              <w:tc>
                <w:tcPr>
                  <w:tcW w:w="1710" w:type="dxa"/>
                  <w:tcBorders>
                    <w:top w:val="single" w:color="auto" w:sz="4" w:space="0"/>
                    <w:left w:val="nil"/>
                    <w:bottom w:val="single" w:color="auto" w:sz="4" w:space="0"/>
                    <w:right w:val="single" w:color="auto" w:sz="4" w:space="0"/>
                  </w:tcBorders>
                  <w:vAlign w:val="center"/>
                </w:tcPr>
                <w:p>
                  <w:pPr>
                    <w:autoSpaceDE w:val="0"/>
                    <w:autoSpaceDN w:val="0"/>
                    <w:adjustRightInd w:val="0"/>
                    <w:spacing w:line="400" w:lineRule="exact"/>
                    <w:jc w:val="center"/>
                    <w:rPr>
                      <w:sz w:val="18"/>
                      <w:szCs w:val="18"/>
                    </w:rPr>
                  </w:pPr>
                  <w:r>
                    <w:rPr>
                      <w:bCs/>
                      <w:sz w:val="18"/>
                      <w:szCs w:val="18"/>
                    </w:rPr>
                    <w:t>颗粒物</w:t>
                  </w:r>
                </w:p>
              </w:tc>
              <w:tc>
                <w:tcPr>
                  <w:tcW w:w="1353" w:type="dxa"/>
                  <w:tcBorders>
                    <w:top w:val="single" w:color="auto" w:sz="4" w:space="0"/>
                    <w:left w:val="nil"/>
                    <w:bottom w:val="single" w:color="auto" w:sz="4" w:space="0"/>
                    <w:right w:val="single" w:color="auto" w:sz="4" w:space="0"/>
                  </w:tcBorders>
                  <w:vAlign w:val="center"/>
                </w:tcPr>
                <w:p>
                  <w:pPr>
                    <w:autoSpaceDE w:val="0"/>
                    <w:autoSpaceDN w:val="0"/>
                    <w:adjustRightInd w:val="0"/>
                    <w:spacing w:line="400" w:lineRule="exact"/>
                    <w:jc w:val="center"/>
                    <w:rPr>
                      <w:bCs/>
                      <w:sz w:val="18"/>
                      <w:szCs w:val="18"/>
                    </w:rPr>
                  </w:pPr>
                  <w:r>
                    <w:rPr>
                      <w:rFonts w:hint="eastAsia"/>
                      <w:bCs/>
                      <w:sz w:val="18"/>
                      <w:szCs w:val="18"/>
                    </w:rPr>
                    <w:t>2</w:t>
                  </w:r>
                  <w:r>
                    <w:rPr>
                      <w:bCs/>
                      <w:sz w:val="18"/>
                      <w:szCs w:val="18"/>
                    </w:rPr>
                    <w:t>天</w:t>
                  </w:r>
                </w:p>
              </w:tc>
              <w:tc>
                <w:tcPr>
                  <w:tcW w:w="1097" w:type="dxa"/>
                  <w:tcBorders>
                    <w:top w:val="single" w:color="auto" w:sz="4" w:space="0"/>
                    <w:left w:val="nil"/>
                    <w:bottom w:val="single" w:color="auto" w:sz="4" w:space="0"/>
                    <w:right w:val="single" w:color="auto" w:sz="4" w:space="0"/>
                  </w:tcBorders>
                  <w:vAlign w:val="center"/>
                </w:tcPr>
                <w:p>
                  <w:pPr>
                    <w:autoSpaceDE w:val="0"/>
                    <w:autoSpaceDN w:val="0"/>
                    <w:adjustRightInd w:val="0"/>
                    <w:spacing w:line="400" w:lineRule="exact"/>
                    <w:jc w:val="center"/>
                    <w:rPr>
                      <w:bCs/>
                      <w:sz w:val="18"/>
                      <w:szCs w:val="18"/>
                    </w:rPr>
                  </w:pPr>
                  <w:r>
                    <w:rPr>
                      <w:bCs/>
                      <w:sz w:val="18"/>
                      <w:szCs w:val="18"/>
                    </w:rPr>
                    <w:t>每年1次</w:t>
                  </w:r>
                </w:p>
              </w:tc>
            </w:tr>
          </w:tbl>
          <w:p>
            <w:pPr>
              <w:autoSpaceDE w:val="0"/>
              <w:autoSpaceDN w:val="0"/>
              <w:adjustRightInd w:val="0"/>
              <w:snapToGrid w:val="0"/>
              <w:spacing w:line="400" w:lineRule="exact"/>
              <w:ind w:firstLine="422" w:firstLineChars="200"/>
              <w:jc w:val="left"/>
              <w:rPr>
                <w:rFonts w:cs="宋体"/>
                <w:b/>
                <w:kern w:val="0"/>
                <w:szCs w:val="21"/>
              </w:rPr>
            </w:pPr>
            <w:r>
              <w:rPr>
                <w:rFonts w:hint="eastAsia" w:cs="宋体"/>
                <w:b/>
                <w:kern w:val="0"/>
                <w:szCs w:val="21"/>
              </w:rPr>
              <w:t>（</w:t>
            </w:r>
            <w:r>
              <w:rPr>
                <w:rFonts w:cs="宋体"/>
                <w:b/>
                <w:kern w:val="0"/>
                <w:szCs w:val="21"/>
              </w:rPr>
              <w:t>5</w:t>
            </w:r>
            <w:r>
              <w:rPr>
                <w:rFonts w:hint="eastAsia" w:cs="宋体"/>
                <w:b/>
                <w:kern w:val="0"/>
                <w:szCs w:val="21"/>
              </w:rPr>
              <w:t>）达标分析</w:t>
            </w:r>
          </w:p>
          <w:p>
            <w:pPr>
              <w:autoSpaceDE w:val="0"/>
              <w:autoSpaceDN w:val="0"/>
              <w:adjustRightInd w:val="0"/>
              <w:snapToGrid w:val="0"/>
              <w:spacing w:line="400" w:lineRule="exact"/>
              <w:ind w:firstLine="420" w:firstLineChars="200"/>
              <w:jc w:val="left"/>
              <w:rPr>
                <w:rFonts w:cs="宋体"/>
                <w:kern w:val="0"/>
                <w:szCs w:val="21"/>
              </w:rPr>
            </w:pPr>
            <w:r>
              <w:rPr>
                <w:rFonts w:hint="eastAsia" w:cs="宋体"/>
                <w:kern w:val="0"/>
                <w:szCs w:val="21"/>
              </w:rPr>
              <w:t>本项目废气污染物主要为煤粉尘，产生源位于储煤棚内，主要以无组织形式排放。通过采取储煤棚封闭、喷雾降尘等措施后，对外环境影响较小。通过采用大气预测模式AERSCREEN预测可知，项目区厂界外的粉尘浓度小于1.0mg/m</w:t>
            </w:r>
            <w:r>
              <w:rPr>
                <w:rFonts w:hint="eastAsia" w:cs="宋体"/>
                <w:kern w:val="0"/>
                <w:szCs w:val="21"/>
                <w:vertAlign w:val="superscript"/>
              </w:rPr>
              <w:t>3</w:t>
            </w:r>
            <w:r>
              <w:rPr>
                <w:rFonts w:hint="eastAsia" w:cs="宋体"/>
                <w:kern w:val="0"/>
                <w:szCs w:val="21"/>
              </w:rPr>
              <w:t>，能够实现达标排放。</w:t>
            </w:r>
          </w:p>
          <w:p>
            <w:pPr>
              <w:autoSpaceDE w:val="0"/>
              <w:autoSpaceDN w:val="0"/>
              <w:adjustRightInd w:val="0"/>
              <w:snapToGrid w:val="0"/>
              <w:spacing w:line="400" w:lineRule="exact"/>
              <w:ind w:firstLine="422" w:firstLineChars="200"/>
              <w:jc w:val="left"/>
              <w:rPr>
                <w:rFonts w:cs="宋体"/>
                <w:b/>
                <w:kern w:val="0"/>
                <w:szCs w:val="21"/>
              </w:rPr>
            </w:pPr>
            <w:r>
              <w:rPr>
                <w:rFonts w:hint="eastAsia" w:cs="宋体"/>
                <w:b/>
                <w:kern w:val="0"/>
                <w:szCs w:val="21"/>
              </w:rPr>
              <w:t>（6）非正常排放情况</w:t>
            </w:r>
          </w:p>
          <w:p>
            <w:pPr>
              <w:autoSpaceDE w:val="0"/>
              <w:autoSpaceDN w:val="0"/>
              <w:adjustRightInd w:val="0"/>
              <w:snapToGrid w:val="0"/>
              <w:spacing w:line="400" w:lineRule="exact"/>
              <w:ind w:firstLine="420" w:firstLineChars="200"/>
              <w:jc w:val="left"/>
              <w:rPr>
                <w:rFonts w:cs="宋体"/>
                <w:kern w:val="0"/>
                <w:szCs w:val="21"/>
              </w:rPr>
            </w:pPr>
            <w:r>
              <w:rPr>
                <w:rFonts w:hint="eastAsia" w:cs="宋体"/>
                <w:kern w:val="0"/>
                <w:szCs w:val="21"/>
              </w:rPr>
              <w:t>非正常工况主要考虑废气处理装置发生故障或维护不到位等情况，导致设备停运。本项目采用的喷雾水回用水泵均有备用设备，可避免设备故障时喷雾设备停运的情况；喷雾装置通过加强维护降低故障率，如一旦发生故障，可采取立即停产等方式控制粉尘污染源。因此，本项目不会存在非正常排放情况。</w:t>
            </w:r>
          </w:p>
          <w:p>
            <w:pPr>
              <w:autoSpaceDE w:val="0"/>
              <w:autoSpaceDN w:val="0"/>
              <w:adjustRightInd w:val="0"/>
              <w:snapToGrid w:val="0"/>
              <w:spacing w:line="400" w:lineRule="exact"/>
              <w:ind w:firstLine="422" w:firstLineChars="200"/>
              <w:jc w:val="left"/>
              <w:rPr>
                <w:rFonts w:cs="宋体"/>
                <w:b/>
                <w:kern w:val="0"/>
                <w:szCs w:val="21"/>
              </w:rPr>
            </w:pPr>
            <w:r>
              <w:rPr>
                <w:rFonts w:hint="eastAsia" w:cs="宋体"/>
                <w:b/>
                <w:kern w:val="0"/>
                <w:szCs w:val="21"/>
              </w:rPr>
              <w:t>（7）环境影响分析</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本项目位于通川区东岳新型工业集聚区，属于规划的工业园区；周围</w:t>
            </w:r>
            <w:r>
              <w:rPr>
                <w:kern w:val="0"/>
                <w:szCs w:val="21"/>
              </w:rPr>
              <w:t>500m</w:t>
            </w:r>
            <w:r>
              <w:rPr>
                <w:rFonts w:hint="eastAsia"/>
                <w:kern w:val="0"/>
                <w:szCs w:val="21"/>
              </w:rPr>
              <w:t>范围内主要为工业企业及少量散居住户。本项目营运期的废气主要为粉尘，通过设置封闭式储煤棚、喷雾降尘等方式，降低对外环境的污染影响。</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综上所述，本项目通过采取上述废气治理措施，能够实现达标排放，对周围环境影响较小。</w:t>
            </w:r>
          </w:p>
          <w:p>
            <w:pPr>
              <w:adjustRightInd w:val="0"/>
              <w:snapToGrid w:val="0"/>
              <w:spacing w:line="400" w:lineRule="exact"/>
              <w:ind w:left="-53" w:leftChars="-25" w:right="-53" w:rightChars="-25"/>
              <w:jc w:val="left"/>
              <w:rPr>
                <w:rFonts w:eastAsia="黑体"/>
                <w:bCs/>
                <w:sz w:val="22"/>
                <w:szCs w:val="22"/>
              </w:rPr>
            </w:pPr>
            <w:r>
              <w:rPr>
                <w:rFonts w:eastAsia="黑体"/>
                <w:bCs/>
                <w:sz w:val="22"/>
                <w:szCs w:val="22"/>
              </w:rPr>
              <w:t>2、废水</w:t>
            </w:r>
          </w:p>
          <w:p>
            <w:pPr>
              <w:autoSpaceDE w:val="0"/>
              <w:autoSpaceDN w:val="0"/>
              <w:adjustRightInd w:val="0"/>
              <w:snapToGrid w:val="0"/>
              <w:spacing w:line="400" w:lineRule="exact"/>
              <w:ind w:firstLine="422" w:firstLineChars="200"/>
              <w:jc w:val="left"/>
              <w:rPr>
                <w:b/>
                <w:kern w:val="0"/>
                <w:szCs w:val="21"/>
              </w:rPr>
            </w:pPr>
            <w:r>
              <w:rPr>
                <w:b/>
                <w:kern w:val="0"/>
                <w:szCs w:val="21"/>
              </w:rPr>
              <w:t>（1）</w:t>
            </w:r>
            <w:r>
              <w:rPr>
                <w:rFonts w:hint="eastAsia"/>
                <w:b/>
                <w:kern w:val="0"/>
                <w:szCs w:val="21"/>
              </w:rPr>
              <w:t>污染源强</w:t>
            </w:r>
          </w:p>
          <w:p>
            <w:pPr>
              <w:autoSpaceDE w:val="0"/>
              <w:autoSpaceDN w:val="0"/>
              <w:adjustRightInd w:val="0"/>
              <w:snapToGrid w:val="0"/>
              <w:spacing w:line="410" w:lineRule="exact"/>
              <w:ind w:firstLine="420" w:firstLineChars="200"/>
              <w:jc w:val="left"/>
              <w:rPr>
                <w:kern w:val="0"/>
                <w:szCs w:val="21"/>
              </w:rPr>
            </w:pPr>
            <w:r>
              <w:rPr>
                <w:kern w:val="0"/>
                <w:szCs w:val="21"/>
              </w:rPr>
              <w:t>根据工程分析，项目营运期含煤废水产生量为</w:t>
            </w:r>
            <w:r>
              <w:rPr>
                <w:rFonts w:hint="eastAsia"/>
                <w:kern w:val="0"/>
                <w:szCs w:val="21"/>
              </w:rPr>
              <w:t>3.82</w:t>
            </w:r>
            <w:r>
              <w:rPr>
                <w:kern w:val="0"/>
                <w:szCs w:val="21"/>
              </w:rPr>
              <w:t>m</w:t>
            </w:r>
            <w:r>
              <w:rPr>
                <w:kern w:val="0"/>
                <w:szCs w:val="21"/>
                <w:vertAlign w:val="superscript"/>
              </w:rPr>
              <w:t>3</w:t>
            </w:r>
            <w:r>
              <w:rPr>
                <w:kern w:val="0"/>
                <w:szCs w:val="21"/>
              </w:rPr>
              <w:t>/d</w:t>
            </w:r>
            <w:r>
              <w:rPr>
                <w:rFonts w:hint="eastAsia"/>
                <w:kern w:val="0"/>
                <w:szCs w:val="21"/>
              </w:rPr>
              <w:t>（包括场地冲洗废水、车辆冲洗废水），</w:t>
            </w:r>
            <w:r>
              <w:rPr>
                <w:kern w:val="0"/>
                <w:szCs w:val="21"/>
              </w:rPr>
              <w:t>工作人员办公生活产生的生活污水约</w:t>
            </w:r>
            <w:r>
              <w:rPr>
                <w:rFonts w:hint="eastAsia"/>
                <w:kern w:val="0"/>
                <w:szCs w:val="21"/>
              </w:rPr>
              <w:t>0.27</w:t>
            </w:r>
            <w:r>
              <w:rPr>
                <w:kern w:val="0"/>
                <w:szCs w:val="21"/>
              </w:rPr>
              <w:t>m</w:t>
            </w:r>
            <w:r>
              <w:rPr>
                <w:kern w:val="0"/>
                <w:szCs w:val="21"/>
                <w:vertAlign w:val="superscript"/>
              </w:rPr>
              <w:t>3</w:t>
            </w:r>
            <w:r>
              <w:rPr>
                <w:kern w:val="0"/>
                <w:szCs w:val="21"/>
              </w:rPr>
              <w:t>/d。另外，遇雨季时会产生少量的初期雨水。</w:t>
            </w:r>
          </w:p>
          <w:p>
            <w:pPr>
              <w:autoSpaceDE w:val="0"/>
              <w:autoSpaceDN w:val="0"/>
              <w:adjustRightInd w:val="0"/>
              <w:snapToGrid w:val="0"/>
              <w:spacing w:line="410" w:lineRule="exact"/>
              <w:ind w:firstLine="420" w:firstLineChars="200"/>
              <w:jc w:val="left"/>
              <w:rPr>
                <w:kern w:val="0"/>
                <w:szCs w:val="21"/>
              </w:rPr>
            </w:pPr>
            <w:r>
              <w:rPr>
                <w:kern w:val="0"/>
                <w:szCs w:val="21"/>
              </w:rPr>
              <w:t>本次环评采用达州暴雨强度公式计算，项目</w:t>
            </w:r>
            <w:r>
              <w:rPr>
                <w:rFonts w:hint="eastAsia"/>
                <w:kern w:val="0"/>
                <w:szCs w:val="21"/>
              </w:rPr>
              <w:t>区储煤棚的雨水经管道收集后直接排入附近雨水沟。厂区露天场地汇雨面积取1200m</w:t>
            </w:r>
            <w:r>
              <w:rPr>
                <w:rFonts w:hint="eastAsia"/>
                <w:kern w:val="0"/>
                <w:szCs w:val="21"/>
                <w:vertAlign w:val="superscript"/>
              </w:rPr>
              <w:t>2</w:t>
            </w:r>
            <w:r>
              <w:rPr>
                <w:rFonts w:hint="eastAsia"/>
                <w:kern w:val="0"/>
                <w:szCs w:val="21"/>
              </w:rPr>
              <w:t>，径流系数取0.9。经计算，项目区初期雨水量约20.26m</w:t>
            </w:r>
            <w:r>
              <w:rPr>
                <w:rFonts w:hint="eastAsia"/>
                <w:kern w:val="0"/>
                <w:szCs w:val="21"/>
                <w:vertAlign w:val="superscript"/>
              </w:rPr>
              <w:t>3</w:t>
            </w:r>
            <w:r>
              <w:rPr>
                <w:rFonts w:hint="eastAsia"/>
                <w:kern w:val="0"/>
                <w:szCs w:val="21"/>
              </w:rPr>
              <w:t>/次。</w:t>
            </w:r>
          </w:p>
          <w:p>
            <w:pPr>
              <w:autoSpaceDE w:val="0"/>
              <w:autoSpaceDN w:val="0"/>
              <w:adjustRightInd w:val="0"/>
              <w:snapToGrid w:val="0"/>
              <w:spacing w:line="410" w:lineRule="exact"/>
              <w:ind w:firstLine="422" w:firstLineChars="200"/>
              <w:jc w:val="left"/>
              <w:rPr>
                <w:b/>
                <w:kern w:val="0"/>
                <w:szCs w:val="21"/>
              </w:rPr>
            </w:pPr>
            <w:r>
              <w:rPr>
                <w:b/>
                <w:kern w:val="0"/>
                <w:szCs w:val="21"/>
              </w:rPr>
              <w:t>（2）治理措施及排放情况</w:t>
            </w:r>
          </w:p>
          <w:p>
            <w:pPr>
              <w:autoSpaceDE w:val="0"/>
              <w:autoSpaceDN w:val="0"/>
              <w:adjustRightInd w:val="0"/>
              <w:snapToGrid w:val="0"/>
              <w:spacing w:line="410" w:lineRule="exact"/>
              <w:ind w:firstLine="422" w:firstLineChars="200"/>
              <w:jc w:val="left"/>
              <w:rPr>
                <w:b/>
                <w:kern w:val="0"/>
                <w:szCs w:val="21"/>
              </w:rPr>
            </w:pPr>
            <w:r>
              <w:rPr>
                <w:rFonts w:hint="eastAsia"/>
                <w:b/>
                <w:kern w:val="0"/>
                <w:szCs w:val="21"/>
              </w:rPr>
              <w:t>1）含煤废水</w:t>
            </w:r>
          </w:p>
          <w:p>
            <w:pPr>
              <w:autoSpaceDE w:val="0"/>
              <w:autoSpaceDN w:val="0"/>
              <w:adjustRightInd w:val="0"/>
              <w:snapToGrid w:val="0"/>
              <w:spacing w:line="410" w:lineRule="exact"/>
              <w:ind w:firstLine="420" w:firstLineChars="200"/>
              <w:jc w:val="left"/>
              <w:rPr>
                <w:kern w:val="0"/>
                <w:szCs w:val="21"/>
              </w:rPr>
            </w:pPr>
            <w:r>
              <w:rPr>
                <w:kern w:val="0"/>
                <w:szCs w:val="21"/>
              </w:rPr>
              <w:t>本项目含煤废水产生环节有</w:t>
            </w:r>
            <w:r>
              <w:rPr>
                <w:rFonts w:hint="eastAsia"/>
                <w:kern w:val="0"/>
                <w:szCs w:val="21"/>
              </w:rPr>
              <w:t>场地冲洗废水、车辆冲洗废水以及雨季时露天场地的初期雨水</w:t>
            </w:r>
            <w:r>
              <w:rPr>
                <w:kern w:val="0"/>
                <w:szCs w:val="21"/>
              </w:rPr>
              <w:t>。</w:t>
            </w:r>
            <w:r>
              <w:rPr>
                <w:rFonts w:hint="eastAsia"/>
                <w:kern w:val="0"/>
                <w:szCs w:val="21"/>
              </w:rPr>
              <w:t>含煤废水中含有一部分较大的煤粉颗粒、大量的悬浮物及很高的色度；根据工程的实际运行经验，含煤废水中悬浮物的浓度高达2000mg/l以上。这部分废水不能直接排放，也不能直接回收利用，需要进行适当地处理以满足回收利用水质要求。因其悬浮物浓度高，沉降效果较好、回用价值高。同时，项目生产用水主要为喷雾降尘洒水、场地冲洗用水等，对水质要求不高。因此，本项目含煤废水可采取收集处理后，全部回用不外排。</w:t>
            </w:r>
          </w:p>
          <w:p>
            <w:pPr>
              <w:spacing w:line="410" w:lineRule="exact"/>
              <w:ind w:firstLine="420" w:firstLineChars="200"/>
            </w:pPr>
            <w:r>
              <w:rPr>
                <w:rFonts w:hint="eastAsia"/>
              </w:rPr>
              <w:t>根据现场踏勘，项目区已修建有废水沉淀池3个且已加盖防雨棚，总容积约180m</w:t>
            </w:r>
            <w:r>
              <w:rPr>
                <w:rFonts w:hint="eastAsia"/>
                <w:vertAlign w:val="superscript"/>
              </w:rPr>
              <w:t>3</w:t>
            </w:r>
            <w:r>
              <w:rPr>
                <w:rFonts w:hint="eastAsia"/>
              </w:rPr>
              <w:t>。通过在场地四周修建散水收集沟，将露天场地的冲洗废水和降雨时的初期雨水，收集沉淀处理后全部回用不外排。根据工程分析，项目区场地散水产生量为3.82m</w:t>
            </w:r>
            <w:r>
              <w:rPr>
                <w:rFonts w:hint="eastAsia"/>
                <w:vertAlign w:val="superscript"/>
              </w:rPr>
              <w:t>3</w:t>
            </w:r>
            <w:r>
              <w:rPr>
                <w:rFonts w:hint="eastAsia"/>
              </w:rPr>
              <w:t>/d，初期雨水量20.26m</w:t>
            </w:r>
            <w:r>
              <w:rPr>
                <w:rFonts w:hint="eastAsia"/>
                <w:vertAlign w:val="superscript"/>
              </w:rPr>
              <w:t>3</w:t>
            </w:r>
            <w:r>
              <w:rPr>
                <w:rFonts w:hint="eastAsia"/>
              </w:rPr>
              <w:t>/次，废水产生量远小于堆场总沉淀池容积180m</w:t>
            </w:r>
            <w:r>
              <w:rPr>
                <w:rFonts w:hint="eastAsia"/>
                <w:vertAlign w:val="superscript"/>
              </w:rPr>
              <w:t>3</w:t>
            </w:r>
            <w:r>
              <w:rPr>
                <w:rFonts w:hint="eastAsia"/>
              </w:rPr>
              <w:t>，堆场含煤废水可全部收集处理后回用。</w:t>
            </w:r>
          </w:p>
          <w:p>
            <w:pPr>
              <w:spacing w:line="410" w:lineRule="exact"/>
              <w:ind w:firstLine="560" w:firstLineChars="200"/>
            </w:pPr>
            <w:r>
              <w:rPr>
                <w:sz w:val="28"/>
              </w:rPr>
              <mc:AlternateContent>
                <mc:Choice Requires="wps">
                  <w:drawing>
                    <wp:anchor distT="0" distB="0" distL="114300" distR="114300" simplePos="0" relativeHeight="251738112" behindDoc="0" locked="0" layoutInCell="1" allowOverlap="1">
                      <wp:simplePos x="0" y="0"/>
                      <wp:positionH relativeFrom="column">
                        <wp:posOffset>3693160</wp:posOffset>
                      </wp:positionH>
                      <wp:positionV relativeFrom="paragraph">
                        <wp:posOffset>699135</wp:posOffset>
                      </wp:positionV>
                      <wp:extent cx="960755" cy="309245"/>
                      <wp:effectExtent l="0" t="0" r="0" b="0"/>
                      <wp:wrapNone/>
                      <wp:docPr id="62" name="文本框 168"/>
                      <wp:cNvGraphicFramePr/>
                      <a:graphic xmlns:a="http://schemas.openxmlformats.org/drawingml/2006/main">
                        <a:graphicData uri="http://schemas.microsoft.com/office/word/2010/wordprocessingShape">
                          <wps:wsp>
                            <wps:cNvSpPr txBox="1"/>
                            <wps:spPr>
                              <a:xfrm>
                                <a:off x="0" y="0"/>
                                <a:ext cx="960755" cy="309245"/>
                              </a:xfrm>
                              <a:prstGeom prst="rect">
                                <a:avLst/>
                              </a:prstGeom>
                              <a:noFill/>
                              <a:ln>
                                <a:noFill/>
                              </a:ln>
                            </wps:spPr>
                            <wps:txbx>
                              <w:txbxContent>
                                <w:p>
                                  <w:pPr>
                                    <w:rPr>
                                      <w:sz w:val="20"/>
                                      <w:szCs w:val="22"/>
                                    </w:rPr>
                                  </w:pPr>
                                  <w:r>
                                    <w:rPr>
                                      <w:rFonts w:hint="eastAsia"/>
                                      <w:sz w:val="20"/>
                                      <w:szCs w:val="22"/>
                                    </w:rPr>
                                    <w:t>泵</w:t>
                                  </w:r>
                                </w:p>
                              </w:txbxContent>
                            </wps:txbx>
                            <wps:bodyPr upright="1"/>
                          </wps:wsp>
                        </a:graphicData>
                      </a:graphic>
                    </wp:anchor>
                  </w:drawing>
                </mc:Choice>
                <mc:Fallback>
                  <w:pict>
                    <v:shape id="文本框 168" o:spid="_x0000_s1026" o:spt="202" type="#_x0000_t202" style="position:absolute;left:0pt;margin-left:290.8pt;margin-top:55.05pt;height:24.35pt;width:75.65pt;z-index:251738112;mso-width-relative:page;mso-height-relative:page;" filled="f" stroked="f" coordsize="21600,21600" o:gfxdata="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0zwCl&#10;1wAAAAsBAAAPAAAAAAAAAAEAIAAAACIAAABkcnMvZG93bnJldi54bWxQSwECFAAUAAAACACHTuJA&#10;HzGdPLABAABQAwAADgAAAAAAAAABACAAAAAmAQAAZHJzL2Uyb0RvYy54bWxQSwUGAAAAAAYABgBZ&#10;AQAASAUAAAAA&#10;">
                      <v:fill on="f" focussize="0,0"/>
                      <v:stroke on="f"/>
                      <v:imagedata o:title=""/>
                      <o:lock v:ext="edit" aspectratio="f"/>
                      <v:textbox>
                        <w:txbxContent>
                          <w:p>
                            <w:pPr>
                              <w:rPr>
                                <w:sz w:val="20"/>
                                <w:szCs w:val="22"/>
                              </w:rPr>
                            </w:pPr>
                            <w:r>
                              <w:rPr>
                                <w:rFonts w:hint="eastAsia"/>
                                <w:sz w:val="20"/>
                                <w:szCs w:val="22"/>
                              </w:rPr>
                              <w:t>泵</w:t>
                            </w:r>
                          </w:p>
                        </w:txbxContent>
                      </v:textbox>
                    </v:shape>
                  </w:pict>
                </mc:Fallback>
              </mc:AlternateContent>
            </w:r>
            <w:r>
              <w:rPr>
                <w:rFonts w:hint="eastAsia"/>
              </w:rPr>
              <w:t>当废水首先进入沉淀池后，通过自然沉降，废水中的悬浮物等固体颗粒物质沉至池底，上层悬浮物浓度较低的水溢流进入清水池，再次沉淀后经水泵抽取回用。废水处理工艺流程图如下：</w:t>
            </w:r>
          </w:p>
          <w:p>
            <w:pPr>
              <w:snapToGrid w:val="0"/>
              <w:jc w:val="center"/>
              <w:rPr>
                <w:rFonts w:ascii="宋体" w:hAnsi="宋体"/>
                <w:sz w:val="28"/>
                <w:szCs w:val="28"/>
              </w:rPr>
            </w:pPr>
            <w:r>
              <w:rPr>
                <w:sz w:val="28"/>
              </w:rPr>
              <mc:AlternateContent>
                <mc:Choice Requires="wps">
                  <w:drawing>
                    <wp:anchor distT="0" distB="0" distL="114300" distR="114300" simplePos="0" relativeHeight="251744256" behindDoc="0" locked="0" layoutInCell="1" allowOverlap="1">
                      <wp:simplePos x="0" y="0"/>
                      <wp:positionH relativeFrom="column">
                        <wp:posOffset>3032125</wp:posOffset>
                      </wp:positionH>
                      <wp:positionV relativeFrom="paragraph">
                        <wp:posOffset>46355</wp:posOffset>
                      </wp:positionV>
                      <wp:extent cx="728980" cy="240665"/>
                      <wp:effectExtent l="5080" t="4445" r="8890" b="21590"/>
                      <wp:wrapNone/>
                      <wp:docPr id="68" name="文本框 182"/>
                      <wp:cNvGraphicFramePr/>
                      <a:graphic xmlns:a="http://schemas.openxmlformats.org/drawingml/2006/main">
                        <a:graphicData uri="http://schemas.microsoft.com/office/word/2010/wordprocessingShape">
                          <wps:wsp>
                            <wps:cNvSpPr txBox="1"/>
                            <wps:spPr>
                              <a:xfrm>
                                <a:off x="0" y="0"/>
                                <a:ext cx="728980" cy="2406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105" w:leftChars="-50" w:right="-105" w:rightChars="-50"/>
                                  </w:pPr>
                                  <w:r>
                                    <w:t>三级沉淀池</w:t>
                                  </w:r>
                                </w:p>
                              </w:txbxContent>
                            </wps:txbx>
                            <wps:bodyPr upright="1"/>
                          </wps:wsp>
                        </a:graphicData>
                      </a:graphic>
                    </wp:anchor>
                  </w:drawing>
                </mc:Choice>
                <mc:Fallback>
                  <w:pict>
                    <v:shape id="文本框 182" o:spid="_x0000_s1026" o:spt="202" type="#_x0000_t202" style="position:absolute;left:0pt;margin-left:238.75pt;margin-top:3.65pt;height:18.95pt;width:57.4pt;z-index:251744256;mso-width-relative:page;mso-height-relative:page;" fillcolor="#FFFFFF" filled="t" stroked="t" coordsize="21600,21600" o:gfxdata="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EoUZ9gAAAAIAQAADwAAAAAAAAABACAA&#10;AAAiAAAAZHJzL2Rvd25yZXYueG1sUEsBAhQAFAAAAAgAh07iQGjypwENAgAAOAQAAA4AAAAAAAAA&#10;AQAgAAAAJwEAAGRycy9lMm9Eb2MueG1sUEsFBgAAAAAGAAYAWQEAAKYFAAAAAA==&#10;">
                      <v:fill on="t" focussize="0,0"/>
                      <v:stroke color="#000000" joinstyle="miter"/>
                      <v:imagedata o:title=""/>
                      <o:lock v:ext="edit" aspectratio="f"/>
                      <v:textbox>
                        <w:txbxContent>
                          <w:p>
                            <w:pPr>
                              <w:ind w:left="-105" w:leftChars="-50" w:right="-105" w:rightChars="-50"/>
                            </w:pPr>
                            <w:r>
                              <w:t>三级沉淀池</w:t>
                            </w:r>
                          </w:p>
                        </w:txbxContent>
                      </v:textbox>
                    </v:shape>
                  </w:pict>
                </mc:Fallback>
              </mc:AlternateContent>
            </w:r>
            <w:r>
              <w:rPr>
                <w:sz w:val="28"/>
              </w:rPr>
              <mc:AlternateContent>
                <mc:Choice Requires="wps">
                  <w:drawing>
                    <wp:anchor distT="0" distB="0" distL="114300" distR="114300" simplePos="0" relativeHeight="251743232" behindDoc="0" locked="0" layoutInCell="1" allowOverlap="1">
                      <wp:simplePos x="0" y="0"/>
                      <wp:positionH relativeFrom="column">
                        <wp:posOffset>2809875</wp:posOffset>
                      </wp:positionH>
                      <wp:positionV relativeFrom="paragraph">
                        <wp:posOffset>164465</wp:posOffset>
                      </wp:positionV>
                      <wp:extent cx="218440" cy="0"/>
                      <wp:effectExtent l="0" t="38100" r="10160" b="38100"/>
                      <wp:wrapNone/>
                      <wp:docPr id="67" name="自选图形 181"/>
                      <wp:cNvGraphicFramePr/>
                      <a:graphic xmlns:a="http://schemas.openxmlformats.org/drawingml/2006/main">
                        <a:graphicData uri="http://schemas.microsoft.com/office/word/2010/wordprocessingShape">
                          <wps:wsp>
                            <wps:cNvCnPr/>
                            <wps:spPr>
                              <a:xfrm>
                                <a:off x="0" y="0"/>
                                <a:ext cx="21844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81" o:spid="_x0000_s1026" o:spt="32" type="#_x0000_t32" style="position:absolute;left:0pt;margin-left:221.25pt;margin-top:12.95pt;height:0pt;width:17.2pt;z-index:251743232;mso-width-relative:page;mso-height-relative:page;" filled="f" stroked="t" coordsize="21600,21600" o:gfxdata="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ldmcrZAAAACQEAAA8AAAAAAAAAAQAgAAAAIgAAAGRycy9kb3du&#10;cmV2LnhtbFBLAQIUABQAAAAIAIdO4kDEvTVl/gEAAOkDAAAOAAAAAAAAAAEAIAAAACgBAABkcnMv&#10;ZTJvRG9jLnhtbFBLBQYAAAAABgAGAFkBAACYBQAAAAA=&#10;">
                      <v:fill on="f" focussize="0,0"/>
                      <v:stroke color="#000000" joinstyle="round" endarrow="block"/>
                      <v:imagedata o:title=""/>
                      <o:lock v:ext="edit" aspectratio="f"/>
                    </v:shape>
                  </w:pict>
                </mc:Fallback>
              </mc:AlternateContent>
            </w:r>
            <w:r>
              <w:rPr>
                <w:sz w:val="28"/>
              </w:rPr>
              <mc:AlternateContent>
                <mc:Choice Requires="wps">
                  <w:drawing>
                    <wp:anchor distT="0" distB="0" distL="114300" distR="114300" simplePos="0" relativeHeight="251742208" behindDoc="0" locked="0" layoutInCell="1" allowOverlap="1">
                      <wp:simplePos x="0" y="0"/>
                      <wp:positionH relativeFrom="column">
                        <wp:posOffset>2036445</wp:posOffset>
                      </wp:positionH>
                      <wp:positionV relativeFrom="paragraph">
                        <wp:posOffset>33655</wp:posOffset>
                      </wp:positionV>
                      <wp:extent cx="773430" cy="259080"/>
                      <wp:effectExtent l="4445" t="4445" r="22225" b="22225"/>
                      <wp:wrapNone/>
                      <wp:docPr id="66" name="文本框 179"/>
                      <wp:cNvGraphicFramePr/>
                      <a:graphic xmlns:a="http://schemas.openxmlformats.org/drawingml/2006/main">
                        <a:graphicData uri="http://schemas.microsoft.com/office/word/2010/wordprocessingShape">
                          <wps:wsp>
                            <wps:cNvSpPr txBox="1"/>
                            <wps:spPr>
                              <a:xfrm>
                                <a:off x="0" y="0"/>
                                <a:ext cx="773430" cy="2590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105" w:leftChars="-50" w:right="-105" w:rightChars="-50"/>
                                  </w:pPr>
                                  <w:r>
                                    <w:rPr>
                                      <w:rFonts w:hint="eastAsia"/>
                                      <w:sz w:val="20"/>
                                      <w:szCs w:val="22"/>
                                    </w:rPr>
                                    <w:t>二级沉淀</w:t>
                                  </w:r>
                                  <w:r>
                                    <w:rPr>
                                      <w:rFonts w:hint="eastAsia"/>
                                    </w:rPr>
                                    <w:t>池</w:t>
                                  </w:r>
                                </w:p>
                              </w:txbxContent>
                            </wps:txbx>
                            <wps:bodyPr upright="1"/>
                          </wps:wsp>
                        </a:graphicData>
                      </a:graphic>
                    </wp:anchor>
                  </w:drawing>
                </mc:Choice>
                <mc:Fallback>
                  <w:pict>
                    <v:shape id="文本框 179" o:spid="_x0000_s1026" o:spt="202" type="#_x0000_t202" style="position:absolute;left:0pt;margin-left:160.35pt;margin-top:2.65pt;height:20.4pt;width:60.9pt;z-index:251742208;mso-width-relative:page;mso-height-relative:page;" fillcolor="#FFFFFF" filled="t" stroked="t" coordsize="21600,21600" o:gfxdata="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42pZF9gAAAAIAQAADwAAAAAAAAAB&#10;ACAAAAAiAAAAZHJzL2Rvd25yZXYueG1sUEsBAhQAFAAAAAgAh07iQHLcGuEQAgAAOAQAAA4AAAAA&#10;AAAAAQAgAAAAJwEAAGRycy9lMm9Eb2MueG1sUEsFBgAAAAAGAAYAWQEAAKkFAAAAAA==&#10;">
                      <v:fill on="t" focussize="0,0"/>
                      <v:stroke color="#000000" joinstyle="miter"/>
                      <v:imagedata o:title=""/>
                      <o:lock v:ext="edit" aspectratio="f"/>
                      <v:textbox>
                        <w:txbxContent>
                          <w:p>
                            <w:pPr>
                              <w:ind w:left="-105" w:leftChars="-50" w:right="-105" w:rightChars="-50"/>
                            </w:pPr>
                            <w:r>
                              <w:rPr>
                                <w:rFonts w:hint="eastAsia"/>
                                <w:sz w:val="20"/>
                                <w:szCs w:val="22"/>
                              </w:rPr>
                              <w:t>二级沉淀</w:t>
                            </w:r>
                            <w:r>
                              <w:rPr>
                                <w:rFonts w:hint="eastAsia"/>
                              </w:rPr>
                              <w:t>池</w:t>
                            </w:r>
                          </w:p>
                        </w:txbxContent>
                      </v:textbox>
                    </v:shape>
                  </w:pict>
                </mc:Fallback>
              </mc:AlternateContent>
            </w:r>
            <w:r>
              <w:rPr>
                <w:sz w:val="28"/>
              </w:rPr>
              <mc:AlternateContent>
                <mc:Choice Requires="wps">
                  <w:drawing>
                    <wp:anchor distT="0" distB="0" distL="114300" distR="114300" simplePos="0" relativeHeight="251736064" behindDoc="0" locked="0" layoutInCell="1" allowOverlap="1">
                      <wp:simplePos x="0" y="0"/>
                      <wp:positionH relativeFrom="column">
                        <wp:posOffset>1711960</wp:posOffset>
                      </wp:positionH>
                      <wp:positionV relativeFrom="paragraph">
                        <wp:posOffset>164465</wp:posOffset>
                      </wp:positionV>
                      <wp:extent cx="320675" cy="0"/>
                      <wp:effectExtent l="0" t="38100" r="3175" b="38100"/>
                      <wp:wrapNone/>
                      <wp:docPr id="60" name="直线 164"/>
                      <wp:cNvGraphicFramePr/>
                      <a:graphic xmlns:a="http://schemas.openxmlformats.org/drawingml/2006/main">
                        <a:graphicData uri="http://schemas.microsoft.com/office/word/2010/wordprocessingShape">
                          <wps:wsp>
                            <wps:cNvCnPr/>
                            <wps:spPr>
                              <a:xfrm>
                                <a:off x="0" y="0"/>
                                <a:ext cx="32067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4" o:spid="_x0000_s1026" o:spt="20" style="position:absolute;left:0pt;margin-left:134.8pt;margin-top:12.95pt;height:0pt;width:25.25pt;z-index:251736064;mso-width-relative:page;mso-height-relative:page;" filled="f" stroked="t" coordsize="21600,21600" o:gfxdata="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DdbT9kAAAAJAQAADwAAAAAAAAABACAAAAAiAAAAZHJzL2Rvd25yZXYueG1sUEsBAhQA&#10;FAAAAAgAh07iQLxILHXxAQAA4QMAAA4AAAAAAAAAAQAgAAAAKAEAAGRycy9lMm9Eb2MueG1sUEsF&#10;BgAAAAAGAAYAWQEAAIsFAAAAAA==&#10;">
                      <v:fill on="f" focussize="0,0"/>
                      <v:stroke color="#000000" joinstyle="round" endarrow="block"/>
                      <v:imagedata o:title=""/>
                      <o:lock v:ext="edit" aspectratio="f"/>
                    </v:line>
                  </w:pict>
                </mc:Fallback>
              </mc:AlternateContent>
            </w:r>
            <w:r>
              <w:rPr>
                <w:sz w:val="28"/>
              </w:rPr>
              <mc:AlternateContent>
                <mc:Choice Requires="wps">
                  <w:drawing>
                    <wp:anchor distT="0" distB="0" distL="114300" distR="114300" simplePos="0" relativeHeight="251734016" behindDoc="0" locked="0" layoutInCell="1" allowOverlap="1">
                      <wp:simplePos x="0" y="0"/>
                      <wp:positionH relativeFrom="column">
                        <wp:posOffset>955040</wp:posOffset>
                      </wp:positionH>
                      <wp:positionV relativeFrom="paragraph">
                        <wp:posOffset>40640</wp:posOffset>
                      </wp:positionV>
                      <wp:extent cx="753110" cy="247650"/>
                      <wp:effectExtent l="4445" t="4445" r="23495" b="14605"/>
                      <wp:wrapNone/>
                      <wp:docPr id="58" name="文本框 162"/>
                      <wp:cNvGraphicFramePr/>
                      <a:graphic xmlns:a="http://schemas.openxmlformats.org/drawingml/2006/main">
                        <a:graphicData uri="http://schemas.microsoft.com/office/word/2010/wordprocessingShape">
                          <wps:wsp>
                            <wps:cNvSpPr txBox="1"/>
                            <wps:spPr>
                              <a:xfrm>
                                <a:off x="0" y="0"/>
                                <a:ext cx="753110" cy="2476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105" w:leftChars="-50" w:right="-105" w:rightChars="-50"/>
                                    <w:jc w:val="center"/>
                                    <w:rPr>
                                      <w:sz w:val="20"/>
                                      <w:szCs w:val="22"/>
                                    </w:rPr>
                                  </w:pPr>
                                  <w:r>
                                    <w:rPr>
                                      <w:rFonts w:hint="eastAsia"/>
                                      <w:sz w:val="20"/>
                                      <w:szCs w:val="22"/>
                                    </w:rPr>
                                    <w:t>一级沉淀池</w:t>
                                  </w:r>
                                </w:p>
                              </w:txbxContent>
                            </wps:txbx>
                            <wps:bodyPr upright="1"/>
                          </wps:wsp>
                        </a:graphicData>
                      </a:graphic>
                    </wp:anchor>
                  </w:drawing>
                </mc:Choice>
                <mc:Fallback>
                  <w:pict>
                    <v:shape id="文本框 162" o:spid="_x0000_s1026" o:spt="202" type="#_x0000_t202" style="position:absolute;left:0pt;margin-left:75.2pt;margin-top:3.2pt;height:19.5pt;width:59.3pt;z-index:251734016;mso-width-relative:page;mso-height-relative:page;" fillcolor="#FFFFFF" filled="t" stroked="t" coordsize="21600,21600" o:gfxdata="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kKP0l2AAAAAgBAAAPAAAAAAAAAAEA&#10;IAAAACIAAABkcnMvZG93bnJldi54bWxQSwECFAAUAAAACACHTuJAKB+WzA8CAAA4BAAADgAAAAAA&#10;AAABACAAAAAnAQAAZHJzL2Uyb0RvYy54bWxQSwUGAAAAAAYABgBZAQAAqAUAAAAA&#10;">
                      <v:fill on="t" focussize="0,0"/>
                      <v:stroke color="#000000" joinstyle="miter"/>
                      <v:imagedata o:title=""/>
                      <o:lock v:ext="edit" aspectratio="f"/>
                      <v:textbox>
                        <w:txbxContent>
                          <w:p>
                            <w:pPr>
                              <w:ind w:left="-105" w:leftChars="-50" w:right="-105" w:rightChars="-50"/>
                              <w:jc w:val="center"/>
                              <w:rPr>
                                <w:sz w:val="20"/>
                                <w:szCs w:val="22"/>
                              </w:rPr>
                            </w:pPr>
                            <w:r>
                              <w:rPr>
                                <w:rFonts w:hint="eastAsia"/>
                                <w:sz w:val="20"/>
                                <w:szCs w:val="22"/>
                              </w:rPr>
                              <w:t>一级沉淀池</w:t>
                            </w:r>
                          </w:p>
                        </w:txbxContent>
                      </v:textbox>
                    </v:shape>
                  </w:pict>
                </mc:Fallback>
              </mc:AlternateContent>
            </w:r>
            <w:r>
              <w:rPr>
                <w:sz w:val="28"/>
              </w:rPr>
              <mc:AlternateContent>
                <mc:Choice Requires="wps">
                  <w:drawing>
                    <wp:anchor distT="0" distB="0" distL="114300" distR="114300" simplePos="0" relativeHeight="251735040" behindDoc="0" locked="0" layoutInCell="1" allowOverlap="1">
                      <wp:simplePos x="0" y="0"/>
                      <wp:positionH relativeFrom="column">
                        <wp:posOffset>631190</wp:posOffset>
                      </wp:positionH>
                      <wp:positionV relativeFrom="paragraph">
                        <wp:posOffset>164465</wp:posOffset>
                      </wp:positionV>
                      <wp:extent cx="320040" cy="0"/>
                      <wp:effectExtent l="0" t="38100" r="3810" b="38100"/>
                      <wp:wrapNone/>
                      <wp:docPr id="59" name="直线 163"/>
                      <wp:cNvGraphicFramePr/>
                      <a:graphic xmlns:a="http://schemas.openxmlformats.org/drawingml/2006/main">
                        <a:graphicData uri="http://schemas.microsoft.com/office/word/2010/wordprocessingShape">
                          <wps:wsp>
                            <wps:cNvCnPr/>
                            <wps:spPr>
                              <a:xfrm>
                                <a:off x="0" y="0"/>
                                <a:ext cx="32004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3" o:spid="_x0000_s1026" o:spt="20" style="position:absolute;left:0pt;margin-left:49.7pt;margin-top:12.95pt;height:0pt;width:25.2pt;z-index:251735040;mso-width-relative:page;mso-height-relative:page;" filled="f" stroked="t" coordsize="21600,21600" o:gfxdata="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40OQx2AAAAAgBAAAPAAAAAAAAAAEAIAAAACIAAABkcnMvZG93bnJldi54bWxQSwECFAAU&#10;AAAACACHTuJA5DshN/EBAADhAwAADgAAAAAAAAABACAAAAAnAQAAZHJzL2Uyb0RvYy54bWxQSwUG&#10;AAAAAAYABgBZAQAAigUAAAAA&#10;">
                      <v:fill on="f" focussize="0,0"/>
                      <v:stroke color="#000000" joinstyle="round" endarrow="block"/>
                      <v:imagedata o:title=""/>
                      <o:lock v:ext="edit" aspectratio="f"/>
                    </v:line>
                  </w:pict>
                </mc:Fallback>
              </mc:AlternateContent>
            </w:r>
            <w:r>
              <w:rPr>
                <w:sz w:val="28"/>
              </w:rPr>
              <mc:AlternateContent>
                <mc:Choice Requires="wps">
                  <w:drawing>
                    <wp:anchor distT="0" distB="0" distL="114300" distR="114300" simplePos="0" relativeHeight="251732992" behindDoc="0" locked="0" layoutInCell="1" allowOverlap="1">
                      <wp:simplePos x="0" y="0"/>
                      <wp:positionH relativeFrom="column">
                        <wp:posOffset>50800</wp:posOffset>
                      </wp:positionH>
                      <wp:positionV relativeFrom="paragraph">
                        <wp:posOffset>25400</wp:posOffset>
                      </wp:positionV>
                      <wp:extent cx="896620" cy="247650"/>
                      <wp:effectExtent l="0" t="0" r="0" b="0"/>
                      <wp:wrapNone/>
                      <wp:docPr id="56" name="文本框 161"/>
                      <wp:cNvGraphicFramePr/>
                      <a:graphic xmlns:a="http://schemas.openxmlformats.org/drawingml/2006/main">
                        <a:graphicData uri="http://schemas.microsoft.com/office/word/2010/wordprocessingShape">
                          <wps:wsp>
                            <wps:cNvSpPr txBox="1"/>
                            <wps:spPr>
                              <a:xfrm>
                                <a:off x="0" y="0"/>
                                <a:ext cx="896620" cy="247650"/>
                              </a:xfrm>
                              <a:prstGeom prst="rect">
                                <a:avLst/>
                              </a:prstGeom>
                              <a:noFill/>
                              <a:ln>
                                <a:noFill/>
                              </a:ln>
                            </wps:spPr>
                            <wps:txbx>
                              <w:txbxContent>
                                <w:p>
                                  <w:pPr>
                                    <w:rPr>
                                      <w:sz w:val="20"/>
                                      <w:szCs w:val="22"/>
                                    </w:rPr>
                                  </w:pPr>
                                  <w:r>
                                    <w:rPr>
                                      <w:rFonts w:hint="eastAsia"/>
                                      <w:sz w:val="20"/>
                                      <w:szCs w:val="22"/>
                                    </w:rPr>
                                    <w:t>含煤废水</w:t>
                                  </w:r>
                                </w:p>
                              </w:txbxContent>
                            </wps:txbx>
                            <wps:bodyPr upright="1"/>
                          </wps:wsp>
                        </a:graphicData>
                      </a:graphic>
                    </wp:anchor>
                  </w:drawing>
                </mc:Choice>
                <mc:Fallback>
                  <w:pict>
                    <v:shape id="文本框 161" o:spid="_x0000_s1026" o:spt="202" type="#_x0000_t202" style="position:absolute;left:0pt;margin-left:4pt;margin-top:2pt;height:19.5pt;width:70.6pt;z-index:251732992;mso-width-relative:page;mso-height-relative:page;" filled="f" stroked="f" coordsize="21600,21600" o:gfxdata="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OjzONTTAAAA&#10;BgEAAA8AAAAAAAAAAQAgAAAAIgAAAGRycy9kb3ducmV2LnhtbFBLAQIUABQAAAAIAIdO4kB1l/N5&#10;sAEAAFADAAAOAAAAAAAAAAEAIAAAACIBAABkcnMvZTJvRG9jLnhtbFBLBQYAAAAABgAGAFkBAABE&#10;BQAAAAA=&#10;">
                      <v:fill on="f" focussize="0,0"/>
                      <v:stroke on="f"/>
                      <v:imagedata o:title=""/>
                      <o:lock v:ext="edit" aspectratio="f"/>
                      <v:textbox>
                        <w:txbxContent>
                          <w:p>
                            <w:pPr>
                              <w:rPr>
                                <w:sz w:val="20"/>
                                <w:szCs w:val="22"/>
                              </w:rPr>
                            </w:pPr>
                            <w:r>
                              <w:rPr>
                                <w:rFonts w:hint="eastAsia"/>
                                <w:sz w:val="20"/>
                                <w:szCs w:val="22"/>
                              </w:rPr>
                              <w:t>含煤废水</w:t>
                            </w:r>
                          </w:p>
                        </w:txbxContent>
                      </v:textbox>
                    </v:shape>
                  </w:pict>
                </mc:Fallback>
              </mc:AlternateContent>
            </w:r>
            <w:r>
              <w:rPr>
                <w:sz w:val="28"/>
              </w:rPr>
              <mc:AlternateContent>
                <mc:Choice Requires="wps">
                  <w:drawing>
                    <wp:anchor distT="0" distB="0" distL="114300" distR="114300" simplePos="0" relativeHeight="251741184" behindDoc="0" locked="0" layoutInCell="1" allowOverlap="1">
                      <wp:simplePos x="0" y="0"/>
                      <wp:positionH relativeFrom="column">
                        <wp:posOffset>4030345</wp:posOffset>
                      </wp:positionH>
                      <wp:positionV relativeFrom="paragraph">
                        <wp:posOffset>34925</wp:posOffset>
                      </wp:positionV>
                      <wp:extent cx="811530" cy="325755"/>
                      <wp:effectExtent l="0" t="0" r="0" b="0"/>
                      <wp:wrapNone/>
                      <wp:docPr id="65" name="文本框 176"/>
                      <wp:cNvGraphicFramePr/>
                      <a:graphic xmlns:a="http://schemas.openxmlformats.org/drawingml/2006/main">
                        <a:graphicData uri="http://schemas.microsoft.com/office/word/2010/wordprocessingShape">
                          <wps:wsp>
                            <wps:cNvSpPr txBox="1"/>
                            <wps:spPr>
                              <a:xfrm>
                                <a:off x="0" y="0"/>
                                <a:ext cx="811530" cy="325755"/>
                              </a:xfrm>
                              <a:prstGeom prst="rect">
                                <a:avLst/>
                              </a:prstGeom>
                              <a:noFill/>
                              <a:ln>
                                <a:noFill/>
                              </a:ln>
                            </wps:spPr>
                            <wps:txbx>
                              <w:txbxContent>
                                <w:p>
                                  <w:r>
                                    <w:t>生产回用</w:t>
                                  </w:r>
                                </w:p>
                              </w:txbxContent>
                            </wps:txbx>
                            <wps:bodyPr upright="1"/>
                          </wps:wsp>
                        </a:graphicData>
                      </a:graphic>
                    </wp:anchor>
                  </w:drawing>
                </mc:Choice>
                <mc:Fallback>
                  <w:pict>
                    <v:shape id="文本框 176" o:spid="_x0000_s1026" o:spt="202" type="#_x0000_t202" style="position:absolute;left:0pt;margin-left:317.35pt;margin-top:2.75pt;height:25.65pt;width:63.9pt;z-index:251741184;mso-width-relative:page;mso-height-relative:page;" filled="f" stroked="f" coordsize="21600,21600" o:gfxdata="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TRaoHNYA&#10;AAAIAQAADwAAAAAAAAABACAAAAAiAAAAZHJzL2Rvd25yZXYueG1sUEsBAhQAFAAAAAgAh07iQItb&#10;OGmvAQAAUAMAAA4AAAAAAAAAAQAgAAAAJQEAAGRycy9lMm9Eb2MueG1sUEsFBgAAAAAGAAYAWQEA&#10;AEYFAAAAAA==&#10;">
                      <v:fill on="f" focussize="0,0"/>
                      <v:stroke on="f"/>
                      <v:imagedata o:title=""/>
                      <o:lock v:ext="edit" aspectratio="f"/>
                      <v:textbox>
                        <w:txbxContent>
                          <w:p>
                            <w:r>
                              <w:t>生产回用</w:t>
                            </w:r>
                          </w:p>
                        </w:txbxContent>
                      </v:textbox>
                    </v:shape>
                  </w:pict>
                </mc:Fallback>
              </mc:AlternateContent>
            </w:r>
            <w:r>
              <w:rPr>
                <w:sz w:val="28"/>
              </w:rPr>
              <mc:AlternateContent>
                <mc:Choice Requires="wps">
                  <w:drawing>
                    <wp:anchor distT="0" distB="0" distL="114300" distR="114300" simplePos="0" relativeHeight="251737088" behindDoc="0" locked="0" layoutInCell="1" allowOverlap="1">
                      <wp:simplePos x="0" y="0"/>
                      <wp:positionH relativeFrom="column">
                        <wp:posOffset>3757295</wp:posOffset>
                      </wp:positionH>
                      <wp:positionV relativeFrom="paragraph">
                        <wp:posOffset>165735</wp:posOffset>
                      </wp:positionV>
                      <wp:extent cx="320040" cy="0"/>
                      <wp:effectExtent l="0" t="38100" r="3810" b="38100"/>
                      <wp:wrapNone/>
                      <wp:docPr id="61" name="直线 166"/>
                      <wp:cNvGraphicFramePr/>
                      <a:graphic xmlns:a="http://schemas.openxmlformats.org/drawingml/2006/main">
                        <a:graphicData uri="http://schemas.microsoft.com/office/word/2010/wordprocessingShape">
                          <wps:wsp>
                            <wps:cNvCnPr/>
                            <wps:spPr>
                              <a:xfrm>
                                <a:off x="0" y="0"/>
                                <a:ext cx="32004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6" o:spid="_x0000_s1026" o:spt="20" style="position:absolute;left:0pt;margin-left:295.85pt;margin-top:13.05pt;height:0pt;width:25.2pt;z-index:251737088;mso-width-relative:page;mso-height-relative:page;" filled="f" stroked="t" coordsize="21600,21600" o:gfxdata="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j5wiD2QAAAAkBAAAPAAAAAAAAAAEAIAAAACIAAABkcnMvZG93bnJldi54bWxQSwECFAAU&#10;AAAACACHTuJAoDGLTfABAADhAwAADgAAAAAAAAABACAAAAAoAQAAZHJzL2Uyb0RvYy54bWxQSwUG&#10;AAAAAAYABgBZAQAAigUAAAAA&#10;">
                      <v:fill on="f" focussize="0,0"/>
                      <v:stroke color="#000000" joinstyle="round" endarrow="block"/>
                      <v:imagedata o:title=""/>
                      <o:lock v:ext="edit" aspectratio="f"/>
                    </v:line>
                  </w:pict>
                </mc:Fallback>
              </mc:AlternateContent>
            </w:r>
            <w:r>
              <w:rPr>
                <w:sz w:val="28"/>
              </w:rPr>
              <mc:AlternateContent>
                <mc:Choice Requires="wps">
                  <w:drawing>
                    <wp:anchor distT="0" distB="0" distL="114300" distR="114300" simplePos="0" relativeHeight="251731968" behindDoc="0" locked="0" layoutInCell="1" allowOverlap="1">
                      <wp:simplePos x="0" y="0"/>
                      <wp:positionH relativeFrom="column">
                        <wp:posOffset>1701800</wp:posOffset>
                      </wp:positionH>
                      <wp:positionV relativeFrom="paragraph">
                        <wp:posOffset>47625</wp:posOffset>
                      </wp:positionV>
                      <wp:extent cx="0" cy="0"/>
                      <wp:effectExtent l="0" t="0" r="0" b="0"/>
                      <wp:wrapNone/>
                      <wp:docPr id="54" name="直线 169"/>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9" o:spid="_x0000_s1026" o:spt="20" style="position:absolute;left:0pt;margin-left:134pt;margin-top:3.75pt;height:0pt;width:0pt;z-index:251731968;mso-width-relative:page;mso-height-relative:page;" filled="f" stroked="t" coordsize="21600,21600" o:gfxdata="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PlR&#10;XdUAAAAHAQAADwAAAAAAAAABACAAAAAiAAAAZHJzL2Rvd25yZXYueG1sUEsBAhQAFAAAAAgAh07i&#10;QLMMmSzsAQAA3AMAAA4AAAAAAAAAAQAgAAAAJAEAAGRycy9lMm9Eb2MueG1sUEsFBgAAAAAGAAYA&#10;WQEAAIIFAAAAAA==&#10;">
                      <v:fill on="f" focussize="0,0"/>
                      <v:stroke color="#000000" joinstyle="round" endarrow="block"/>
                      <v:imagedata o:title=""/>
                      <o:lock v:ext="edit" aspectratio="f"/>
                    </v:line>
                  </w:pict>
                </mc:Fallback>
              </mc:AlternateContent>
            </w:r>
            <w:r>
              <w:rPr>
                <w:sz w:val="28"/>
              </w:rPr>
              <mc:AlternateContent>
                <mc:Choice Requires="wps">
                  <w:drawing>
                    <wp:anchor distT="0" distB="0" distL="114300" distR="114300" simplePos="0" relativeHeight="251730944" behindDoc="0" locked="0" layoutInCell="1" allowOverlap="1">
                      <wp:simplePos x="0" y="0"/>
                      <wp:positionH relativeFrom="column">
                        <wp:posOffset>3559175</wp:posOffset>
                      </wp:positionH>
                      <wp:positionV relativeFrom="paragraph">
                        <wp:posOffset>46990</wp:posOffset>
                      </wp:positionV>
                      <wp:extent cx="960755" cy="635"/>
                      <wp:effectExtent l="0" t="0" r="0" b="0"/>
                      <wp:wrapNone/>
                      <wp:docPr id="53" name="文本框 167"/>
                      <wp:cNvGraphicFramePr/>
                      <a:graphic xmlns:a="http://schemas.openxmlformats.org/drawingml/2006/main">
                        <a:graphicData uri="http://schemas.microsoft.com/office/word/2010/wordprocessingShape">
                          <wps:wsp>
                            <wps:cNvSpPr txBox="1"/>
                            <wps:spPr>
                              <a:xfrm>
                                <a:off x="0" y="0"/>
                                <a:ext cx="960755" cy="635"/>
                              </a:xfrm>
                              <a:prstGeom prst="rect">
                                <a:avLst/>
                              </a:prstGeom>
                              <a:noFill/>
                              <a:ln>
                                <a:noFill/>
                              </a:ln>
                            </wps:spPr>
                            <wps:txbx>
                              <w:txbxContent>
                                <w:p>
                                  <w:pPr>
                                    <w:rPr>
                                      <w:sz w:val="20"/>
                                      <w:szCs w:val="22"/>
                                    </w:rPr>
                                  </w:pPr>
                                  <w:r>
                                    <w:rPr>
                                      <w:rFonts w:hint="eastAsia"/>
                                      <w:sz w:val="20"/>
                                      <w:szCs w:val="22"/>
                                    </w:rPr>
                                    <w:t>生产回用</w:t>
                                  </w:r>
                                </w:p>
                              </w:txbxContent>
                            </wps:txbx>
                            <wps:bodyPr upright="1"/>
                          </wps:wsp>
                        </a:graphicData>
                      </a:graphic>
                    </wp:anchor>
                  </w:drawing>
                </mc:Choice>
                <mc:Fallback>
                  <w:pict>
                    <v:shape id="文本框 167" o:spid="_x0000_s1026" o:spt="202" type="#_x0000_t202" style="position:absolute;left:0pt;margin-left:280.25pt;margin-top:3.7pt;height:0.05pt;width:75.65pt;z-index:251730944;mso-width-relative:page;mso-height-relative:page;" filled="f" stroked="f" coordsize="21600,21600" o:gfxdata="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opHoNUAAAAH&#10;AQAADwAAAAAAAAABACAAAAAiAAAAZHJzL2Rvd25yZXYueG1sUEsBAhQAFAAAAAgAh07iQNG4RUat&#10;AQAATQMAAA4AAAAAAAAAAQAgAAAAJAEAAGRycy9lMm9Eb2MueG1sUEsFBgAAAAAGAAYAWQEAAEMF&#10;AAAAAA==&#10;">
                      <v:fill on="f" focussize="0,0"/>
                      <v:stroke on="f"/>
                      <v:imagedata o:title=""/>
                      <o:lock v:ext="edit" aspectratio="f"/>
                      <v:textbox>
                        <w:txbxContent>
                          <w:p>
                            <w:pPr>
                              <w:rPr>
                                <w:sz w:val="20"/>
                                <w:szCs w:val="22"/>
                              </w:rPr>
                            </w:pPr>
                            <w:r>
                              <w:rPr>
                                <w:rFonts w:hint="eastAsia"/>
                                <w:sz w:val="20"/>
                                <w:szCs w:val="22"/>
                              </w:rPr>
                              <w:t>生产回用</w:t>
                            </w:r>
                          </w:p>
                        </w:txbxContent>
                      </v:textbox>
                    </v:shape>
                  </w:pict>
                </mc:Fallback>
              </mc:AlternateContent>
            </w:r>
          </w:p>
          <w:p>
            <w:pPr>
              <w:snapToGrid w:val="0"/>
              <w:spacing w:line="556" w:lineRule="exact"/>
              <w:ind w:firstLine="560" w:firstLineChars="200"/>
              <w:rPr>
                <w:rFonts w:ascii="宋体" w:hAnsi="宋体"/>
                <w:sz w:val="28"/>
                <w:szCs w:val="28"/>
              </w:rPr>
            </w:pPr>
            <w:r>
              <w:rPr>
                <w:rFonts w:ascii="宋体" w:hAnsi="宋体"/>
                <w:sz w:val="28"/>
                <w:szCs w:val="28"/>
              </w:rPr>
              <mc:AlternateContent>
                <mc:Choice Requires="wps">
                  <w:drawing>
                    <wp:anchor distT="0" distB="0" distL="114300" distR="114300" simplePos="0" relativeHeight="251739136" behindDoc="0" locked="0" layoutInCell="1" allowOverlap="1">
                      <wp:simplePos x="0" y="0"/>
                      <wp:positionH relativeFrom="column">
                        <wp:posOffset>951230</wp:posOffset>
                      </wp:positionH>
                      <wp:positionV relativeFrom="paragraph">
                        <wp:posOffset>195580</wp:posOffset>
                      </wp:positionV>
                      <wp:extent cx="866775" cy="395605"/>
                      <wp:effectExtent l="0" t="0" r="0" b="0"/>
                      <wp:wrapNone/>
                      <wp:docPr id="63" name="文本框 170"/>
                      <wp:cNvGraphicFramePr/>
                      <a:graphic xmlns:a="http://schemas.openxmlformats.org/drawingml/2006/main">
                        <a:graphicData uri="http://schemas.microsoft.com/office/word/2010/wordprocessingShape">
                          <wps:wsp>
                            <wps:cNvSpPr txBox="1"/>
                            <wps:spPr>
                              <a:xfrm>
                                <a:off x="0" y="0"/>
                                <a:ext cx="866775" cy="395605"/>
                              </a:xfrm>
                              <a:prstGeom prst="rect">
                                <a:avLst/>
                              </a:prstGeom>
                              <a:noFill/>
                              <a:ln>
                                <a:noFill/>
                              </a:ln>
                            </wps:spPr>
                            <wps:txbx>
                              <w:txbxContent>
                                <w:p>
                                  <w:pPr>
                                    <w:rPr>
                                      <w:sz w:val="20"/>
                                      <w:szCs w:val="22"/>
                                    </w:rPr>
                                  </w:pPr>
                                  <w:r>
                                    <w:rPr>
                                      <w:rFonts w:hint="eastAsia"/>
                                      <w:sz w:val="18"/>
                                      <w:szCs w:val="21"/>
                                    </w:rPr>
                                    <w:t>清掏煤泥掺入煤炭外售</w:t>
                                  </w:r>
                                </w:p>
                              </w:txbxContent>
                            </wps:txbx>
                            <wps:bodyPr upright="1"/>
                          </wps:wsp>
                        </a:graphicData>
                      </a:graphic>
                    </wp:anchor>
                  </w:drawing>
                </mc:Choice>
                <mc:Fallback>
                  <w:pict>
                    <v:shape id="文本框 170" o:spid="_x0000_s1026" o:spt="202" type="#_x0000_t202" style="position:absolute;left:0pt;margin-left:74.9pt;margin-top:15.4pt;height:31.15pt;width:68.25pt;z-index:251739136;mso-width-relative:page;mso-height-relative:page;" filled="f" stroked="f" coordsize="21600,21600" o:gfxdata="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aUb0fX&#10;AAAACQEAAA8AAAAAAAAAAQAgAAAAIgAAAGRycy9kb3ducmV2LnhtbFBLAQIUABQAAAAIAIdO4kCP&#10;o022rwEAAFADAAAOAAAAAAAAAAEAIAAAACYBAABkcnMvZTJvRG9jLnhtbFBLBQYAAAAABgAGAFkB&#10;AABHBQAAAAA=&#10;">
                      <v:fill on="f" focussize="0,0"/>
                      <v:stroke on="f"/>
                      <v:imagedata o:title=""/>
                      <o:lock v:ext="edit" aspectratio="f"/>
                      <v:textbox>
                        <w:txbxContent>
                          <w:p>
                            <w:pPr>
                              <w:rPr>
                                <w:sz w:val="20"/>
                                <w:szCs w:val="22"/>
                              </w:rPr>
                            </w:pPr>
                            <w:r>
                              <w:rPr>
                                <w:rFonts w:hint="eastAsia"/>
                                <w:sz w:val="18"/>
                                <w:szCs w:val="21"/>
                              </w:rPr>
                              <w:t>清掏煤泥掺入煤炭外售</w:t>
                            </w:r>
                          </w:p>
                        </w:txbxContent>
                      </v:textbox>
                    </v:shape>
                  </w:pict>
                </mc:Fallback>
              </mc:AlternateContent>
            </w:r>
            <w:r>
              <w:rPr>
                <w:rFonts w:ascii="宋体" w:hAnsi="宋体"/>
                <w:sz w:val="28"/>
                <w:szCs w:val="28"/>
              </w:rPr>
              <mc:AlternateContent>
                <mc:Choice Requires="wps">
                  <w:drawing>
                    <wp:anchor distT="0" distB="0" distL="114300" distR="114300" simplePos="0" relativeHeight="251740160" behindDoc="0" locked="0" layoutInCell="1" allowOverlap="1">
                      <wp:simplePos x="0" y="0"/>
                      <wp:positionH relativeFrom="column">
                        <wp:posOffset>1346200</wp:posOffset>
                      </wp:positionH>
                      <wp:positionV relativeFrom="paragraph">
                        <wp:posOffset>55245</wp:posOffset>
                      </wp:positionV>
                      <wp:extent cx="0" cy="179705"/>
                      <wp:effectExtent l="38100" t="0" r="38100" b="10795"/>
                      <wp:wrapNone/>
                      <wp:docPr id="64" name="自选图形 174"/>
                      <wp:cNvGraphicFramePr/>
                      <a:graphic xmlns:a="http://schemas.openxmlformats.org/drawingml/2006/main">
                        <a:graphicData uri="http://schemas.microsoft.com/office/word/2010/wordprocessingShape">
                          <wps:wsp>
                            <wps:cNvCnPr/>
                            <wps:spPr>
                              <a:xfrm>
                                <a:off x="0" y="0"/>
                                <a:ext cx="0"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74" o:spid="_x0000_s1026" o:spt="32" type="#_x0000_t32" style="position:absolute;left:0pt;margin-left:106pt;margin-top:4.35pt;height:14.15pt;width:0pt;z-index:251740160;mso-width-relative:page;mso-height-relative:page;" filled="f" stroked="t" coordsize="21600,21600" o:gfxdata="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GRYOdcAAAAIAQAADwAAAAAAAAABACAAAAAiAAAAZHJzL2Rvd25yZXYu&#10;eG1sUEsBAhQAFAAAAAgAh07iQDO6zzf8AQAA6QMAAA4AAAAAAAAAAQAgAAAAJgEAAGRycy9lMm9E&#10;b2MueG1sUEsFBgAAAAAGAAYAWQEAAJQFAAAAAA==&#10;">
                      <v:fill on="f" focussize="0,0"/>
                      <v:stroke color="#000000" joinstyle="round" endarrow="block"/>
                      <v:imagedata o:title=""/>
                      <o:lock v:ext="edit" aspectratio="f"/>
                    </v:shape>
                  </w:pict>
                </mc:Fallback>
              </mc:AlternateContent>
            </w:r>
          </w:p>
          <w:p>
            <w:pPr>
              <w:snapToGrid w:val="0"/>
              <w:spacing w:line="556" w:lineRule="exact"/>
              <w:ind w:firstLine="420" w:firstLineChars="200"/>
              <w:rPr>
                <w:rFonts w:ascii="宋体" w:hAnsi="宋体"/>
                <w:sz w:val="28"/>
                <w:szCs w:val="28"/>
              </w:rPr>
            </w:pPr>
            <w:r>
              <w:rPr>
                <w:kern w:val="0"/>
                <w:szCs w:val="21"/>
              </w:rPr>
              <mc:AlternateContent>
                <mc:Choice Requires="wps">
                  <w:drawing>
                    <wp:anchor distT="0" distB="0" distL="114300" distR="114300" simplePos="0" relativeHeight="251681792" behindDoc="0" locked="0" layoutInCell="1" allowOverlap="1">
                      <wp:simplePos x="0" y="0"/>
                      <wp:positionH relativeFrom="column">
                        <wp:posOffset>1164590</wp:posOffset>
                      </wp:positionH>
                      <wp:positionV relativeFrom="paragraph">
                        <wp:posOffset>206375</wp:posOffset>
                      </wp:positionV>
                      <wp:extent cx="2261870" cy="242570"/>
                      <wp:effectExtent l="0" t="0" r="0" b="0"/>
                      <wp:wrapNone/>
                      <wp:docPr id="8" name="文本框 291"/>
                      <wp:cNvGraphicFramePr/>
                      <a:graphic xmlns:a="http://schemas.openxmlformats.org/drawingml/2006/main">
                        <a:graphicData uri="http://schemas.microsoft.com/office/word/2010/wordprocessingShape">
                          <wps:wsp>
                            <wps:cNvSpPr txBox="1"/>
                            <wps:spPr>
                              <a:xfrm>
                                <a:off x="0" y="0"/>
                                <a:ext cx="2261870" cy="242570"/>
                              </a:xfrm>
                              <a:prstGeom prst="rect">
                                <a:avLst/>
                              </a:prstGeom>
                              <a:noFill/>
                              <a:ln w="6350">
                                <a:noFill/>
                              </a:ln>
                            </wps:spPr>
                            <wps:txbx>
                              <w:txbxContent>
                                <w:p>
                                  <w:pPr>
                                    <w:jc w:val="center"/>
                                    <w:rPr>
                                      <w:b/>
                                      <w:sz w:val="18"/>
                                      <w:szCs w:val="18"/>
                                    </w:rPr>
                                  </w:pPr>
                                  <w:r>
                                    <w:rPr>
                                      <w:rFonts w:hint="eastAsia"/>
                                      <w:b/>
                                      <w:sz w:val="18"/>
                                      <w:szCs w:val="18"/>
                                    </w:rPr>
                                    <w:t>图4-1：生产废水处理工艺流程图</w:t>
                                  </w:r>
                                </w:p>
                              </w:txbxContent>
                            </wps:txbx>
                            <wps:bodyPr upright="1"/>
                          </wps:wsp>
                        </a:graphicData>
                      </a:graphic>
                    </wp:anchor>
                  </w:drawing>
                </mc:Choice>
                <mc:Fallback>
                  <w:pict>
                    <v:shape id="文本框 291" o:spid="_x0000_s1026" o:spt="202" type="#_x0000_t202" style="position:absolute;left:0pt;margin-left:91.7pt;margin-top:16.25pt;height:19.1pt;width:178.1pt;z-index:251681792;mso-width-relative:page;mso-height-relative:page;" filled="f" stroked="f" coordsize="21600,21600" o:gfxdata="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N+P6j9sAAAAJAQAADwAAAAAAAAABACAAAAAiAAAAZHJzL2Rvd25yZXYueG1sUEsBAhQA&#10;FAAAAAgAh07iQKorTg62AQAAWQMAAA4AAAAAAAAAAQAgAAAAKgEAAGRycy9lMm9Eb2MueG1sUEsF&#10;BgAAAAAGAAYAWQEAAFIFAAAAAA==&#10;">
                      <v:fill on="f" focussize="0,0"/>
                      <v:stroke on="f" weight="0.5pt"/>
                      <v:imagedata o:title=""/>
                      <o:lock v:ext="edit" aspectratio="f"/>
                      <v:textbox>
                        <w:txbxContent>
                          <w:p>
                            <w:pPr>
                              <w:jc w:val="center"/>
                              <w:rPr>
                                <w:b/>
                                <w:sz w:val="18"/>
                                <w:szCs w:val="18"/>
                              </w:rPr>
                            </w:pPr>
                            <w:r>
                              <w:rPr>
                                <w:rFonts w:hint="eastAsia"/>
                                <w:b/>
                                <w:sz w:val="18"/>
                                <w:szCs w:val="18"/>
                              </w:rPr>
                              <w:t>图4-1：生产废水处理工艺流程图</w:t>
                            </w:r>
                          </w:p>
                        </w:txbxContent>
                      </v:textbox>
                    </v:shape>
                  </w:pict>
                </mc:Fallback>
              </mc:AlternateContent>
            </w:r>
          </w:p>
          <w:p>
            <w:pPr>
              <w:spacing w:line="406" w:lineRule="exact"/>
              <w:ind w:firstLine="420" w:firstLineChars="200"/>
            </w:pPr>
            <w:r>
              <w:rPr>
                <w:rFonts w:hint="eastAsia"/>
              </w:rPr>
              <w:t>当废水进入第一级沉淀池后，通过自然沉淀让废水中的煤粉颗粒自然沉降。通过设置溢流口进入第二级沉淀池。在第二级沉淀池中，悬浮物再次沉降后，废水溢流进入第三级沉淀池后，废水中悬浮物基本已得到去除，出水水质中悬浮物浓度已降至20~50</w:t>
            </w:r>
            <w:r>
              <w:t>mg/l</w:t>
            </w:r>
            <w:r>
              <w:rPr>
                <w:rFonts w:hint="eastAsia"/>
              </w:rPr>
              <w:t>，通过水泵及时抽取作为生产用水就近回用，不外排。</w:t>
            </w:r>
          </w:p>
          <w:p>
            <w:pPr>
              <w:spacing w:line="406" w:lineRule="exact"/>
              <w:ind w:firstLine="422" w:firstLineChars="200"/>
              <w:rPr>
                <w:b/>
                <w:bCs/>
                <w:szCs w:val="28"/>
              </w:rPr>
            </w:pPr>
            <w:r>
              <w:rPr>
                <w:rFonts w:hint="eastAsia"/>
                <w:b/>
                <w:bCs/>
                <w:szCs w:val="28"/>
              </w:rPr>
              <w:t>废水闭路循环的可靠性：</w:t>
            </w:r>
          </w:p>
          <w:p>
            <w:pPr>
              <w:autoSpaceDE w:val="0"/>
              <w:autoSpaceDN w:val="0"/>
              <w:adjustRightInd w:val="0"/>
              <w:snapToGrid w:val="0"/>
              <w:spacing w:line="406" w:lineRule="exact"/>
              <w:ind w:firstLine="420" w:firstLineChars="200"/>
              <w:rPr>
                <w:bCs/>
                <w:szCs w:val="28"/>
              </w:rPr>
            </w:pPr>
            <w:r>
              <w:rPr>
                <w:rFonts w:hint="eastAsia"/>
                <w:bCs/>
                <w:szCs w:val="28"/>
              </w:rPr>
              <w:t>从水质上分析：本项目所采取废水处理工艺能够有效地分离出废水中的</w:t>
            </w:r>
            <w:r>
              <w:rPr>
                <w:rFonts w:hint="eastAsia"/>
                <w:kern w:val="0"/>
                <w:szCs w:val="21"/>
              </w:rPr>
              <w:t>煤粉颗粒</w:t>
            </w:r>
            <w:r>
              <w:rPr>
                <w:rFonts w:hint="eastAsia"/>
                <w:bCs/>
                <w:szCs w:val="28"/>
              </w:rPr>
              <w:t>，大大地降低废水中的悬浮物含量。回用水主要用于场地冲洗、喷雾降尘等环节，对水质要求不高，回用水水质完全能够满足回用要求。从废水收集上分析：项目各个储煤棚均配套建设有废水沟收集，废水处理系统为地下式结构，能够实现废水全部收集。从水量上分析：本项目废水产生量为3.82</w:t>
            </w:r>
            <w:r>
              <w:rPr>
                <w:bCs/>
                <w:szCs w:val="28"/>
              </w:rPr>
              <w:t>m</w:t>
            </w:r>
            <w:r>
              <w:rPr>
                <w:bCs/>
                <w:szCs w:val="28"/>
                <w:vertAlign w:val="superscript"/>
              </w:rPr>
              <w:t>3</w:t>
            </w:r>
            <w:r>
              <w:rPr>
                <w:bCs/>
                <w:szCs w:val="28"/>
              </w:rPr>
              <w:t>/d，</w:t>
            </w:r>
            <w:r>
              <w:rPr>
                <w:rFonts w:hint="eastAsia"/>
                <w:bCs/>
                <w:szCs w:val="28"/>
              </w:rPr>
              <w:t>生产用水量</w:t>
            </w:r>
            <w:r>
              <w:rPr>
                <w:bCs/>
                <w:szCs w:val="28"/>
              </w:rPr>
              <w:t>约为</w:t>
            </w:r>
            <w:r>
              <w:rPr>
                <w:rFonts w:hint="eastAsia"/>
                <w:bCs/>
                <w:szCs w:val="28"/>
              </w:rPr>
              <w:t>4.4</w:t>
            </w:r>
            <w:r>
              <w:rPr>
                <w:bCs/>
                <w:szCs w:val="28"/>
              </w:rPr>
              <w:t>m</w:t>
            </w:r>
            <w:r>
              <w:rPr>
                <w:bCs/>
                <w:szCs w:val="28"/>
                <w:vertAlign w:val="superscript"/>
              </w:rPr>
              <w:t>3</w:t>
            </w:r>
            <w:r>
              <w:rPr>
                <w:bCs/>
                <w:szCs w:val="28"/>
              </w:rPr>
              <w:t>/d，回用水量小于生产用水</w:t>
            </w:r>
            <w:r>
              <w:rPr>
                <w:rFonts w:hint="eastAsia"/>
                <w:bCs/>
                <w:szCs w:val="28"/>
              </w:rPr>
              <w:t>量，能够实现循环回用。因此，从水质、水量等方面分析，项目的含煤废水实现零排放是可行可靠的。</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2）生活污水</w:t>
            </w:r>
          </w:p>
          <w:p>
            <w:pPr>
              <w:autoSpaceDE w:val="0"/>
              <w:autoSpaceDN w:val="0"/>
              <w:adjustRightInd w:val="0"/>
              <w:snapToGrid w:val="0"/>
              <w:spacing w:line="406" w:lineRule="exact"/>
              <w:ind w:firstLine="420" w:firstLineChars="200"/>
              <w:jc w:val="left"/>
              <w:rPr>
                <w:bCs/>
                <w:szCs w:val="28"/>
              </w:rPr>
            </w:pPr>
            <w:r>
              <w:rPr>
                <w:kern w:val="0"/>
                <w:szCs w:val="21"/>
              </w:rPr>
              <w:t>本项目工作制度为</w:t>
            </w:r>
            <w:r>
              <w:rPr>
                <w:rFonts w:hint="eastAsia"/>
                <w:kern w:val="0"/>
                <w:szCs w:val="21"/>
              </w:rPr>
              <w:t>8h/d，办公楼</w:t>
            </w:r>
            <w:r>
              <w:rPr>
                <w:kern w:val="0"/>
                <w:szCs w:val="21"/>
              </w:rPr>
              <w:t>设有不设职工食堂</w:t>
            </w:r>
            <w:r>
              <w:rPr>
                <w:rFonts w:hint="eastAsia"/>
                <w:kern w:val="0"/>
                <w:szCs w:val="21"/>
              </w:rPr>
              <w:t>、</w:t>
            </w:r>
            <w:r>
              <w:rPr>
                <w:kern w:val="0"/>
                <w:szCs w:val="21"/>
              </w:rPr>
              <w:t>宿舍。根据工程分析，项目工作人员办公生活的污水产生量为</w:t>
            </w:r>
            <w:r>
              <w:rPr>
                <w:rFonts w:hint="eastAsia"/>
                <w:bCs/>
                <w:szCs w:val="28"/>
              </w:rPr>
              <w:t>0.27</w:t>
            </w:r>
            <w:r>
              <w:rPr>
                <w:bCs/>
                <w:szCs w:val="28"/>
              </w:rPr>
              <w:t>m</w:t>
            </w:r>
            <w:r>
              <w:rPr>
                <w:bCs/>
                <w:szCs w:val="28"/>
                <w:vertAlign w:val="superscript"/>
              </w:rPr>
              <w:t>3</w:t>
            </w:r>
            <w:r>
              <w:rPr>
                <w:bCs/>
                <w:szCs w:val="28"/>
              </w:rPr>
              <w:t>/d。</w:t>
            </w:r>
          </w:p>
          <w:p>
            <w:pPr>
              <w:autoSpaceDE w:val="0"/>
              <w:autoSpaceDN w:val="0"/>
              <w:adjustRightInd w:val="0"/>
              <w:snapToGrid w:val="0"/>
              <w:spacing w:line="406" w:lineRule="exact"/>
              <w:ind w:firstLine="422" w:firstLineChars="200"/>
              <w:jc w:val="left"/>
              <w:rPr>
                <w:b/>
                <w:bCs/>
                <w:szCs w:val="28"/>
              </w:rPr>
            </w:pPr>
            <w:r>
              <w:rPr>
                <w:b/>
                <w:bCs/>
                <w:szCs w:val="28"/>
              </w:rPr>
              <w:t>采取的处理措施：</w:t>
            </w:r>
          </w:p>
          <w:p>
            <w:pPr>
              <w:autoSpaceDE w:val="0"/>
              <w:autoSpaceDN w:val="0"/>
              <w:adjustRightInd w:val="0"/>
              <w:snapToGrid w:val="0"/>
              <w:spacing w:line="406" w:lineRule="exact"/>
              <w:ind w:firstLine="420" w:firstLineChars="200"/>
              <w:jc w:val="left"/>
              <w:rPr>
                <w:bCs/>
                <w:szCs w:val="28"/>
              </w:rPr>
            </w:pPr>
            <w:r>
              <w:rPr>
                <w:rFonts w:hint="eastAsia"/>
                <w:bCs/>
                <w:szCs w:val="28"/>
              </w:rPr>
              <w:t>项目厂区仅设有办公室和值班室，不设食堂和宿舍。员工生活污水产生量为0.27m</w:t>
            </w:r>
            <w:r>
              <w:rPr>
                <w:rFonts w:hint="eastAsia"/>
                <w:bCs/>
                <w:szCs w:val="28"/>
                <w:vertAlign w:val="superscript"/>
              </w:rPr>
              <w:t>3</w:t>
            </w:r>
            <w:r>
              <w:rPr>
                <w:rFonts w:hint="eastAsia"/>
                <w:bCs/>
                <w:szCs w:val="28"/>
              </w:rPr>
              <w:t>/d。根据调查，项目区厂区均设有化粪池（容积10m</w:t>
            </w:r>
            <w:r>
              <w:rPr>
                <w:rFonts w:hint="eastAsia"/>
                <w:bCs/>
                <w:szCs w:val="28"/>
                <w:vertAlign w:val="superscript"/>
              </w:rPr>
              <w:t>3</w:t>
            </w:r>
            <w:r>
              <w:rPr>
                <w:rFonts w:hint="eastAsia"/>
                <w:bCs/>
                <w:szCs w:val="28"/>
              </w:rPr>
              <w:t>），生活污水经化粪池收集后，通过拉运的方式，最终进入东岳镇生活污水处理厂处理。</w:t>
            </w:r>
          </w:p>
          <w:p>
            <w:pPr>
              <w:autoSpaceDE w:val="0"/>
              <w:autoSpaceDN w:val="0"/>
              <w:adjustRightInd w:val="0"/>
              <w:snapToGrid w:val="0"/>
              <w:spacing w:line="406" w:lineRule="exact"/>
              <w:ind w:firstLine="422" w:firstLineChars="200"/>
              <w:jc w:val="left"/>
              <w:rPr>
                <w:b/>
                <w:kern w:val="0"/>
                <w:szCs w:val="21"/>
              </w:rPr>
            </w:pPr>
            <w:r>
              <w:rPr>
                <w:b/>
                <w:kern w:val="0"/>
                <w:szCs w:val="21"/>
              </w:rPr>
              <w:t>（3）依托污水处理设施的环境可行性评价</w:t>
            </w:r>
          </w:p>
          <w:p>
            <w:pPr>
              <w:autoSpaceDE w:val="0"/>
              <w:autoSpaceDN w:val="0"/>
              <w:adjustRightInd w:val="0"/>
              <w:snapToGrid w:val="0"/>
              <w:spacing w:line="406" w:lineRule="exact"/>
              <w:ind w:firstLine="420" w:firstLineChars="200"/>
              <w:jc w:val="left"/>
              <w:rPr>
                <w:szCs w:val="18"/>
              </w:rPr>
            </w:pPr>
            <w:r>
              <w:rPr>
                <w:szCs w:val="18"/>
              </w:rPr>
              <w:t>本项目生活污水将依托</w:t>
            </w:r>
            <w:r>
              <w:rPr>
                <w:rFonts w:hint="eastAsia"/>
                <w:szCs w:val="18"/>
              </w:rPr>
              <w:t>东岳</w:t>
            </w:r>
            <w:r>
              <w:rPr>
                <w:szCs w:val="18"/>
              </w:rPr>
              <w:t>镇污水处理厂处理后，达标排放至</w:t>
            </w:r>
            <w:r>
              <w:rPr>
                <w:rFonts w:hint="eastAsia"/>
                <w:szCs w:val="18"/>
              </w:rPr>
              <w:t>双龙河</w:t>
            </w:r>
            <w:r>
              <w:rPr>
                <w:szCs w:val="18"/>
              </w:rPr>
              <w:t>。</w:t>
            </w:r>
          </w:p>
          <w:p>
            <w:pPr>
              <w:autoSpaceDE w:val="0"/>
              <w:autoSpaceDN w:val="0"/>
              <w:adjustRightInd w:val="0"/>
              <w:snapToGrid w:val="0"/>
              <w:spacing w:line="406" w:lineRule="exact"/>
              <w:ind w:firstLine="420" w:firstLineChars="200"/>
              <w:jc w:val="left"/>
              <w:rPr>
                <w:szCs w:val="18"/>
              </w:rPr>
            </w:pPr>
            <w:r>
              <w:rPr>
                <w:rFonts w:hint="eastAsia"/>
                <w:szCs w:val="18"/>
              </w:rPr>
              <w:t>本项目生活污水涉及依托东岳镇生活污水处理厂处理。</w:t>
            </w:r>
            <w:r>
              <w:rPr>
                <w:szCs w:val="18"/>
              </w:rPr>
              <w:t>根据调查，东岳镇生活污水处理厂位于东岳镇山桥村，处置规模1000m</w:t>
            </w:r>
            <w:r>
              <w:rPr>
                <w:szCs w:val="18"/>
                <w:vertAlign w:val="superscript"/>
              </w:rPr>
              <w:t>3</w:t>
            </w:r>
            <w:r>
              <w:rPr>
                <w:szCs w:val="18"/>
              </w:rPr>
              <w:t>/d，采用PASG工艺，出水水质执行《城镇污水处理厂污染物排放标准》（GB18918-2002）中一级A标，纳污水体为双龙河。目前该污水处理厂已建成投入运行。本项目污水量经</w:t>
            </w:r>
            <w:r>
              <w:rPr>
                <w:rFonts w:hint="eastAsia"/>
                <w:szCs w:val="18"/>
              </w:rPr>
              <w:t>0.27</w:t>
            </w:r>
            <w:r>
              <w:rPr>
                <w:szCs w:val="18"/>
              </w:rPr>
              <w:t>m</w:t>
            </w:r>
            <w:r>
              <w:rPr>
                <w:szCs w:val="18"/>
                <w:vertAlign w:val="superscript"/>
              </w:rPr>
              <w:t>3</w:t>
            </w:r>
            <w:r>
              <w:rPr>
                <w:szCs w:val="18"/>
              </w:rPr>
              <w:t>/d，远小于东岳镇生活污水处理厂的处理能力，仅占0.</w:t>
            </w:r>
            <w:r>
              <w:rPr>
                <w:rFonts w:hint="eastAsia"/>
                <w:szCs w:val="18"/>
              </w:rPr>
              <w:t>027</w:t>
            </w:r>
            <w:r>
              <w:rPr>
                <w:szCs w:val="18"/>
              </w:rPr>
              <w:t>%</w:t>
            </w:r>
            <w:r>
              <w:rPr>
                <w:rFonts w:hint="eastAsia"/>
                <w:szCs w:val="18"/>
              </w:rPr>
              <w:t>。</w:t>
            </w:r>
            <w:r>
              <w:rPr>
                <w:szCs w:val="18"/>
              </w:rPr>
              <w:t>本项目生活污水拉运至东岳镇生活污水处理厂处理是可行可靠的。</w:t>
            </w:r>
          </w:p>
          <w:p>
            <w:pPr>
              <w:autoSpaceDE w:val="0"/>
              <w:autoSpaceDN w:val="0"/>
              <w:adjustRightInd w:val="0"/>
              <w:snapToGrid w:val="0"/>
              <w:spacing w:line="406" w:lineRule="exact"/>
              <w:ind w:firstLine="420" w:firstLineChars="200"/>
              <w:jc w:val="left"/>
              <w:rPr>
                <w:szCs w:val="18"/>
              </w:rPr>
            </w:pPr>
            <w:r>
              <w:rPr>
                <w:rFonts w:hint="eastAsia"/>
                <w:szCs w:val="18"/>
              </w:rPr>
              <w:t>经调查，由于达州市通川区东岳新型工业集聚区污水处理厂和污水干管暂未建设，项目生活污水无法通过污水管网进入东岳场镇污水处理厂。因此评价要求，项目营运后应委托专用机构采用吸粪车定期拉运至东岳场镇污水处理厂处理，待集聚区污水处理厂建成后再排入市政污水管网进入集聚区污水处理厂处理后达标排放。</w:t>
            </w:r>
          </w:p>
          <w:p>
            <w:pPr>
              <w:autoSpaceDE w:val="0"/>
              <w:autoSpaceDN w:val="0"/>
              <w:adjustRightInd w:val="0"/>
              <w:snapToGrid w:val="0"/>
              <w:spacing w:line="400" w:lineRule="exact"/>
              <w:ind w:firstLine="420" w:firstLineChars="200"/>
              <w:jc w:val="left"/>
              <w:rPr>
                <w:szCs w:val="18"/>
              </w:rPr>
            </w:pPr>
            <w:r>
              <w:rPr>
                <w:szCs w:val="18"/>
              </w:rPr>
              <w:t>因此，</w:t>
            </w:r>
            <w:r>
              <w:rPr>
                <w:rFonts w:hint="eastAsia"/>
                <w:szCs w:val="18"/>
              </w:rPr>
              <w:t>本项目生活污水</w:t>
            </w:r>
            <w:r>
              <w:rPr>
                <w:szCs w:val="18"/>
              </w:rPr>
              <w:t>依托</w:t>
            </w:r>
            <w:r>
              <w:rPr>
                <w:rFonts w:hint="eastAsia"/>
                <w:szCs w:val="18"/>
              </w:rPr>
              <w:t>东岳镇污水处理厂</w:t>
            </w:r>
            <w:r>
              <w:rPr>
                <w:szCs w:val="18"/>
              </w:rPr>
              <w:t>处理也是可行的。</w:t>
            </w:r>
          </w:p>
          <w:p>
            <w:pPr>
              <w:autoSpaceDE w:val="0"/>
              <w:spacing w:line="400" w:lineRule="exact"/>
              <w:jc w:val="center"/>
              <w:rPr>
                <w:rFonts w:eastAsia="黑体"/>
                <w:bCs/>
                <w:sz w:val="18"/>
                <w:szCs w:val="18"/>
              </w:rPr>
            </w:pPr>
          </w:p>
          <w:p>
            <w:pPr>
              <w:autoSpaceDE w:val="0"/>
              <w:spacing w:line="400" w:lineRule="exact"/>
              <w:jc w:val="center"/>
              <w:rPr>
                <w:rFonts w:eastAsia="黑体"/>
                <w:bCs/>
                <w:sz w:val="18"/>
                <w:szCs w:val="18"/>
              </w:rPr>
            </w:pPr>
          </w:p>
          <w:p>
            <w:pPr>
              <w:autoSpaceDE w:val="0"/>
              <w:spacing w:line="400" w:lineRule="exact"/>
              <w:jc w:val="center"/>
              <w:rPr>
                <w:rFonts w:eastAsia="黑体"/>
                <w:bCs/>
                <w:sz w:val="18"/>
                <w:szCs w:val="18"/>
              </w:rPr>
            </w:pPr>
          </w:p>
          <w:p>
            <w:pPr>
              <w:autoSpaceDE w:val="0"/>
              <w:spacing w:line="400" w:lineRule="exact"/>
              <w:jc w:val="center"/>
              <w:rPr>
                <w:rFonts w:eastAsia="黑体"/>
                <w:bCs/>
                <w:sz w:val="18"/>
                <w:szCs w:val="18"/>
              </w:rPr>
            </w:pPr>
          </w:p>
          <w:p>
            <w:pPr>
              <w:autoSpaceDE w:val="0"/>
              <w:spacing w:line="400" w:lineRule="exact"/>
              <w:jc w:val="center"/>
              <w:rPr>
                <w:rFonts w:eastAsia="黑体"/>
                <w:bCs/>
                <w:sz w:val="18"/>
                <w:szCs w:val="18"/>
              </w:rPr>
            </w:pPr>
          </w:p>
          <w:p>
            <w:pPr>
              <w:autoSpaceDE w:val="0"/>
              <w:spacing w:line="400" w:lineRule="exact"/>
              <w:jc w:val="center"/>
              <w:rPr>
                <w:rFonts w:eastAsia="黑体"/>
                <w:bCs/>
                <w:sz w:val="18"/>
                <w:szCs w:val="18"/>
              </w:rPr>
            </w:pPr>
          </w:p>
          <w:p>
            <w:pPr>
              <w:autoSpaceDE w:val="0"/>
              <w:spacing w:line="400" w:lineRule="exact"/>
              <w:jc w:val="center"/>
              <w:rPr>
                <w:rFonts w:eastAsia="黑体"/>
                <w:sz w:val="18"/>
                <w:szCs w:val="18"/>
              </w:rPr>
            </w:pPr>
            <w:r>
              <w:rPr>
                <w:rFonts w:eastAsia="黑体"/>
                <w:bCs/>
                <w:sz w:val="18"/>
                <w:szCs w:val="18"/>
              </w:rPr>
              <w:t>表</w:t>
            </w:r>
            <w:r>
              <w:rPr>
                <w:rFonts w:hint="eastAsia" w:eastAsia="黑体"/>
                <w:bCs/>
                <w:sz w:val="18"/>
                <w:szCs w:val="18"/>
              </w:rPr>
              <w:t xml:space="preserve">4-3  </w:t>
            </w:r>
            <w:r>
              <w:rPr>
                <w:rFonts w:eastAsia="黑体"/>
                <w:bCs/>
                <w:sz w:val="18"/>
                <w:szCs w:val="18"/>
              </w:rPr>
              <w:t>废水污染源源强核算结果及相关参数一览表</w:t>
            </w:r>
          </w:p>
          <w:tbl>
            <w:tblPr>
              <w:tblStyle w:val="21"/>
              <w:tblW w:w="777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4"/>
              <w:gridCol w:w="431"/>
              <w:gridCol w:w="430"/>
              <w:gridCol w:w="430"/>
              <w:gridCol w:w="594"/>
              <w:gridCol w:w="697"/>
              <w:gridCol w:w="583"/>
              <w:gridCol w:w="451"/>
              <w:gridCol w:w="432"/>
              <w:gridCol w:w="573"/>
              <w:gridCol w:w="573"/>
              <w:gridCol w:w="720"/>
              <w:gridCol w:w="705"/>
              <w:gridCol w:w="5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594" w:type="dxa"/>
                  <w:vMerge w:val="restart"/>
                  <w:vAlign w:val="center"/>
                </w:tcPr>
                <w:p>
                  <w:pPr>
                    <w:pStyle w:val="39"/>
                    <w:spacing w:before="0" w:beforeAutospacing="0" w:line="340" w:lineRule="exact"/>
                    <w:jc w:val="center"/>
                    <w:rPr>
                      <w:rFonts w:ascii="Times New Roman" w:hAnsi="Times New Roman"/>
                      <w:sz w:val="15"/>
                      <w:szCs w:val="15"/>
                    </w:rPr>
                  </w:pPr>
                  <w:r>
                    <w:rPr>
                      <w:rFonts w:ascii="Times New Roman" w:hAnsi="Times New Roman"/>
                      <w:sz w:val="15"/>
                      <w:szCs w:val="15"/>
                    </w:rPr>
                    <w:t>工序/ 生产线</w:t>
                  </w:r>
                </w:p>
              </w:tc>
              <w:tc>
                <w:tcPr>
                  <w:tcW w:w="431" w:type="dxa"/>
                  <w:vMerge w:val="restart"/>
                  <w:vAlign w:val="center"/>
                </w:tcPr>
                <w:p>
                  <w:pPr>
                    <w:pStyle w:val="39"/>
                    <w:spacing w:before="0" w:beforeAutospacing="0" w:line="340" w:lineRule="exact"/>
                    <w:jc w:val="center"/>
                    <w:rPr>
                      <w:rFonts w:ascii="Times New Roman" w:hAnsi="Times New Roman"/>
                      <w:sz w:val="15"/>
                      <w:szCs w:val="15"/>
                    </w:rPr>
                  </w:pPr>
                  <w:r>
                    <w:rPr>
                      <w:rFonts w:ascii="Times New Roman" w:hAnsi="Times New Roman"/>
                      <w:sz w:val="15"/>
                      <w:szCs w:val="15"/>
                    </w:rPr>
                    <w:t>污染 源</w:t>
                  </w:r>
                </w:p>
              </w:tc>
              <w:tc>
                <w:tcPr>
                  <w:tcW w:w="430" w:type="dxa"/>
                  <w:vMerge w:val="restart"/>
                  <w:vAlign w:val="center"/>
                </w:tcPr>
                <w:p>
                  <w:pPr>
                    <w:pStyle w:val="39"/>
                    <w:spacing w:before="0" w:beforeAutospacing="0" w:line="340" w:lineRule="exact"/>
                    <w:jc w:val="center"/>
                    <w:rPr>
                      <w:rFonts w:ascii="Times New Roman" w:hAnsi="Times New Roman"/>
                      <w:sz w:val="15"/>
                      <w:szCs w:val="15"/>
                    </w:rPr>
                  </w:pPr>
                  <w:r>
                    <w:rPr>
                      <w:rFonts w:ascii="Times New Roman" w:hAnsi="Times New Roman"/>
                      <w:sz w:val="15"/>
                      <w:szCs w:val="15"/>
                    </w:rPr>
                    <w:t>污染物</w:t>
                  </w:r>
                </w:p>
              </w:tc>
              <w:tc>
                <w:tcPr>
                  <w:tcW w:w="2304" w:type="dxa"/>
                  <w:gridSpan w:val="4"/>
                  <w:vAlign w:val="center"/>
                </w:tcPr>
                <w:p>
                  <w:pPr>
                    <w:pStyle w:val="39"/>
                    <w:spacing w:before="0" w:beforeAutospacing="0" w:line="340" w:lineRule="exact"/>
                    <w:jc w:val="center"/>
                    <w:rPr>
                      <w:rFonts w:ascii="Times New Roman" w:hAnsi="Times New Roman"/>
                      <w:sz w:val="15"/>
                      <w:szCs w:val="15"/>
                    </w:rPr>
                  </w:pPr>
                  <w:r>
                    <w:rPr>
                      <w:rFonts w:ascii="Times New Roman" w:hAnsi="Times New Roman"/>
                      <w:sz w:val="15"/>
                      <w:szCs w:val="15"/>
                    </w:rPr>
                    <w:t>污染物产生</w:t>
                  </w:r>
                </w:p>
              </w:tc>
              <w:tc>
                <w:tcPr>
                  <w:tcW w:w="883" w:type="dxa"/>
                  <w:gridSpan w:val="2"/>
                  <w:vAlign w:val="center"/>
                </w:tcPr>
                <w:p>
                  <w:pPr>
                    <w:pStyle w:val="39"/>
                    <w:spacing w:before="0" w:beforeAutospacing="0" w:line="340" w:lineRule="exact"/>
                    <w:jc w:val="center"/>
                    <w:rPr>
                      <w:rFonts w:ascii="Times New Roman" w:hAnsi="Times New Roman"/>
                      <w:sz w:val="15"/>
                      <w:szCs w:val="15"/>
                    </w:rPr>
                  </w:pPr>
                  <w:r>
                    <w:rPr>
                      <w:rFonts w:ascii="Times New Roman" w:hAnsi="Times New Roman"/>
                      <w:sz w:val="15"/>
                      <w:szCs w:val="15"/>
                    </w:rPr>
                    <w:t>治理措施</w:t>
                  </w:r>
                </w:p>
              </w:tc>
              <w:tc>
                <w:tcPr>
                  <w:tcW w:w="2571" w:type="dxa"/>
                  <w:gridSpan w:val="4"/>
                  <w:vAlign w:val="center"/>
                </w:tcPr>
                <w:p>
                  <w:pPr>
                    <w:pStyle w:val="39"/>
                    <w:spacing w:before="0" w:beforeAutospacing="0" w:line="340" w:lineRule="exact"/>
                    <w:jc w:val="center"/>
                    <w:rPr>
                      <w:rFonts w:ascii="Times New Roman" w:hAnsi="Times New Roman"/>
                      <w:sz w:val="15"/>
                      <w:szCs w:val="15"/>
                    </w:rPr>
                  </w:pPr>
                  <w:r>
                    <w:rPr>
                      <w:rFonts w:ascii="Times New Roman" w:hAnsi="Times New Roman"/>
                      <w:sz w:val="15"/>
                      <w:szCs w:val="15"/>
                    </w:rPr>
                    <w:t>污染物排放</w:t>
                  </w:r>
                </w:p>
              </w:tc>
              <w:tc>
                <w:tcPr>
                  <w:tcW w:w="565" w:type="dxa"/>
                  <w:vMerge w:val="restart"/>
                  <w:vAlign w:val="center"/>
                </w:tcPr>
                <w:p>
                  <w:pPr>
                    <w:pStyle w:val="39"/>
                    <w:spacing w:before="0" w:beforeAutospacing="0" w:line="340" w:lineRule="exact"/>
                    <w:jc w:val="center"/>
                    <w:rPr>
                      <w:rFonts w:ascii="Times New Roman" w:hAnsi="Times New Roman"/>
                      <w:sz w:val="15"/>
                      <w:szCs w:val="15"/>
                    </w:rPr>
                  </w:pPr>
                  <w:r>
                    <w:rPr>
                      <w:rFonts w:ascii="Times New Roman" w:hAnsi="Times New Roman"/>
                      <w:sz w:val="15"/>
                      <w:szCs w:val="15"/>
                    </w:rPr>
                    <w:t>排放</w:t>
                  </w:r>
                </w:p>
                <w:p>
                  <w:pPr>
                    <w:pStyle w:val="39"/>
                    <w:spacing w:before="0" w:beforeAutospacing="0" w:line="340" w:lineRule="exact"/>
                    <w:jc w:val="center"/>
                    <w:rPr>
                      <w:rFonts w:ascii="Times New Roman" w:hAnsi="Times New Roman"/>
                      <w:sz w:val="15"/>
                      <w:szCs w:val="15"/>
                    </w:rPr>
                  </w:pPr>
                  <w:r>
                    <w:rPr>
                      <w:rFonts w:ascii="Times New Roman" w:hAnsi="Times New Roman"/>
                      <w:sz w:val="15"/>
                      <w:szCs w:val="15"/>
                    </w:rPr>
                    <w:t>时间</w:t>
                  </w:r>
                </w:p>
                <w:p>
                  <w:pPr>
                    <w:pStyle w:val="39"/>
                    <w:spacing w:before="0" w:beforeAutospacing="0" w:line="340" w:lineRule="exact"/>
                    <w:jc w:val="center"/>
                    <w:rPr>
                      <w:rFonts w:ascii="Times New Roman" w:hAnsi="Times New Roman"/>
                      <w:sz w:val="15"/>
                      <w:szCs w:val="15"/>
                    </w:rPr>
                  </w:pPr>
                  <w:r>
                    <w:rPr>
                      <w:rFonts w:ascii="Times New Roman" w:hAnsi="Times New Roman"/>
                      <w:sz w:val="15"/>
                      <w:szCs w:val="15"/>
                    </w:rPr>
                    <w:t>（d/a）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594" w:type="dxa"/>
                  <w:vMerge w:val="continue"/>
                  <w:vAlign w:val="center"/>
                </w:tcPr>
                <w:p>
                  <w:pPr>
                    <w:widowControl/>
                    <w:spacing w:line="340" w:lineRule="exact"/>
                    <w:jc w:val="center"/>
                    <w:rPr>
                      <w:sz w:val="15"/>
                      <w:szCs w:val="15"/>
                    </w:rPr>
                  </w:pPr>
                </w:p>
              </w:tc>
              <w:tc>
                <w:tcPr>
                  <w:tcW w:w="431" w:type="dxa"/>
                  <w:vMerge w:val="continue"/>
                  <w:vAlign w:val="center"/>
                </w:tcPr>
                <w:p>
                  <w:pPr>
                    <w:widowControl/>
                    <w:spacing w:line="340" w:lineRule="exact"/>
                    <w:jc w:val="center"/>
                    <w:rPr>
                      <w:sz w:val="15"/>
                      <w:szCs w:val="15"/>
                    </w:rPr>
                  </w:pPr>
                </w:p>
              </w:tc>
              <w:tc>
                <w:tcPr>
                  <w:tcW w:w="430" w:type="dxa"/>
                  <w:vMerge w:val="continue"/>
                  <w:vAlign w:val="center"/>
                </w:tcPr>
                <w:p>
                  <w:pPr>
                    <w:widowControl/>
                    <w:spacing w:line="340" w:lineRule="exact"/>
                    <w:jc w:val="center"/>
                    <w:rPr>
                      <w:sz w:val="15"/>
                      <w:szCs w:val="15"/>
                    </w:rPr>
                  </w:pPr>
                </w:p>
              </w:tc>
              <w:tc>
                <w:tcPr>
                  <w:tcW w:w="430" w:type="dxa"/>
                  <w:vAlign w:val="center"/>
                </w:tcPr>
                <w:p>
                  <w:pPr>
                    <w:pStyle w:val="39"/>
                    <w:spacing w:before="0" w:beforeAutospacing="0" w:line="340" w:lineRule="exact"/>
                    <w:jc w:val="center"/>
                    <w:rPr>
                      <w:rFonts w:ascii="Times New Roman" w:hAnsi="Times New Roman"/>
                      <w:sz w:val="15"/>
                      <w:szCs w:val="15"/>
                    </w:rPr>
                  </w:pPr>
                  <w:r>
                    <w:rPr>
                      <w:rFonts w:ascii="Times New Roman" w:hAnsi="Times New Roman"/>
                      <w:sz w:val="15"/>
                      <w:szCs w:val="15"/>
                    </w:rPr>
                    <w:t>核算 方法</w:t>
                  </w:r>
                </w:p>
              </w:tc>
              <w:tc>
                <w:tcPr>
                  <w:tcW w:w="594" w:type="dxa"/>
                  <w:vAlign w:val="center"/>
                </w:tcPr>
                <w:p>
                  <w:pPr>
                    <w:pStyle w:val="39"/>
                    <w:spacing w:before="0" w:beforeAutospacing="0" w:line="340" w:lineRule="exact"/>
                    <w:jc w:val="center"/>
                    <w:rPr>
                      <w:rFonts w:ascii="Times New Roman" w:hAnsi="Times New Roman"/>
                      <w:sz w:val="15"/>
                      <w:szCs w:val="15"/>
                    </w:rPr>
                  </w:pPr>
                  <w:r>
                    <w:rPr>
                      <w:rFonts w:ascii="Times New Roman" w:hAnsi="Times New Roman"/>
                      <w:sz w:val="15"/>
                      <w:szCs w:val="15"/>
                    </w:rPr>
                    <w:t>废水</w:t>
                  </w:r>
                </w:p>
                <w:p>
                  <w:pPr>
                    <w:pStyle w:val="39"/>
                    <w:spacing w:before="0" w:beforeAutospacing="0" w:line="340" w:lineRule="exact"/>
                    <w:jc w:val="center"/>
                    <w:rPr>
                      <w:rFonts w:ascii="Times New Roman" w:hAnsi="Times New Roman"/>
                      <w:sz w:val="15"/>
                      <w:szCs w:val="15"/>
                    </w:rPr>
                  </w:pPr>
                  <w:r>
                    <w:rPr>
                      <w:rFonts w:ascii="Times New Roman" w:hAnsi="Times New Roman"/>
                      <w:sz w:val="15"/>
                      <w:szCs w:val="15"/>
                    </w:rPr>
                    <w:t>产生量</w:t>
                  </w:r>
                  <w:r>
                    <w:rPr>
                      <w:rFonts w:ascii="Times New Roman" w:hAnsi="Times New Roman" w:eastAsia="Calibri"/>
                      <w:spacing w:val="-1"/>
                      <w:sz w:val="15"/>
                      <w:szCs w:val="15"/>
                    </w:rPr>
                    <w:t xml:space="preserve"> (m</w:t>
                  </w:r>
                  <w:r>
                    <w:rPr>
                      <w:rFonts w:ascii="Times New Roman" w:hAnsi="Times New Roman" w:eastAsiaTheme="minorEastAsia"/>
                      <w:spacing w:val="-1"/>
                      <w:sz w:val="15"/>
                      <w:szCs w:val="15"/>
                      <w:vertAlign w:val="superscript"/>
                    </w:rPr>
                    <w:t>3</w:t>
                  </w:r>
                  <w:r>
                    <w:rPr>
                      <w:rFonts w:ascii="Times New Roman" w:hAnsi="Times New Roman" w:eastAsia="Calibri"/>
                      <w:spacing w:val="-1"/>
                      <w:sz w:val="15"/>
                      <w:szCs w:val="15"/>
                    </w:rPr>
                    <w:t>/a)</w:t>
                  </w:r>
                </w:p>
              </w:tc>
              <w:tc>
                <w:tcPr>
                  <w:tcW w:w="697" w:type="dxa"/>
                  <w:vAlign w:val="center"/>
                </w:tcPr>
                <w:p>
                  <w:pPr>
                    <w:pStyle w:val="39"/>
                    <w:spacing w:before="0" w:beforeAutospacing="0" w:line="340" w:lineRule="exact"/>
                    <w:jc w:val="center"/>
                    <w:rPr>
                      <w:rFonts w:ascii="Times New Roman" w:hAnsi="Times New Roman"/>
                      <w:sz w:val="15"/>
                      <w:szCs w:val="15"/>
                    </w:rPr>
                  </w:pPr>
                  <w:r>
                    <w:rPr>
                      <w:rFonts w:ascii="Times New Roman" w:hAnsi="Times New Roman"/>
                      <w:sz w:val="15"/>
                      <w:szCs w:val="15"/>
                    </w:rPr>
                    <w:t>产生</w:t>
                  </w:r>
                </w:p>
                <w:p>
                  <w:pPr>
                    <w:pStyle w:val="39"/>
                    <w:spacing w:before="0" w:beforeAutospacing="0" w:line="340" w:lineRule="exact"/>
                    <w:jc w:val="center"/>
                    <w:rPr>
                      <w:rFonts w:ascii="Times New Roman" w:hAnsi="Times New Roman"/>
                      <w:sz w:val="15"/>
                      <w:szCs w:val="15"/>
                    </w:rPr>
                  </w:pPr>
                  <w:r>
                    <w:rPr>
                      <w:rFonts w:ascii="Times New Roman" w:hAnsi="Times New Roman"/>
                      <w:sz w:val="15"/>
                      <w:szCs w:val="15"/>
                    </w:rPr>
                    <w:t>浓度</w:t>
                  </w:r>
                  <w:r>
                    <w:rPr>
                      <w:rFonts w:ascii="Times New Roman" w:hAnsi="Times New Roman"/>
                      <w:spacing w:val="-1"/>
                      <w:sz w:val="15"/>
                      <w:szCs w:val="15"/>
                    </w:rPr>
                    <w:t>（mg/L）</w:t>
                  </w:r>
                </w:p>
              </w:tc>
              <w:tc>
                <w:tcPr>
                  <w:tcW w:w="583" w:type="dxa"/>
                  <w:vAlign w:val="center"/>
                </w:tcPr>
                <w:p>
                  <w:pPr>
                    <w:pStyle w:val="39"/>
                    <w:spacing w:before="0" w:beforeAutospacing="0" w:line="340" w:lineRule="exact"/>
                    <w:jc w:val="center"/>
                    <w:rPr>
                      <w:rFonts w:ascii="Times New Roman" w:hAnsi="Times New Roman"/>
                      <w:sz w:val="15"/>
                      <w:szCs w:val="15"/>
                    </w:rPr>
                  </w:pPr>
                  <w:r>
                    <w:rPr>
                      <w:rFonts w:ascii="Times New Roman" w:hAnsi="Times New Roman"/>
                      <w:sz w:val="15"/>
                      <w:szCs w:val="15"/>
                    </w:rPr>
                    <w:t>产生量</w:t>
                  </w:r>
                </w:p>
                <w:p>
                  <w:pPr>
                    <w:pStyle w:val="39"/>
                    <w:spacing w:before="0" w:beforeAutospacing="0" w:line="340" w:lineRule="exact"/>
                    <w:jc w:val="center"/>
                    <w:rPr>
                      <w:rFonts w:ascii="Times New Roman" w:hAnsi="Times New Roman"/>
                      <w:sz w:val="15"/>
                      <w:szCs w:val="15"/>
                    </w:rPr>
                  </w:pPr>
                  <w:r>
                    <w:rPr>
                      <w:rFonts w:ascii="Times New Roman" w:hAnsi="Times New Roman"/>
                      <w:spacing w:val="-1"/>
                      <w:sz w:val="15"/>
                      <w:szCs w:val="15"/>
                    </w:rPr>
                    <w:t>（t/a）</w:t>
                  </w:r>
                </w:p>
              </w:tc>
              <w:tc>
                <w:tcPr>
                  <w:tcW w:w="451" w:type="dxa"/>
                  <w:vAlign w:val="center"/>
                </w:tcPr>
                <w:p>
                  <w:pPr>
                    <w:pStyle w:val="39"/>
                    <w:spacing w:before="0" w:beforeAutospacing="0" w:line="340" w:lineRule="exact"/>
                    <w:jc w:val="center"/>
                    <w:rPr>
                      <w:rFonts w:ascii="Times New Roman" w:hAnsi="Times New Roman"/>
                      <w:sz w:val="15"/>
                      <w:szCs w:val="15"/>
                    </w:rPr>
                  </w:pPr>
                  <w:r>
                    <w:rPr>
                      <w:rFonts w:ascii="Times New Roman" w:hAnsi="Times New Roman"/>
                      <w:sz w:val="15"/>
                      <w:szCs w:val="15"/>
                    </w:rPr>
                    <w:t>工艺</w:t>
                  </w:r>
                </w:p>
              </w:tc>
              <w:tc>
                <w:tcPr>
                  <w:tcW w:w="432" w:type="dxa"/>
                  <w:vAlign w:val="center"/>
                </w:tcPr>
                <w:p>
                  <w:pPr>
                    <w:pStyle w:val="39"/>
                    <w:spacing w:before="0" w:beforeAutospacing="0" w:line="340" w:lineRule="exact"/>
                    <w:jc w:val="center"/>
                    <w:rPr>
                      <w:rFonts w:ascii="Times New Roman" w:hAnsi="Times New Roman"/>
                      <w:sz w:val="15"/>
                      <w:szCs w:val="15"/>
                    </w:rPr>
                  </w:pPr>
                  <w:r>
                    <w:rPr>
                      <w:rFonts w:ascii="Times New Roman" w:hAnsi="Times New Roman"/>
                      <w:sz w:val="15"/>
                      <w:szCs w:val="15"/>
                    </w:rPr>
                    <w:t>效率</w:t>
                  </w:r>
                </w:p>
                <w:p>
                  <w:pPr>
                    <w:pStyle w:val="39"/>
                    <w:spacing w:before="0" w:beforeAutospacing="0" w:line="340" w:lineRule="exact"/>
                    <w:jc w:val="center"/>
                    <w:rPr>
                      <w:rFonts w:ascii="Times New Roman" w:hAnsi="Times New Roman"/>
                      <w:sz w:val="15"/>
                      <w:szCs w:val="15"/>
                    </w:rPr>
                  </w:pPr>
                  <w:r>
                    <w:rPr>
                      <w:rFonts w:ascii="Times New Roman" w:hAnsi="Times New Roman" w:eastAsia="Calibri"/>
                      <w:sz w:val="15"/>
                      <w:szCs w:val="15"/>
                    </w:rPr>
                    <w:t>/%</w:t>
                  </w:r>
                </w:p>
              </w:tc>
              <w:tc>
                <w:tcPr>
                  <w:tcW w:w="573" w:type="dxa"/>
                  <w:vAlign w:val="center"/>
                </w:tcPr>
                <w:p>
                  <w:pPr>
                    <w:pStyle w:val="39"/>
                    <w:spacing w:before="0" w:beforeAutospacing="0" w:line="340" w:lineRule="exact"/>
                    <w:jc w:val="center"/>
                    <w:rPr>
                      <w:rFonts w:ascii="Times New Roman" w:hAnsi="Times New Roman"/>
                      <w:sz w:val="15"/>
                      <w:szCs w:val="15"/>
                    </w:rPr>
                  </w:pPr>
                  <w:r>
                    <w:rPr>
                      <w:rFonts w:ascii="Times New Roman" w:hAnsi="Times New Roman"/>
                      <w:sz w:val="15"/>
                      <w:szCs w:val="15"/>
                    </w:rPr>
                    <w:t>核算</w:t>
                  </w:r>
                </w:p>
                <w:p>
                  <w:pPr>
                    <w:pStyle w:val="39"/>
                    <w:spacing w:before="0" w:beforeAutospacing="0" w:line="340" w:lineRule="exact"/>
                    <w:jc w:val="center"/>
                    <w:rPr>
                      <w:rFonts w:ascii="Times New Roman" w:hAnsi="Times New Roman"/>
                      <w:sz w:val="15"/>
                      <w:szCs w:val="15"/>
                    </w:rPr>
                  </w:pPr>
                  <w:r>
                    <w:rPr>
                      <w:rFonts w:ascii="Times New Roman" w:hAnsi="Times New Roman"/>
                      <w:sz w:val="15"/>
                      <w:szCs w:val="15"/>
                    </w:rPr>
                    <w:t>方法</w:t>
                  </w:r>
                </w:p>
              </w:tc>
              <w:tc>
                <w:tcPr>
                  <w:tcW w:w="573" w:type="dxa"/>
                  <w:vAlign w:val="center"/>
                </w:tcPr>
                <w:p>
                  <w:pPr>
                    <w:pStyle w:val="39"/>
                    <w:spacing w:before="0" w:beforeAutospacing="0" w:line="340" w:lineRule="exact"/>
                    <w:jc w:val="center"/>
                    <w:rPr>
                      <w:rFonts w:ascii="Times New Roman" w:hAnsi="Times New Roman"/>
                      <w:sz w:val="15"/>
                      <w:szCs w:val="15"/>
                    </w:rPr>
                  </w:pPr>
                  <w:r>
                    <w:rPr>
                      <w:rFonts w:ascii="Times New Roman" w:hAnsi="Times New Roman"/>
                      <w:sz w:val="15"/>
                      <w:szCs w:val="15"/>
                    </w:rPr>
                    <w:t>废水</w:t>
                  </w:r>
                </w:p>
                <w:p>
                  <w:pPr>
                    <w:pStyle w:val="39"/>
                    <w:spacing w:before="0" w:beforeAutospacing="0" w:line="340" w:lineRule="exact"/>
                    <w:jc w:val="center"/>
                    <w:rPr>
                      <w:rFonts w:ascii="Times New Roman" w:hAnsi="Times New Roman"/>
                      <w:sz w:val="15"/>
                      <w:szCs w:val="15"/>
                    </w:rPr>
                  </w:pPr>
                  <w:r>
                    <w:rPr>
                      <w:rFonts w:ascii="Times New Roman" w:hAnsi="Times New Roman"/>
                      <w:sz w:val="15"/>
                      <w:szCs w:val="15"/>
                    </w:rPr>
                    <w:t>排放量</w:t>
                  </w:r>
                </w:p>
                <w:p>
                  <w:pPr>
                    <w:pStyle w:val="39"/>
                    <w:spacing w:before="0" w:beforeAutospacing="0" w:line="340" w:lineRule="exact"/>
                    <w:jc w:val="center"/>
                    <w:rPr>
                      <w:rFonts w:ascii="Times New Roman" w:hAnsi="Times New Roman"/>
                      <w:sz w:val="15"/>
                      <w:szCs w:val="15"/>
                    </w:rPr>
                  </w:pPr>
                  <w:r>
                    <w:rPr>
                      <w:rFonts w:ascii="Times New Roman" w:hAnsi="Times New Roman" w:eastAsia="Calibri"/>
                      <w:spacing w:val="-1"/>
                      <w:sz w:val="15"/>
                      <w:szCs w:val="15"/>
                    </w:rPr>
                    <w:t>(m</w:t>
                  </w:r>
                  <w:r>
                    <w:rPr>
                      <w:rFonts w:ascii="Times New Roman" w:hAnsi="Times New Roman" w:eastAsiaTheme="minorEastAsia"/>
                      <w:spacing w:val="-1"/>
                      <w:sz w:val="15"/>
                      <w:szCs w:val="15"/>
                      <w:vertAlign w:val="superscript"/>
                    </w:rPr>
                    <w:t>3</w:t>
                  </w:r>
                  <w:r>
                    <w:rPr>
                      <w:rFonts w:ascii="Times New Roman" w:hAnsi="Times New Roman" w:eastAsia="Calibri"/>
                      <w:spacing w:val="-1"/>
                      <w:sz w:val="15"/>
                      <w:szCs w:val="15"/>
                    </w:rPr>
                    <w:t>/a)</w:t>
                  </w:r>
                </w:p>
              </w:tc>
              <w:tc>
                <w:tcPr>
                  <w:tcW w:w="720" w:type="dxa"/>
                  <w:vAlign w:val="center"/>
                </w:tcPr>
                <w:p>
                  <w:pPr>
                    <w:pStyle w:val="39"/>
                    <w:spacing w:before="0" w:beforeAutospacing="0" w:line="340" w:lineRule="exact"/>
                    <w:jc w:val="center"/>
                    <w:rPr>
                      <w:rFonts w:ascii="Times New Roman" w:hAnsi="Times New Roman"/>
                      <w:sz w:val="15"/>
                      <w:szCs w:val="15"/>
                    </w:rPr>
                  </w:pPr>
                  <w:r>
                    <w:rPr>
                      <w:rFonts w:ascii="Times New Roman" w:hAnsi="Times New Roman"/>
                      <w:sz w:val="15"/>
                      <w:szCs w:val="15"/>
                    </w:rPr>
                    <w:t>排放浓度</w:t>
                  </w:r>
                </w:p>
                <w:p>
                  <w:pPr>
                    <w:pStyle w:val="39"/>
                    <w:spacing w:before="0" w:beforeAutospacing="0" w:line="340" w:lineRule="exact"/>
                    <w:jc w:val="center"/>
                    <w:rPr>
                      <w:rFonts w:ascii="Times New Roman" w:hAnsi="Times New Roman"/>
                      <w:sz w:val="15"/>
                      <w:szCs w:val="15"/>
                    </w:rPr>
                  </w:pPr>
                  <w:r>
                    <w:rPr>
                      <w:rFonts w:ascii="Times New Roman" w:hAnsi="Times New Roman"/>
                      <w:spacing w:val="-1"/>
                      <w:sz w:val="15"/>
                      <w:szCs w:val="15"/>
                    </w:rPr>
                    <w:t>（mg/L）</w:t>
                  </w:r>
                </w:p>
              </w:tc>
              <w:tc>
                <w:tcPr>
                  <w:tcW w:w="705" w:type="dxa"/>
                  <w:vAlign w:val="center"/>
                </w:tcPr>
                <w:p>
                  <w:pPr>
                    <w:pStyle w:val="39"/>
                    <w:spacing w:before="0" w:beforeAutospacing="0" w:line="340" w:lineRule="exact"/>
                    <w:jc w:val="center"/>
                    <w:rPr>
                      <w:rFonts w:ascii="Times New Roman" w:hAnsi="Times New Roman"/>
                      <w:sz w:val="15"/>
                      <w:szCs w:val="15"/>
                    </w:rPr>
                  </w:pPr>
                  <w:r>
                    <w:rPr>
                      <w:rFonts w:ascii="Times New Roman" w:hAnsi="Times New Roman"/>
                      <w:sz w:val="15"/>
                      <w:szCs w:val="15"/>
                    </w:rPr>
                    <w:t>排放量</w:t>
                  </w:r>
                </w:p>
                <w:p>
                  <w:pPr>
                    <w:pStyle w:val="39"/>
                    <w:spacing w:before="0" w:beforeAutospacing="0" w:line="340" w:lineRule="exact"/>
                    <w:jc w:val="center"/>
                    <w:rPr>
                      <w:rFonts w:ascii="Times New Roman" w:hAnsi="Times New Roman"/>
                      <w:sz w:val="15"/>
                      <w:szCs w:val="15"/>
                    </w:rPr>
                  </w:pPr>
                  <w:r>
                    <w:rPr>
                      <w:rFonts w:ascii="Times New Roman" w:hAnsi="Times New Roman"/>
                      <w:spacing w:val="-1"/>
                      <w:sz w:val="15"/>
                      <w:szCs w:val="15"/>
                    </w:rPr>
                    <w:t>（t/a）</w:t>
                  </w:r>
                </w:p>
              </w:tc>
              <w:tc>
                <w:tcPr>
                  <w:tcW w:w="565" w:type="dxa"/>
                  <w:vMerge w:val="continue"/>
                  <w:vAlign w:val="center"/>
                </w:tcPr>
                <w:p>
                  <w:pPr>
                    <w:widowControl/>
                    <w:spacing w:line="340" w:lineRule="exact"/>
                    <w:jc w:val="cente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 w:hRule="atLeast"/>
                <w:jc w:val="center"/>
              </w:trPr>
              <w:tc>
                <w:tcPr>
                  <w:tcW w:w="594" w:type="dxa"/>
                  <w:vMerge w:val="restart"/>
                  <w:vAlign w:val="center"/>
                </w:tcPr>
                <w:p>
                  <w:pPr>
                    <w:pStyle w:val="39"/>
                    <w:spacing w:before="0" w:beforeAutospacing="0" w:line="340" w:lineRule="exact"/>
                    <w:jc w:val="center"/>
                    <w:rPr>
                      <w:rFonts w:ascii="Times New Roman" w:hAnsi="Times New Roman"/>
                      <w:sz w:val="15"/>
                      <w:szCs w:val="15"/>
                    </w:rPr>
                  </w:pPr>
                  <w:r>
                    <w:rPr>
                      <w:rFonts w:ascii="Times New Roman" w:hAnsi="Times New Roman"/>
                      <w:sz w:val="15"/>
                      <w:szCs w:val="15"/>
                    </w:rPr>
                    <w:t>生活区</w:t>
                  </w:r>
                </w:p>
              </w:tc>
              <w:tc>
                <w:tcPr>
                  <w:tcW w:w="431" w:type="dxa"/>
                  <w:vMerge w:val="restart"/>
                  <w:vAlign w:val="center"/>
                </w:tcPr>
                <w:p>
                  <w:pPr>
                    <w:pStyle w:val="39"/>
                    <w:spacing w:before="0" w:beforeAutospacing="0" w:line="340" w:lineRule="exact"/>
                    <w:jc w:val="center"/>
                    <w:rPr>
                      <w:rFonts w:ascii="Times New Roman" w:hAnsi="Times New Roman"/>
                      <w:sz w:val="15"/>
                      <w:szCs w:val="15"/>
                    </w:rPr>
                  </w:pPr>
                  <w:r>
                    <w:rPr>
                      <w:rFonts w:ascii="Times New Roman" w:hAnsi="Times New Roman"/>
                      <w:sz w:val="15"/>
                      <w:szCs w:val="15"/>
                    </w:rPr>
                    <w:t>生活 污水</w:t>
                  </w:r>
                </w:p>
              </w:tc>
              <w:tc>
                <w:tcPr>
                  <w:tcW w:w="430" w:type="dxa"/>
                  <w:vAlign w:val="center"/>
                </w:tcPr>
                <w:p>
                  <w:pPr>
                    <w:pStyle w:val="39"/>
                    <w:spacing w:before="0" w:beforeAutospacing="0" w:line="340" w:lineRule="exact"/>
                    <w:jc w:val="center"/>
                    <w:rPr>
                      <w:rFonts w:ascii="Times New Roman" w:hAnsi="Times New Roman"/>
                      <w:sz w:val="15"/>
                      <w:szCs w:val="15"/>
                    </w:rPr>
                  </w:pPr>
                  <w:r>
                    <w:rPr>
                      <w:rFonts w:ascii="Times New Roman" w:hAnsi="Times New Roman" w:eastAsia="Calibri"/>
                      <w:sz w:val="15"/>
                      <w:szCs w:val="15"/>
                    </w:rPr>
                    <w:t>COD</w:t>
                  </w:r>
                </w:p>
              </w:tc>
              <w:tc>
                <w:tcPr>
                  <w:tcW w:w="430" w:type="dxa"/>
                  <w:vMerge w:val="restart"/>
                  <w:vAlign w:val="center"/>
                </w:tcPr>
                <w:p>
                  <w:pPr>
                    <w:pStyle w:val="39"/>
                    <w:spacing w:before="0" w:beforeAutospacing="0" w:line="340" w:lineRule="exact"/>
                    <w:jc w:val="center"/>
                    <w:rPr>
                      <w:rFonts w:ascii="Times New Roman" w:hAnsi="Times New Roman"/>
                      <w:sz w:val="15"/>
                      <w:szCs w:val="15"/>
                    </w:rPr>
                  </w:pPr>
                  <w:r>
                    <w:rPr>
                      <w:rFonts w:ascii="Times New Roman" w:hAnsi="Times New Roman"/>
                      <w:sz w:val="15"/>
                      <w:szCs w:val="15"/>
                    </w:rPr>
                    <w:t>系数 法</w:t>
                  </w:r>
                </w:p>
              </w:tc>
              <w:tc>
                <w:tcPr>
                  <w:tcW w:w="594" w:type="dxa"/>
                  <w:vMerge w:val="restart"/>
                  <w:vAlign w:val="center"/>
                </w:tcPr>
                <w:p>
                  <w:pPr>
                    <w:pStyle w:val="39"/>
                    <w:spacing w:before="0" w:beforeAutospacing="0" w:line="340" w:lineRule="exact"/>
                    <w:jc w:val="center"/>
                    <w:rPr>
                      <w:rFonts w:ascii="Times New Roman" w:hAnsi="Times New Roman" w:eastAsiaTheme="minorEastAsia"/>
                      <w:sz w:val="15"/>
                      <w:szCs w:val="15"/>
                    </w:rPr>
                  </w:pPr>
                  <w:r>
                    <w:rPr>
                      <w:rFonts w:hint="eastAsia" w:ascii="Times New Roman" w:hAnsi="Times New Roman" w:eastAsiaTheme="minorEastAsia"/>
                      <w:sz w:val="15"/>
                      <w:szCs w:val="15"/>
                    </w:rPr>
                    <w:t>81</w:t>
                  </w:r>
                </w:p>
              </w:tc>
              <w:tc>
                <w:tcPr>
                  <w:tcW w:w="697" w:type="dxa"/>
                  <w:vAlign w:val="center"/>
                </w:tcPr>
                <w:p>
                  <w:pPr>
                    <w:pStyle w:val="39"/>
                    <w:spacing w:before="0" w:beforeAutospacing="0" w:line="340" w:lineRule="exact"/>
                    <w:jc w:val="center"/>
                    <w:rPr>
                      <w:rFonts w:ascii="Times New Roman" w:hAnsi="Times New Roman" w:eastAsiaTheme="minorEastAsia"/>
                      <w:sz w:val="15"/>
                      <w:szCs w:val="15"/>
                    </w:rPr>
                  </w:pPr>
                  <w:r>
                    <w:rPr>
                      <w:rFonts w:hint="eastAsia" w:ascii="Times New Roman" w:hAnsi="Times New Roman" w:eastAsiaTheme="minorEastAsia"/>
                      <w:spacing w:val="1"/>
                      <w:sz w:val="15"/>
                      <w:szCs w:val="15"/>
                    </w:rPr>
                    <w:t>350</w:t>
                  </w:r>
                </w:p>
              </w:tc>
              <w:tc>
                <w:tcPr>
                  <w:tcW w:w="583" w:type="dxa"/>
                  <w:vAlign w:val="center"/>
                </w:tcPr>
                <w:p>
                  <w:pPr>
                    <w:pStyle w:val="39"/>
                    <w:spacing w:before="0" w:beforeAutospacing="0" w:line="340" w:lineRule="exact"/>
                    <w:jc w:val="center"/>
                    <w:rPr>
                      <w:rFonts w:ascii="Times New Roman" w:hAnsi="Times New Roman" w:eastAsiaTheme="minorEastAsia"/>
                      <w:sz w:val="15"/>
                      <w:szCs w:val="15"/>
                    </w:rPr>
                  </w:pPr>
                  <w:r>
                    <w:rPr>
                      <w:rFonts w:ascii="Times New Roman" w:hAnsi="Times New Roman" w:eastAsiaTheme="minorEastAsia"/>
                      <w:sz w:val="15"/>
                      <w:szCs w:val="15"/>
                    </w:rPr>
                    <w:t>0.</w:t>
                  </w:r>
                  <w:r>
                    <w:rPr>
                      <w:rFonts w:hint="eastAsia" w:ascii="Times New Roman" w:hAnsi="Times New Roman" w:eastAsiaTheme="minorEastAsia"/>
                      <w:sz w:val="15"/>
                      <w:szCs w:val="15"/>
                    </w:rPr>
                    <w:t>028</w:t>
                  </w:r>
                </w:p>
              </w:tc>
              <w:tc>
                <w:tcPr>
                  <w:tcW w:w="451" w:type="dxa"/>
                  <w:vMerge w:val="restart"/>
                  <w:vAlign w:val="center"/>
                </w:tcPr>
                <w:p>
                  <w:pPr>
                    <w:pStyle w:val="39"/>
                    <w:spacing w:before="0" w:beforeAutospacing="0" w:line="340" w:lineRule="exact"/>
                    <w:jc w:val="center"/>
                    <w:rPr>
                      <w:rFonts w:ascii="Times New Roman" w:hAnsi="Times New Roman"/>
                      <w:sz w:val="15"/>
                      <w:szCs w:val="15"/>
                    </w:rPr>
                  </w:pPr>
                  <w:r>
                    <w:rPr>
                      <w:rFonts w:hint="eastAsia" w:ascii="Times New Roman" w:hAnsi="Times New Roman"/>
                      <w:sz w:val="15"/>
                      <w:szCs w:val="15"/>
                    </w:rPr>
                    <w:t>/</w:t>
                  </w:r>
                </w:p>
              </w:tc>
              <w:tc>
                <w:tcPr>
                  <w:tcW w:w="432" w:type="dxa"/>
                  <w:vAlign w:val="center"/>
                </w:tcPr>
                <w:p>
                  <w:pPr>
                    <w:pStyle w:val="39"/>
                    <w:spacing w:before="0" w:beforeAutospacing="0" w:line="340" w:lineRule="exact"/>
                    <w:jc w:val="center"/>
                    <w:rPr>
                      <w:rFonts w:ascii="Times New Roman" w:hAnsi="Times New Roman" w:eastAsiaTheme="minorEastAsia"/>
                      <w:sz w:val="15"/>
                      <w:szCs w:val="15"/>
                    </w:rPr>
                  </w:pPr>
                  <w:r>
                    <w:rPr>
                      <w:rFonts w:hint="eastAsia" w:ascii="Times New Roman" w:hAnsi="Times New Roman" w:eastAsiaTheme="minorEastAsia"/>
                      <w:sz w:val="15"/>
                      <w:szCs w:val="15"/>
                    </w:rPr>
                    <w:t>/</w:t>
                  </w:r>
                </w:p>
              </w:tc>
              <w:tc>
                <w:tcPr>
                  <w:tcW w:w="573" w:type="dxa"/>
                  <w:vMerge w:val="restart"/>
                  <w:vAlign w:val="center"/>
                </w:tcPr>
                <w:p>
                  <w:pPr>
                    <w:pStyle w:val="39"/>
                    <w:spacing w:before="0" w:beforeAutospacing="0" w:line="340" w:lineRule="exact"/>
                    <w:jc w:val="center"/>
                    <w:rPr>
                      <w:rFonts w:ascii="Times New Roman" w:hAnsi="Times New Roman"/>
                      <w:sz w:val="15"/>
                      <w:szCs w:val="15"/>
                    </w:rPr>
                  </w:pPr>
                  <w:r>
                    <w:rPr>
                      <w:rFonts w:ascii="Times New Roman" w:hAnsi="Times New Roman"/>
                      <w:sz w:val="15"/>
                      <w:szCs w:val="15"/>
                    </w:rPr>
                    <w:t>系数法</w:t>
                  </w:r>
                </w:p>
              </w:tc>
              <w:tc>
                <w:tcPr>
                  <w:tcW w:w="573" w:type="dxa"/>
                  <w:vMerge w:val="restart"/>
                  <w:vAlign w:val="center"/>
                </w:tcPr>
                <w:p>
                  <w:pPr>
                    <w:pStyle w:val="39"/>
                    <w:spacing w:before="0" w:beforeAutospacing="0" w:line="340" w:lineRule="exact"/>
                    <w:jc w:val="center"/>
                    <w:rPr>
                      <w:rFonts w:ascii="Times New Roman" w:hAnsi="Times New Roman" w:eastAsiaTheme="minorEastAsia"/>
                      <w:sz w:val="15"/>
                      <w:szCs w:val="15"/>
                    </w:rPr>
                  </w:pPr>
                  <w:r>
                    <w:rPr>
                      <w:rFonts w:hint="eastAsia" w:ascii="Times New Roman" w:hAnsi="Times New Roman" w:eastAsiaTheme="minorEastAsia"/>
                      <w:sz w:val="15"/>
                      <w:szCs w:val="15"/>
                    </w:rPr>
                    <w:t>81</w:t>
                  </w:r>
                </w:p>
              </w:tc>
              <w:tc>
                <w:tcPr>
                  <w:tcW w:w="720" w:type="dxa"/>
                  <w:vAlign w:val="center"/>
                </w:tcPr>
                <w:p>
                  <w:pPr>
                    <w:pStyle w:val="39"/>
                    <w:spacing w:before="0" w:beforeAutospacing="0" w:line="340" w:lineRule="exact"/>
                    <w:jc w:val="center"/>
                    <w:rPr>
                      <w:rFonts w:ascii="Times New Roman" w:hAnsi="Times New Roman" w:eastAsiaTheme="minorEastAsia"/>
                      <w:sz w:val="15"/>
                      <w:szCs w:val="15"/>
                    </w:rPr>
                  </w:pPr>
                  <w:r>
                    <w:rPr>
                      <w:rFonts w:hint="eastAsia" w:ascii="Times New Roman" w:hAnsi="Times New Roman" w:eastAsiaTheme="minorEastAsia"/>
                      <w:spacing w:val="1"/>
                      <w:sz w:val="15"/>
                      <w:szCs w:val="15"/>
                    </w:rPr>
                    <w:t>250</w:t>
                  </w:r>
                </w:p>
              </w:tc>
              <w:tc>
                <w:tcPr>
                  <w:tcW w:w="705" w:type="dxa"/>
                  <w:vAlign w:val="center"/>
                </w:tcPr>
                <w:p>
                  <w:pPr>
                    <w:pStyle w:val="39"/>
                    <w:spacing w:before="0" w:beforeAutospacing="0" w:line="340" w:lineRule="exact"/>
                    <w:jc w:val="center"/>
                    <w:rPr>
                      <w:rFonts w:ascii="Times New Roman" w:hAnsi="Times New Roman" w:eastAsiaTheme="minorEastAsia"/>
                      <w:sz w:val="15"/>
                      <w:szCs w:val="15"/>
                    </w:rPr>
                  </w:pPr>
                  <w:r>
                    <w:rPr>
                      <w:rFonts w:ascii="Times New Roman" w:hAnsi="Times New Roman" w:eastAsiaTheme="minorEastAsia"/>
                      <w:sz w:val="15"/>
                      <w:szCs w:val="15"/>
                    </w:rPr>
                    <w:t>0.</w:t>
                  </w:r>
                  <w:r>
                    <w:rPr>
                      <w:rFonts w:hint="eastAsia" w:ascii="Times New Roman" w:hAnsi="Times New Roman" w:eastAsiaTheme="minorEastAsia"/>
                      <w:sz w:val="15"/>
                      <w:szCs w:val="15"/>
                    </w:rPr>
                    <w:t>02</w:t>
                  </w:r>
                </w:p>
              </w:tc>
              <w:tc>
                <w:tcPr>
                  <w:tcW w:w="565" w:type="dxa"/>
                  <w:vMerge w:val="restart"/>
                  <w:vAlign w:val="center"/>
                </w:tcPr>
                <w:p>
                  <w:pPr>
                    <w:pStyle w:val="39"/>
                    <w:spacing w:before="0" w:beforeAutospacing="0" w:line="340" w:lineRule="exact"/>
                    <w:jc w:val="center"/>
                    <w:rPr>
                      <w:rFonts w:ascii="Times New Roman" w:hAnsi="Times New Roman" w:eastAsiaTheme="minorEastAsia"/>
                      <w:sz w:val="15"/>
                      <w:szCs w:val="15"/>
                    </w:rPr>
                  </w:pPr>
                  <w:r>
                    <w:rPr>
                      <w:rFonts w:hint="eastAsia" w:ascii="Times New Roman" w:hAnsi="Times New Roman" w:eastAsiaTheme="minorEastAsia"/>
                      <w:sz w:val="15"/>
                      <w:szCs w:val="15"/>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 w:hRule="atLeast"/>
                <w:jc w:val="center"/>
              </w:trPr>
              <w:tc>
                <w:tcPr>
                  <w:tcW w:w="594" w:type="dxa"/>
                  <w:vMerge w:val="continue"/>
                  <w:vAlign w:val="center"/>
                </w:tcPr>
                <w:p>
                  <w:pPr>
                    <w:widowControl/>
                    <w:spacing w:line="340" w:lineRule="exact"/>
                    <w:jc w:val="center"/>
                    <w:rPr>
                      <w:sz w:val="15"/>
                      <w:szCs w:val="15"/>
                    </w:rPr>
                  </w:pPr>
                </w:p>
              </w:tc>
              <w:tc>
                <w:tcPr>
                  <w:tcW w:w="431" w:type="dxa"/>
                  <w:vMerge w:val="continue"/>
                  <w:vAlign w:val="center"/>
                </w:tcPr>
                <w:p>
                  <w:pPr>
                    <w:widowControl/>
                    <w:spacing w:line="340" w:lineRule="exact"/>
                    <w:jc w:val="center"/>
                    <w:rPr>
                      <w:sz w:val="15"/>
                      <w:szCs w:val="15"/>
                    </w:rPr>
                  </w:pPr>
                </w:p>
              </w:tc>
              <w:tc>
                <w:tcPr>
                  <w:tcW w:w="430" w:type="dxa"/>
                  <w:vAlign w:val="center"/>
                </w:tcPr>
                <w:p>
                  <w:pPr>
                    <w:pStyle w:val="39"/>
                    <w:spacing w:before="0" w:beforeAutospacing="0" w:line="340" w:lineRule="exact"/>
                    <w:jc w:val="center"/>
                    <w:rPr>
                      <w:rFonts w:ascii="Times New Roman" w:hAnsi="Times New Roman"/>
                      <w:sz w:val="15"/>
                      <w:szCs w:val="15"/>
                    </w:rPr>
                  </w:pPr>
                  <w:r>
                    <w:rPr>
                      <w:rFonts w:ascii="Times New Roman" w:hAnsi="Times New Roman"/>
                      <w:sz w:val="15"/>
                      <w:szCs w:val="15"/>
                    </w:rPr>
                    <w:t>氨氮</w:t>
                  </w:r>
                </w:p>
              </w:tc>
              <w:tc>
                <w:tcPr>
                  <w:tcW w:w="430" w:type="dxa"/>
                  <w:vMerge w:val="continue"/>
                  <w:vAlign w:val="center"/>
                </w:tcPr>
                <w:p>
                  <w:pPr>
                    <w:widowControl/>
                    <w:spacing w:line="340" w:lineRule="exact"/>
                    <w:jc w:val="center"/>
                    <w:rPr>
                      <w:sz w:val="15"/>
                      <w:szCs w:val="15"/>
                    </w:rPr>
                  </w:pPr>
                </w:p>
              </w:tc>
              <w:tc>
                <w:tcPr>
                  <w:tcW w:w="594" w:type="dxa"/>
                  <w:vMerge w:val="continue"/>
                  <w:vAlign w:val="center"/>
                </w:tcPr>
                <w:p>
                  <w:pPr>
                    <w:widowControl/>
                    <w:spacing w:line="340" w:lineRule="exact"/>
                    <w:jc w:val="center"/>
                    <w:rPr>
                      <w:sz w:val="15"/>
                      <w:szCs w:val="15"/>
                    </w:rPr>
                  </w:pPr>
                </w:p>
              </w:tc>
              <w:tc>
                <w:tcPr>
                  <w:tcW w:w="697" w:type="dxa"/>
                  <w:vAlign w:val="center"/>
                </w:tcPr>
                <w:p>
                  <w:pPr>
                    <w:pStyle w:val="39"/>
                    <w:spacing w:before="0" w:beforeAutospacing="0" w:line="340" w:lineRule="exact"/>
                    <w:jc w:val="center"/>
                    <w:rPr>
                      <w:rFonts w:ascii="Times New Roman" w:hAnsi="Times New Roman"/>
                      <w:sz w:val="15"/>
                      <w:szCs w:val="15"/>
                    </w:rPr>
                  </w:pPr>
                  <w:r>
                    <w:rPr>
                      <w:rFonts w:ascii="Times New Roman" w:hAnsi="Times New Roman" w:eastAsia="Calibri"/>
                      <w:spacing w:val="1"/>
                      <w:sz w:val="15"/>
                      <w:szCs w:val="15"/>
                    </w:rPr>
                    <w:t>35</w:t>
                  </w:r>
                </w:p>
              </w:tc>
              <w:tc>
                <w:tcPr>
                  <w:tcW w:w="583" w:type="dxa"/>
                  <w:vAlign w:val="center"/>
                </w:tcPr>
                <w:p>
                  <w:pPr>
                    <w:pStyle w:val="39"/>
                    <w:spacing w:before="0" w:beforeAutospacing="0" w:line="340" w:lineRule="exact"/>
                    <w:jc w:val="center"/>
                    <w:rPr>
                      <w:rFonts w:ascii="Times New Roman" w:hAnsi="Times New Roman" w:eastAsiaTheme="minorEastAsia"/>
                      <w:sz w:val="15"/>
                      <w:szCs w:val="15"/>
                    </w:rPr>
                  </w:pPr>
                  <w:r>
                    <w:rPr>
                      <w:rFonts w:ascii="Times New Roman" w:hAnsi="Times New Roman" w:eastAsiaTheme="minorEastAsia"/>
                      <w:sz w:val="15"/>
                      <w:szCs w:val="15"/>
                    </w:rPr>
                    <w:t>0.0</w:t>
                  </w:r>
                  <w:r>
                    <w:rPr>
                      <w:rFonts w:hint="eastAsia" w:ascii="Times New Roman" w:hAnsi="Times New Roman" w:eastAsiaTheme="minorEastAsia"/>
                      <w:sz w:val="15"/>
                      <w:szCs w:val="15"/>
                    </w:rPr>
                    <w:t>028</w:t>
                  </w:r>
                </w:p>
              </w:tc>
              <w:tc>
                <w:tcPr>
                  <w:tcW w:w="451" w:type="dxa"/>
                  <w:vMerge w:val="continue"/>
                  <w:vAlign w:val="center"/>
                </w:tcPr>
                <w:p>
                  <w:pPr>
                    <w:widowControl/>
                    <w:spacing w:line="340" w:lineRule="exact"/>
                    <w:jc w:val="center"/>
                    <w:rPr>
                      <w:sz w:val="15"/>
                      <w:szCs w:val="15"/>
                    </w:rPr>
                  </w:pPr>
                </w:p>
              </w:tc>
              <w:tc>
                <w:tcPr>
                  <w:tcW w:w="432" w:type="dxa"/>
                  <w:vAlign w:val="center"/>
                </w:tcPr>
                <w:p>
                  <w:pPr>
                    <w:pStyle w:val="39"/>
                    <w:spacing w:before="0" w:beforeAutospacing="0" w:line="340" w:lineRule="exact"/>
                    <w:jc w:val="center"/>
                    <w:rPr>
                      <w:rFonts w:ascii="Times New Roman" w:hAnsi="Times New Roman" w:eastAsiaTheme="minorEastAsia"/>
                      <w:sz w:val="15"/>
                      <w:szCs w:val="15"/>
                    </w:rPr>
                  </w:pPr>
                  <w:r>
                    <w:rPr>
                      <w:rFonts w:hint="eastAsia" w:ascii="Times New Roman" w:hAnsi="Times New Roman" w:eastAsiaTheme="minorEastAsia"/>
                      <w:sz w:val="15"/>
                      <w:szCs w:val="15"/>
                    </w:rPr>
                    <w:t>/</w:t>
                  </w:r>
                </w:p>
              </w:tc>
              <w:tc>
                <w:tcPr>
                  <w:tcW w:w="573" w:type="dxa"/>
                  <w:vMerge w:val="continue"/>
                  <w:vAlign w:val="center"/>
                </w:tcPr>
                <w:p>
                  <w:pPr>
                    <w:widowControl/>
                    <w:spacing w:line="340" w:lineRule="exact"/>
                    <w:jc w:val="center"/>
                    <w:rPr>
                      <w:sz w:val="15"/>
                      <w:szCs w:val="15"/>
                    </w:rPr>
                  </w:pPr>
                </w:p>
              </w:tc>
              <w:tc>
                <w:tcPr>
                  <w:tcW w:w="573" w:type="dxa"/>
                  <w:vMerge w:val="continue"/>
                  <w:vAlign w:val="center"/>
                </w:tcPr>
                <w:p>
                  <w:pPr>
                    <w:widowControl/>
                    <w:spacing w:line="340" w:lineRule="exact"/>
                    <w:jc w:val="center"/>
                    <w:rPr>
                      <w:sz w:val="15"/>
                      <w:szCs w:val="15"/>
                    </w:rPr>
                  </w:pPr>
                </w:p>
              </w:tc>
              <w:tc>
                <w:tcPr>
                  <w:tcW w:w="720" w:type="dxa"/>
                  <w:vAlign w:val="center"/>
                </w:tcPr>
                <w:p>
                  <w:pPr>
                    <w:pStyle w:val="39"/>
                    <w:spacing w:before="0" w:beforeAutospacing="0" w:line="340" w:lineRule="exact"/>
                    <w:jc w:val="center"/>
                    <w:rPr>
                      <w:rFonts w:ascii="Times New Roman" w:hAnsi="Times New Roman" w:eastAsiaTheme="minorEastAsia"/>
                      <w:sz w:val="15"/>
                      <w:szCs w:val="15"/>
                    </w:rPr>
                  </w:pPr>
                  <w:r>
                    <w:rPr>
                      <w:rFonts w:hint="eastAsia" w:ascii="Times New Roman" w:hAnsi="Times New Roman" w:eastAsiaTheme="minorEastAsia"/>
                      <w:sz w:val="15"/>
                      <w:szCs w:val="15"/>
                    </w:rPr>
                    <w:t>30</w:t>
                  </w:r>
                </w:p>
              </w:tc>
              <w:tc>
                <w:tcPr>
                  <w:tcW w:w="705" w:type="dxa"/>
                  <w:vAlign w:val="center"/>
                </w:tcPr>
                <w:p>
                  <w:pPr>
                    <w:pStyle w:val="39"/>
                    <w:spacing w:before="0" w:beforeAutospacing="0" w:line="340" w:lineRule="exact"/>
                    <w:jc w:val="center"/>
                    <w:rPr>
                      <w:rFonts w:ascii="Times New Roman" w:hAnsi="Times New Roman" w:eastAsiaTheme="minorEastAsia"/>
                      <w:sz w:val="15"/>
                      <w:szCs w:val="15"/>
                    </w:rPr>
                  </w:pPr>
                  <w:r>
                    <w:rPr>
                      <w:rFonts w:ascii="Times New Roman" w:hAnsi="Times New Roman" w:eastAsiaTheme="minorEastAsia"/>
                      <w:sz w:val="15"/>
                      <w:szCs w:val="15"/>
                    </w:rPr>
                    <w:t>0.0</w:t>
                  </w:r>
                  <w:r>
                    <w:rPr>
                      <w:rFonts w:hint="eastAsia" w:ascii="Times New Roman" w:hAnsi="Times New Roman" w:eastAsiaTheme="minorEastAsia"/>
                      <w:sz w:val="15"/>
                      <w:szCs w:val="15"/>
                    </w:rPr>
                    <w:t>024</w:t>
                  </w:r>
                </w:p>
              </w:tc>
              <w:tc>
                <w:tcPr>
                  <w:tcW w:w="565" w:type="dxa"/>
                  <w:vMerge w:val="continue"/>
                  <w:vAlign w:val="center"/>
                </w:tcPr>
                <w:p>
                  <w:pPr>
                    <w:widowControl/>
                    <w:spacing w:line="340" w:lineRule="exact"/>
                    <w:jc w:val="cente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6" w:hRule="atLeast"/>
                <w:jc w:val="center"/>
              </w:trPr>
              <w:tc>
                <w:tcPr>
                  <w:tcW w:w="594" w:type="dxa"/>
                  <w:vAlign w:val="center"/>
                </w:tcPr>
                <w:p>
                  <w:pPr>
                    <w:widowControl/>
                    <w:spacing w:line="340" w:lineRule="exact"/>
                    <w:jc w:val="center"/>
                    <w:rPr>
                      <w:sz w:val="15"/>
                      <w:szCs w:val="15"/>
                    </w:rPr>
                  </w:pPr>
                  <w:r>
                    <w:rPr>
                      <w:sz w:val="15"/>
                      <w:szCs w:val="15"/>
                    </w:rPr>
                    <w:t>仓储区、装卸区</w:t>
                  </w:r>
                </w:p>
              </w:tc>
              <w:tc>
                <w:tcPr>
                  <w:tcW w:w="431" w:type="dxa"/>
                  <w:vAlign w:val="center"/>
                </w:tcPr>
                <w:p>
                  <w:pPr>
                    <w:widowControl/>
                    <w:spacing w:line="340" w:lineRule="exact"/>
                    <w:jc w:val="center"/>
                    <w:rPr>
                      <w:sz w:val="15"/>
                      <w:szCs w:val="15"/>
                    </w:rPr>
                  </w:pPr>
                  <w:r>
                    <w:rPr>
                      <w:sz w:val="15"/>
                      <w:szCs w:val="15"/>
                    </w:rPr>
                    <w:t>含煤废水</w:t>
                  </w:r>
                </w:p>
              </w:tc>
              <w:tc>
                <w:tcPr>
                  <w:tcW w:w="430" w:type="dxa"/>
                  <w:vAlign w:val="center"/>
                </w:tcPr>
                <w:p>
                  <w:pPr>
                    <w:pStyle w:val="39"/>
                    <w:spacing w:before="0" w:beforeAutospacing="0" w:line="340" w:lineRule="exact"/>
                    <w:jc w:val="center"/>
                    <w:rPr>
                      <w:rFonts w:ascii="Times New Roman" w:hAnsi="Times New Roman"/>
                      <w:sz w:val="15"/>
                      <w:szCs w:val="15"/>
                    </w:rPr>
                  </w:pPr>
                  <w:r>
                    <w:rPr>
                      <w:rFonts w:hint="eastAsia" w:ascii="Times New Roman" w:hAnsi="Times New Roman"/>
                      <w:sz w:val="15"/>
                      <w:szCs w:val="15"/>
                    </w:rPr>
                    <w:t>煤粉颗粒</w:t>
                  </w:r>
                </w:p>
              </w:tc>
              <w:tc>
                <w:tcPr>
                  <w:tcW w:w="430" w:type="dxa"/>
                  <w:vAlign w:val="center"/>
                </w:tcPr>
                <w:p>
                  <w:pPr>
                    <w:widowControl/>
                    <w:spacing w:line="340" w:lineRule="exact"/>
                    <w:jc w:val="center"/>
                    <w:rPr>
                      <w:sz w:val="15"/>
                      <w:szCs w:val="15"/>
                    </w:rPr>
                  </w:pPr>
                  <w:r>
                    <w:rPr>
                      <w:sz w:val="15"/>
                      <w:szCs w:val="15"/>
                    </w:rPr>
                    <w:t>系数 法</w:t>
                  </w:r>
                </w:p>
              </w:tc>
              <w:tc>
                <w:tcPr>
                  <w:tcW w:w="594" w:type="dxa"/>
                  <w:vAlign w:val="center"/>
                </w:tcPr>
                <w:p>
                  <w:pPr>
                    <w:widowControl/>
                    <w:spacing w:line="340" w:lineRule="exact"/>
                    <w:jc w:val="center"/>
                    <w:rPr>
                      <w:sz w:val="15"/>
                      <w:szCs w:val="15"/>
                    </w:rPr>
                  </w:pPr>
                  <w:r>
                    <w:rPr>
                      <w:rFonts w:hint="eastAsia"/>
                      <w:sz w:val="15"/>
                      <w:szCs w:val="15"/>
                    </w:rPr>
                    <w:t>1146</w:t>
                  </w:r>
                </w:p>
              </w:tc>
              <w:tc>
                <w:tcPr>
                  <w:tcW w:w="697" w:type="dxa"/>
                  <w:vAlign w:val="center"/>
                </w:tcPr>
                <w:p>
                  <w:pPr>
                    <w:pStyle w:val="39"/>
                    <w:spacing w:before="0" w:beforeAutospacing="0" w:line="340" w:lineRule="exact"/>
                    <w:jc w:val="center"/>
                    <w:rPr>
                      <w:rFonts w:ascii="Times New Roman" w:hAnsi="Times New Roman" w:eastAsiaTheme="minorEastAsia"/>
                      <w:spacing w:val="1"/>
                      <w:sz w:val="15"/>
                      <w:szCs w:val="15"/>
                    </w:rPr>
                  </w:pPr>
                  <w:r>
                    <w:rPr>
                      <w:rFonts w:hint="eastAsia" w:ascii="Times New Roman" w:hAnsi="Times New Roman" w:eastAsiaTheme="minorEastAsia"/>
                      <w:spacing w:val="1"/>
                      <w:sz w:val="15"/>
                      <w:szCs w:val="15"/>
                    </w:rPr>
                    <w:t>/</w:t>
                  </w:r>
                </w:p>
              </w:tc>
              <w:tc>
                <w:tcPr>
                  <w:tcW w:w="583" w:type="dxa"/>
                  <w:vAlign w:val="center"/>
                </w:tcPr>
                <w:p>
                  <w:pPr>
                    <w:pStyle w:val="39"/>
                    <w:spacing w:before="0" w:beforeAutospacing="0" w:line="340" w:lineRule="exact"/>
                    <w:jc w:val="center"/>
                    <w:rPr>
                      <w:rFonts w:ascii="Times New Roman" w:hAnsi="Times New Roman" w:eastAsiaTheme="minorEastAsia"/>
                      <w:sz w:val="15"/>
                      <w:szCs w:val="15"/>
                    </w:rPr>
                  </w:pPr>
                  <w:r>
                    <w:rPr>
                      <w:rFonts w:hint="eastAsia" w:ascii="Times New Roman" w:hAnsi="Times New Roman" w:eastAsiaTheme="minorEastAsia"/>
                      <w:sz w:val="15"/>
                      <w:szCs w:val="15"/>
                    </w:rPr>
                    <w:t>/</w:t>
                  </w:r>
                </w:p>
              </w:tc>
              <w:tc>
                <w:tcPr>
                  <w:tcW w:w="451" w:type="dxa"/>
                  <w:vAlign w:val="center"/>
                </w:tcPr>
                <w:p>
                  <w:pPr>
                    <w:widowControl/>
                    <w:spacing w:line="340" w:lineRule="exact"/>
                    <w:jc w:val="center"/>
                    <w:rPr>
                      <w:sz w:val="15"/>
                      <w:szCs w:val="15"/>
                    </w:rPr>
                  </w:pPr>
                  <w:r>
                    <w:rPr>
                      <w:sz w:val="15"/>
                      <w:szCs w:val="15"/>
                    </w:rPr>
                    <w:t>絮凝沉淀</w:t>
                  </w:r>
                </w:p>
              </w:tc>
              <w:tc>
                <w:tcPr>
                  <w:tcW w:w="432" w:type="dxa"/>
                  <w:vAlign w:val="center"/>
                </w:tcPr>
                <w:p>
                  <w:pPr>
                    <w:pStyle w:val="39"/>
                    <w:spacing w:before="0" w:beforeAutospacing="0" w:line="340" w:lineRule="exact"/>
                    <w:jc w:val="center"/>
                    <w:rPr>
                      <w:rFonts w:ascii="Times New Roman" w:hAnsi="Times New Roman" w:eastAsiaTheme="minorEastAsia"/>
                      <w:sz w:val="15"/>
                      <w:szCs w:val="15"/>
                    </w:rPr>
                  </w:pPr>
                  <w:r>
                    <w:rPr>
                      <w:rFonts w:hint="eastAsia" w:ascii="Times New Roman" w:hAnsi="Times New Roman" w:eastAsiaTheme="minorEastAsia"/>
                      <w:sz w:val="15"/>
                      <w:szCs w:val="15"/>
                    </w:rPr>
                    <w:t>/</w:t>
                  </w:r>
                </w:p>
              </w:tc>
              <w:tc>
                <w:tcPr>
                  <w:tcW w:w="573" w:type="dxa"/>
                  <w:vAlign w:val="center"/>
                </w:tcPr>
                <w:p>
                  <w:pPr>
                    <w:widowControl/>
                    <w:spacing w:line="340" w:lineRule="exact"/>
                    <w:jc w:val="center"/>
                    <w:rPr>
                      <w:sz w:val="15"/>
                      <w:szCs w:val="15"/>
                    </w:rPr>
                  </w:pPr>
                  <w:r>
                    <w:rPr>
                      <w:rFonts w:hint="eastAsia"/>
                      <w:sz w:val="15"/>
                      <w:szCs w:val="15"/>
                    </w:rPr>
                    <w:t>/</w:t>
                  </w:r>
                </w:p>
              </w:tc>
              <w:tc>
                <w:tcPr>
                  <w:tcW w:w="573" w:type="dxa"/>
                  <w:vAlign w:val="center"/>
                </w:tcPr>
                <w:p>
                  <w:pPr>
                    <w:pStyle w:val="39"/>
                    <w:spacing w:before="0" w:beforeAutospacing="0" w:line="340" w:lineRule="exact"/>
                    <w:jc w:val="center"/>
                    <w:rPr>
                      <w:rFonts w:ascii="Times New Roman" w:hAnsi="Times New Roman" w:eastAsiaTheme="minorEastAsia"/>
                      <w:sz w:val="15"/>
                      <w:szCs w:val="15"/>
                    </w:rPr>
                  </w:pPr>
                  <w:r>
                    <w:rPr>
                      <w:rFonts w:hint="eastAsia" w:ascii="Times New Roman" w:hAnsi="Times New Roman" w:eastAsiaTheme="minorEastAsia"/>
                      <w:sz w:val="15"/>
                      <w:szCs w:val="15"/>
                    </w:rPr>
                    <w:t>/</w:t>
                  </w:r>
                </w:p>
              </w:tc>
              <w:tc>
                <w:tcPr>
                  <w:tcW w:w="720" w:type="dxa"/>
                  <w:vAlign w:val="center"/>
                </w:tcPr>
                <w:p>
                  <w:pPr>
                    <w:widowControl/>
                    <w:spacing w:line="340" w:lineRule="exact"/>
                    <w:jc w:val="center"/>
                    <w:rPr>
                      <w:sz w:val="15"/>
                      <w:szCs w:val="15"/>
                    </w:rPr>
                  </w:pPr>
                  <w:r>
                    <w:rPr>
                      <w:rFonts w:hint="eastAsia"/>
                      <w:sz w:val="15"/>
                      <w:szCs w:val="15"/>
                    </w:rPr>
                    <w:t>/</w:t>
                  </w:r>
                </w:p>
              </w:tc>
              <w:tc>
                <w:tcPr>
                  <w:tcW w:w="705" w:type="dxa"/>
                  <w:vAlign w:val="center"/>
                </w:tcPr>
                <w:p>
                  <w:pPr>
                    <w:pStyle w:val="39"/>
                    <w:spacing w:before="0" w:beforeAutospacing="0" w:line="340" w:lineRule="exact"/>
                    <w:jc w:val="center"/>
                    <w:rPr>
                      <w:rFonts w:ascii="Times New Roman" w:hAnsi="Times New Roman" w:eastAsiaTheme="minorEastAsia"/>
                      <w:sz w:val="15"/>
                      <w:szCs w:val="15"/>
                    </w:rPr>
                  </w:pPr>
                  <w:r>
                    <w:rPr>
                      <w:rFonts w:hint="eastAsia" w:ascii="Times New Roman" w:hAnsi="Times New Roman" w:eastAsiaTheme="minorEastAsia"/>
                      <w:sz w:val="15"/>
                      <w:szCs w:val="15"/>
                    </w:rPr>
                    <w:t>/</w:t>
                  </w:r>
                </w:p>
              </w:tc>
              <w:tc>
                <w:tcPr>
                  <w:tcW w:w="565" w:type="dxa"/>
                  <w:vAlign w:val="center"/>
                </w:tcPr>
                <w:p>
                  <w:pPr>
                    <w:widowControl/>
                    <w:spacing w:line="340" w:lineRule="exact"/>
                    <w:jc w:val="center"/>
                    <w:rPr>
                      <w:sz w:val="15"/>
                      <w:szCs w:val="15"/>
                    </w:rPr>
                  </w:pPr>
                  <w:r>
                    <w:rPr>
                      <w:rFonts w:hint="eastAsia"/>
                      <w:sz w:val="15"/>
                      <w:szCs w:val="15"/>
                    </w:rPr>
                    <w:t>/</w:t>
                  </w:r>
                </w:p>
              </w:tc>
            </w:tr>
          </w:tbl>
          <w:p>
            <w:pPr>
              <w:pStyle w:val="15"/>
              <w:spacing w:after="0" w:line="400" w:lineRule="exact"/>
              <w:jc w:val="center"/>
              <w:rPr>
                <w:rFonts w:eastAsia="黑体"/>
                <w:sz w:val="18"/>
                <w:szCs w:val="18"/>
              </w:rPr>
            </w:pPr>
            <w:r>
              <w:rPr>
                <w:rFonts w:eastAsia="黑体"/>
                <w:bCs/>
                <w:sz w:val="18"/>
                <w:szCs w:val="18"/>
              </w:rPr>
              <w:t>表</w:t>
            </w:r>
            <w:r>
              <w:rPr>
                <w:rFonts w:hint="eastAsia" w:eastAsia="黑体"/>
                <w:bCs/>
                <w:sz w:val="18"/>
                <w:szCs w:val="18"/>
              </w:rPr>
              <w:t>4-4</w:t>
            </w:r>
            <w:r>
              <w:rPr>
                <w:rFonts w:eastAsia="黑体"/>
                <w:bCs/>
                <w:sz w:val="18"/>
                <w:szCs w:val="18"/>
              </w:rPr>
              <w:tab/>
            </w:r>
            <w:r>
              <w:rPr>
                <w:rFonts w:eastAsia="黑体"/>
                <w:bCs/>
                <w:sz w:val="18"/>
                <w:szCs w:val="18"/>
              </w:rPr>
              <w:t>废水类别、污染物及污染治理设施信息表</w:t>
            </w:r>
          </w:p>
          <w:tbl>
            <w:tblPr>
              <w:tblStyle w:val="2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5"/>
              <w:gridCol w:w="616"/>
              <w:gridCol w:w="703"/>
              <w:gridCol w:w="1026"/>
              <w:gridCol w:w="742"/>
              <w:gridCol w:w="573"/>
              <w:gridCol w:w="564"/>
              <w:gridCol w:w="489"/>
              <w:gridCol w:w="624"/>
              <w:gridCol w:w="561"/>
              <w:gridCol w:w="914"/>
              <w:gridCol w:w="6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45" w:type="dxa"/>
                  <w:vMerge w:val="restart"/>
                  <w:vAlign w:val="center"/>
                </w:tcPr>
                <w:p>
                  <w:pPr>
                    <w:pStyle w:val="39"/>
                    <w:spacing w:before="0" w:beforeAutospacing="0" w:line="360" w:lineRule="exact"/>
                    <w:jc w:val="center"/>
                    <w:rPr>
                      <w:rFonts w:ascii="Times New Roman" w:hAnsi="Times New Roman"/>
                      <w:sz w:val="15"/>
                      <w:szCs w:val="15"/>
                    </w:rPr>
                  </w:pPr>
                  <w:r>
                    <w:rPr>
                      <w:rFonts w:ascii="Times New Roman" w:hAnsi="Times New Roman"/>
                      <w:sz w:val="15"/>
                      <w:szCs w:val="15"/>
                    </w:rPr>
                    <w:t>序号</w:t>
                  </w:r>
                </w:p>
              </w:tc>
              <w:tc>
                <w:tcPr>
                  <w:tcW w:w="616" w:type="dxa"/>
                  <w:vMerge w:val="restart"/>
                  <w:vAlign w:val="center"/>
                </w:tcPr>
                <w:p>
                  <w:pPr>
                    <w:pStyle w:val="39"/>
                    <w:spacing w:before="0" w:beforeAutospacing="0" w:line="360" w:lineRule="exact"/>
                    <w:jc w:val="center"/>
                    <w:rPr>
                      <w:rFonts w:ascii="Times New Roman" w:hAnsi="Times New Roman"/>
                      <w:sz w:val="15"/>
                      <w:szCs w:val="15"/>
                    </w:rPr>
                  </w:pPr>
                  <w:r>
                    <w:rPr>
                      <w:rFonts w:ascii="Times New Roman" w:hAnsi="Times New Roman"/>
                      <w:sz w:val="15"/>
                      <w:szCs w:val="15"/>
                    </w:rPr>
                    <w:t>废水</w:t>
                  </w:r>
                </w:p>
                <w:p>
                  <w:pPr>
                    <w:pStyle w:val="39"/>
                    <w:spacing w:before="0" w:beforeAutospacing="0" w:line="360" w:lineRule="exact"/>
                    <w:jc w:val="center"/>
                    <w:rPr>
                      <w:rFonts w:ascii="Times New Roman" w:hAnsi="Times New Roman"/>
                      <w:sz w:val="15"/>
                      <w:szCs w:val="15"/>
                    </w:rPr>
                  </w:pPr>
                  <w:r>
                    <w:rPr>
                      <w:rFonts w:ascii="Times New Roman" w:hAnsi="Times New Roman"/>
                      <w:sz w:val="15"/>
                      <w:szCs w:val="15"/>
                    </w:rPr>
                    <w:t>类别</w:t>
                  </w:r>
                </w:p>
              </w:tc>
              <w:tc>
                <w:tcPr>
                  <w:tcW w:w="703" w:type="dxa"/>
                  <w:vMerge w:val="restart"/>
                  <w:vAlign w:val="center"/>
                </w:tcPr>
                <w:p>
                  <w:pPr>
                    <w:pStyle w:val="39"/>
                    <w:spacing w:before="0" w:beforeAutospacing="0" w:line="360" w:lineRule="exact"/>
                    <w:jc w:val="center"/>
                    <w:rPr>
                      <w:rFonts w:ascii="Times New Roman" w:hAnsi="Times New Roman"/>
                      <w:sz w:val="15"/>
                      <w:szCs w:val="15"/>
                    </w:rPr>
                  </w:pPr>
                  <w:r>
                    <w:rPr>
                      <w:rFonts w:ascii="Times New Roman" w:hAnsi="Times New Roman"/>
                      <w:sz w:val="15"/>
                      <w:szCs w:val="15"/>
                    </w:rPr>
                    <w:t>污染物</w:t>
                  </w:r>
                </w:p>
                <w:p>
                  <w:pPr>
                    <w:pStyle w:val="39"/>
                    <w:spacing w:before="0" w:beforeAutospacing="0" w:line="360" w:lineRule="exact"/>
                    <w:jc w:val="center"/>
                    <w:rPr>
                      <w:rFonts w:ascii="Times New Roman" w:hAnsi="Times New Roman"/>
                      <w:sz w:val="15"/>
                      <w:szCs w:val="15"/>
                    </w:rPr>
                  </w:pPr>
                  <w:r>
                    <w:rPr>
                      <w:rFonts w:ascii="Times New Roman" w:hAnsi="Times New Roman"/>
                      <w:sz w:val="15"/>
                      <w:szCs w:val="15"/>
                    </w:rPr>
                    <w:t>种类</w:t>
                  </w:r>
                </w:p>
              </w:tc>
              <w:tc>
                <w:tcPr>
                  <w:tcW w:w="1026" w:type="dxa"/>
                  <w:vMerge w:val="restart"/>
                  <w:vAlign w:val="center"/>
                </w:tcPr>
                <w:p>
                  <w:pPr>
                    <w:pStyle w:val="39"/>
                    <w:spacing w:before="0" w:beforeAutospacing="0" w:line="360" w:lineRule="exact"/>
                    <w:jc w:val="center"/>
                    <w:rPr>
                      <w:rFonts w:ascii="Times New Roman" w:hAnsi="Times New Roman"/>
                      <w:sz w:val="15"/>
                      <w:szCs w:val="15"/>
                    </w:rPr>
                  </w:pPr>
                  <w:r>
                    <w:rPr>
                      <w:rFonts w:ascii="Times New Roman" w:hAnsi="Times New Roman"/>
                      <w:sz w:val="15"/>
                      <w:szCs w:val="15"/>
                    </w:rPr>
                    <w:t>排放去向</w:t>
                  </w:r>
                </w:p>
              </w:tc>
              <w:tc>
                <w:tcPr>
                  <w:tcW w:w="742" w:type="dxa"/>
                  <w:vMerge w:val="restart"/>
                  <w:vAlign w:val="center"/>
                </w:tcPr>
                <w:p>
                  <w:pPr>
                    <w:pStyle w:val="39"/>
                    <w:spacing w:before="0" w:beforeAutospacing="0" w:line="360" w:lineRule="exact"/>
                    <w:jc w:val="center"/>
                    <w:rPr>
                      <w:rFonts w:ascii="Times New Roman" w:hAnsi="Times New Roman"/>
                      <w:sz w:val="15"/>
                      <w:szCs w:val="15"/>
                    </w:rPr>
                  </w:pPr>
                  <w:r>
                    <w:rPr>
                      <w:rFonts w:ascii="Times New Roman" w:hAnsi="Times New Roman"/>
                      <w:sz w:val="15"/>
                      <w:szCs w:val="15"/>
                    </w:rPr>
                    <w:t>排放</w:t>
                  </w:r>
                </w:p>
                <w:p>
                  <w:pPr>
                    <w:pStyle w:val="39"/>
                    <w:spacing w:before="0" w:beforeAutospacing="0" w:line="360" w:lineRule="exact"/>
                    <w:jc w:val="center"/>
                    <w:rPr>
                      <w:rFonts w:ascii="Times New Roman" w:hAnsi="Times New Roman"/>
                      <w:sz w:val="15"/>
                      <w:szCs w:val="15"/>
                    </w:rPr>
                  </w:pPr>
                  <w:r>
                    <w:rPr>
                      <w:rFonts w:ascii="Times New Roman" w:hAnsi="Times New Roman"/>
                      <w:sz w:val="15"/>
                      <w:szCs w:val="15"/>
                    </w:rPr>
                    <w:t>规律</w:t>
                  </w:r>
                </w:p>
              </w:tc>
              <w:tc>
                <w:tcPr>
                  <w:tcW w:w="2250" w:type="dxa"/>
                  <w:gridSpan w:val="4"/>
                  <w:vAlign w:val="center"/>
                </w:tcPr>
                <w:p>
                  <w:pPr>
                    <w:pStyle w:val="39"/>
                    <w:spacing w:before="0" w:beforeAutospacing="0" w:line="360" w:lineRule="exact"/>
                    <w:jc w:val="center"/>
                    <w:rPr>
                      <w:rFonts w:ascii="Times New Roman" w:hAnsi="Times New Roman"/>
                      <w:sz w:val="15"/>
                      <w:szCs w:val="15"/>
                    </w:rPr>
                  </w:pPr>
                  <w:r>
                    <w:rPr>
                      <w:rFonts w:ascii="Times New Roman" w:hAnsi="Times New Roman"/>
                      <w:sz w:val="15"/>
                      <w:szCs w:val="15"/>
                    </w:rPr>
                    <w:t>污染治理设施</w:t>
                  </w:r>
                </w:p>
              </w:tc>
              <w:tc>
                <w:tcPr>
                  <w:tcW w:w="561" w:type="dxa"/>
                  <w:vMerge w:val="restart"/>
                  <w:vAlign w:val="center"/>
                </w:tcPr>
                <w:p>
                  <w:pPr>
                    <w:pStyle w:val="39"/>
                    <w:spacing w:before="0" w:beforeAutospacing="0" w:line="360" w:lineRule="exact"/>
                    <w:jc w:val="center"/>
                    <w:rPr>
                      <w:rFonts w:ascii="Times New Roman" w:hAnsi="Times New Roman"/>
                      <w:sz w:val="15"/>
                      <w:szCs w:val="15"/>
                    </w:rPr>
                  </w:pPr>
                  <w:r>
                    <w:rPr>
                      <w:rFonts w:ascii="Times New Roman" w:hAnsi="Times New Roman"/>
                      <w:sz w:val="15"/>
                      <w:szCs w:val="15"/>
                    </w:rPr>
                    <w:t>排放口编号</w:t>
                  </w:r>
                </w:p>
              </w:tc>
              <w:tc>
                <w:tcPr>
                  <w:tcW w:w="914" w:type="dxa"/>
                  <w:vMerge w:val="restart"/>
                  <w:vAlign w:val="center"/>
                </w:tcPr>
                <w:p>
                  <w:pPr>
                    <w:pStyle w:val="39"/>
                    <w:spacing w:before="0" w:beforeAutospacing="0" w:line="360" w:lineRule="exact"/>
                    <w:jc w:val="center"/>
                    <w:rPr>
                      <w:rFonts w:ascii="Times New Roman" w:hAnsi="Times New Roman"/>
                      <w:sz w:val="15"/>
                      <w:szCs w:val="15"/>
                    </w:rPr>
                  </w:pPr>
                  <w:r>
                    <w:rPr>
                      <w:rFonts w:ascii="Times New Roman" w:hAnsi="Times New Roman"/>
                      <w:sz w:val="15"/>
                      <w:szCs w:val="15"/>
                    </w:rPr>
                    <w:t>排放口设置</w:t>
                  </w:r>
                </w:p>
                <w:p>
                  <w:pPr>
                    <w:pStyle w:val="39"/>
                    <w:spacing w:before="0" w:beforeAutospacing="0" w:line="360" w:lineRule="exact"/>
                    <w:jc w:val="center"/>
                    <w:rPr>
                      <w:rFonts w:ascii="Times New Roman" w:hAnsi="Times New Roman"/>
                      <w:sz w:val="15"/>
                      <w:szCs w:val="15"/>
                    </w:rPr>
                  </w:pPr>
                  <w:r>
                    <w:rPr>
                      <w:rFonts w:ascii="Times New Roman" w:hAnsi="Times New Roman"/>
                      <w:sz w:val="15"/>
                      <w:szCs w:val="15"/>
                    </w:rPr>
                    <w:t>是否符合要求</w:t>
                  </w:r>
                </w:p>
              </w:tc>
              <w:tc>
                <w:tcPr>
                  <w:tcW w:w="618" w:type="dxa"/>
                  <w:vMerge w:val="restart"/>
                  <w:vAlign w:val="center"/>
                </w:tcPr>
                <w:p>
                  <w:pPr>
                    <w:pStyle w:val="39"/>
                    <w:spacing w:before="0" w:beforeAutospacing="0" w:line="360" w:lineRule="exact"/>
                    <w:jc w:val="center"/>
                    <w:rPr>
                      <w:rFonts w:ascii="Times New Roman" w:hAnsi="Times New Roman"/>
                      <w:sz w:val="15"/>
                      <w:szCs w:val="15"/>
                    </w:rPr>
                  </w:pPr>
                  <w:r>
                    <w:rPr>
                      <w:rFonts w:ascii="Times New Roman" w:hAnsi="Times New Roman"/>
                      <w:sz w:val="15"/>
                      <w:szCs w:val="15"/>
                    </w:rPr>
                    <w:t>排放口</w:t>
                  </w:r>
                </w:p>
                <w:p>
                  <w:pPr>
                    <w:pStyle w:val="39"/>
                    <w:spacing w:before="0" w:beforeAutospacing="0" w:line="360" w:lineRule="exact"/>
                    <w:jc w:val="center"/>
                    <w:rPr>
                      <w:rFonts w:ascii="Times New Roman" w:hAnsi="Times New Roman"/>
                      <w:sz w:val="15"/>
                      <w:szCs w:val="15"/>
                    </w:rPr>
                  </w:pPr>
                  <w:r>
                    <w:rPr>
                      <w:rFonts w:ascii="Times New Roman" w:hAnsi="Times New Roman"/>
                      <w:sz w:val="15"/>
                      <w:szCs w:val="15"/>
                    </w:rPr>
                    <w:t>类型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 w:hRule="atLeast"/>
                <w:jc w:val="center"/>
              </w:trPr>
              <w:tc>
                <w:tcPr>
                  <w:tcW w:w="445" w:type="dxa"/>
                  <w:vMerge w:val="continue"/>
                  <w:vAlign w:val="center"/>
                </w:tcPr>
                <w:p>
                  <w:pPr>
                    <w:widowControl/>
                    <w:spacing w:line="320" w:lineRule="exact"/>
                    <w:jc w:val="center"/>
                    <w:rPr>
                      <w:sz w:val="15"/>
                      <w:szCs w:val="15"/>
                    </w:rPr>
                  </w:pPr>
                </w:p>
              </w:tc>
              <w:tc>
                <w:tcPr>
                  <w:tcW w:w="616" w:type="dxa"/>
                  <w:vMerge w:val="continue"/>
                  <w:vAlign w:val="center"/>
                </w:tcPr>
                <w:p>
                  <w:pPr>
                    <w:widowControl/>
                    <w:spacing w:line="320" w:lineRule="exact"/>
                    <w:jc w:val="center"/>
                    <w:rPr>
                      <w:sz w:val="15"/>
                      <w:szCs w:val="15"/>
                    </w:rPr>
                  </w:pPr>
                </w:p>
              </w:tc>
              <w:tc>
                <w:tcPr>
                  <w:tcW w:w="703" w:type="dxa"/>
                  <w:vMerge w:val="continue"/>
                  <w:vAlign w:val="center"/>
                </w:tcPr>
                <w:p>
                  <w:pPr>
                    <w:widowControl/>
                    <w:spacing w:line="320" w:lineRule="exact"/>
                    <w:jc w:val="center"/>
                    <w:rPr>
                      <w:sz w:val="15"/>
                      <w:szCs w:val="15"/>
                    </w:rPr>
                  </w:pPr>
                </w:p>
              </w:tc>
              <w:tc>
                <w:tcPr>
                  <w:tcW w:w="1026" w:type="dxa"/>
                  <w:vMerge w:val="continue"/>
                  <w:vAlign w:val="center"/>
                </w:tcPr>
                <w:p>
                  <w:pPr>
                    <w:widowControl/>
                    <w:spacing w:line="320" w:lineRule="exact"/>
                    <w:jc w:val="center"/>
                    <w:rPr>
                      <w:sz w:val="15"/>
                      <w:szCs w:val="15"/>
                    </w:rPr>
                  </w:pPr>
                </w:p>
              </w:tc>
              <w:tc>
                <w:tcPr>
                  <w:tcW w:w="742" w:type="dxa"/>
                  <w:vMerge w:val="continue"/>
                  <w:vAlign w:val="center"/>
                </w:tcPr>
                <w:p>
                  <w:pPr>
                    <w:widowControl/>
                    <w:spacing w:line="320" w:lineRule="exact"/>
                    <w:jc w:val="center"/>
                    <w:rPr>
                      <w:sz w:val="15"/>
                      <w:szCs w:val="15"/>
                    </w:rPr>
                  </w:pPr>
                </w:p>
              </w:tc>
              <w:tc>
                <w:tcPr>
                  <w:tcW w:w="573" w:type="dxa"/>
                  <w:vAlign w:val="center"/>
                </w:tcPr>
                <w:p>
                  <w:pPr>
                    <w:pStyle w:val="39"/>
                    <w:spacing w:before="0" w:beforeAutospacing="0" w:line="320" w:lineRule="exact"/>
                    <w:jc w:val="center"/>
                    <w:rPr>
                      <w:rFonts w:ascii="Times New Roman" w:hAnsi="Times New Roman"/>
                      <w:sz w:val="15"/>
                      <w:szCs w:val="15"/>
                    </w:rPr>
                  </w:pPr>
                  <w:r>
                    <w:rPr>
                      <w:rFonts w:ascii="Times New Roman" w:hAnsi="Times New Roman"/>
                      <w:sz w:val="15"/>
                      <w:szCs w:val="15"/>
                    </w:rPr>
                    <w:t>编号</w:t>
                  </w:r>
                </w:p>
              </w:tc>
              <w:tc>
                <w:tcPr>
                  <w:tcW w:w="564" w:type="dxa"/>
                  <w:vAlign w:val="center"/>
                </w:tcPr>
                <w:p>
                  <w:pPr>
                    <w:pStyle w:val="39"/>
                    <w:spacing w:before="0" w:beforeAutospacing="0" w:line="320" w:lineRule="exact"/>
                    <w:jc w:val="center"/>
                    <w:rPr>
                      <w:rFonts w:ascii="Times New Roman" w:hAnsi="Times New Roman"/>
                      <w:sz w:val="15"/>
                      <w:szCs w:val="15"/>
                    </w:rPr>
                  </w:pPr>
                  <w:r>
                    <w:rPr>
                      <w:rFonts w:ascii="Times New Roman" w:hAnsi="Times New Roman"/>
                      <w:sz w:val="15"/>
                      <w:szCs w:val="15"/>
                    </w:rPr>
                    <w:t>名称</w:t>
                  </w:r>
                </w:p>
              </w:tc>
              <w:tc>
                <w:tcPr>
                  <w:tcW w:w="489" w:type="dxa"/>
                  <w:tcBorders>
                    <w:right w:val="single" w:color="auto" w:sz="4" w:space="0"/>
                  </w:tcBorders>
                  <w:vAlign w:val="center"/>
                </w:tcPr>
                <w:p>
                  <w:pPr>
                    <w:pStyle w:val="39"/>
                    <w:spacing w:before="0" w:beforeAutospacing="0" w:line="320" w:lineRule="exact"/>
                    <w:jc w:val="center"/>
                    <w:rPr>
                      <w:rFonts w:ascii="Times New Roman" w:hAnsi="Times New Roman"/>
                      <w:sz w:val="15"/>
                      <w:szCs w:val="15"/>
                    </w:rPr>
                  </w:pPr>
                  <w:r>
                    <w:rPr>
                      <w:rFonts w:ascii="Times New Roman" w:hAnsi="Times New Roman"/>
                      <w:sz w:val="15"/>
                      <w:szCs w:val="15"/>
                    </w:rPr>
                    <w:t>工艺</w:t>
                  </w:r>
                </w:p>
              </w:tc>
              <w:tc>
                <w:tcPr>
                  <w:tcW w:w="624" w:type="dxa"/>
                  <w:tcBorders>
                    <w:left w:val="single" w:color="auto" w:sz="4" w:space="0"/>
                  </w:tcBorders>
                  <w:vAlign w:val="center"/>
                </w:tcPr>
                <w:p>
                  <w:pPr>
                    <w:pStyle w:val="39"/>
                    <w:spacing w:before="0" w:beforeAutospacing="0" w:line="320" w:lineRule="exact"/>
                    <w:jc w:val="center"/>
                    <w:rPr>
                      <w:rFonts w:ascii="Times New Roman" w:hAnsi="Times New Roman"/>
                      <w:sz w:val="15"/>
                      <w:szCs w:val="15"/>
                    </w:rPr>
                  </w:pPr>
                  <w:r>
                    <w:rPr>
                      <w:rFonts w:ascii="Times New Roman" w:hAnsi="Times New Roman"/>
                      <w:sz w:val="15"/>
                      <w:szCs w:val="15"/>
                    </w:rPr>
                    <w:t>是否为可行技术</w:t>
                  </w:r>
                </w:p>
              </w:tc>
              <w:tc>
                <w:tcPr>
                  <w:tcW w:w="561" w:type="dxa"/>
                  <w:vMerge w:val="continue"/>
                  <w:vAlign w:val="center"/>
                </w:tcPr>
                <w:p>
                  <w:pPr>
                    <w:pStyle w:val="39"/>
                    <w:rPr>
                      <w:sz w:val="15"/>
                      <w:szCs w:val="15"/>
                    </w:rPr>
                  </w:pPr>
                </w:p>
              </w:tc>
              <w:tc>
                <w:tcPr>
                  <w:tcW w:w="914" w:type="dxa"/>
                  <w:vMerge w:val="continue"/>
                  <w:vAlign w:val="center"/>
                </w:tcPr>
                <w:p>
                  <w:pPr>
                    <w:widowControl/>
                    <w:spacing w:line="320" w:lineRule="exact"/>
                    <w:jc w:val="center"/>
                    <w:rPr>
                      <w:sz w:val="15"/>
                      <w:szCs w:val="15"/>
                    </w:rPr>
                  </w:pPr>
                </w:p>
              </w:tc>
              <w:tc>
                <w:tcPr>
                  <w:tcW w:w="618" w:type="dxa"/>
                  <w:vMerge w:val="continue"/>
                  <w:vAlign w:val="center"/>
                </w:tcPr>
                <w:p>
                  <w:pPr>
                    <w:widowControl/>
                    <w:spacing w:line="320" w:lineRule="exact"/>
                    <w:jc w:val="cente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 w:hRule="atLeast"/>
                <w:jc w:val="center"/>
              </w:trPr>
              <w:tc>
                <w:tcPr>
                  <w:tcW w:w="445" w:type="dxa"/>
                  <w:vAlign w:val="center"/>
                </w:tcPr>
                <w:p>
                  <w:pPr>
                    <w:pStyle w:val="39"/>
                    <w:spacing w:before="0" w:beforeAutospacing="0" w:line="320" w:lineRule="exact"/>
                    <w:jc w:val="center"/>
                    <w:rPr>
                      <w:rFonts w:ascii="Times New Roman" w:hAnsi="Times New Roman"/>
                      <w:sz w:val="15"/>
                      <w:szCs w:val="15"/>
                    </w:rPr>
                  </w:pPr>
                  <w:r>
                    <w:rPr>
                      <w:rFonts w:ascii="Times New Roman" w:hAnsi="Times New Roman" w:eastAsia="Calibri"/>
                      <w:sz w:val="15"/>
                      <w:szCs w:val="15"/>
                    </w:rPr>
                    <w:t>1</w:t>
                  </w:r>
                </w:p>
              </w:tc>
              <w:tc>
                <w:tcPr>
                  <w:tcW w:w="616" w:type="dxa"/>
                  <w:vAlign w:val="center"/>
                </w:tcPr>
                <w:p>
                  <w:pPr>
                    <w:pStyle w:val="39"/>
                    <w:spacing w:before="0" w:beforeAutospacing="0" w:line="280" w:lineRule="exact"/>
                    <w:jc w:val="center"/>
                    <w:rPr>
                      <w:rFonts w:ascii="Times New Roman" w:hAnsi="Times New Roman"/>
                      <w:sz w:val="15"/>
                      <w:szCs w:val="15"/>
                    </w:rPr>
                  </w:pPr>
                  <w:r>
                    <w:rPr>
                      <w:rFonts w:ascii="Times New Roman" w:hAnsi="Times New Roman"/>
                      <w:sz w:val="15"/>
                      <w:szCs w:val="15"/>
                    </w:rPr>
                    <w:t>生活</w:t>
                  </w:r>
                </w:p>
                <w:p>
                  <w:pPr>
                    <w:pStyle w:val="39"/>
                    <w:spacing w:before="0" w:beforeAutospacing="0" w:line="280" w:lineRule="exact"/>
                    <w:jc w:val="center"/>
                    <w:rPr>
                      <w:rFonts w:ascii="Times New Roman" w:hAnsi="Times New Roman"/>
                      <w:sz w:val="15"/>
                      <w:szCs w:val="15"/>
                    </w:rPr>
                  </w:pPr>
                  <w:r>
                    <w:rPr>
                      <w:rFonts w:ascii="Times New Roman" w:hAnsi="Times New Roman"/>
                      <w:sz w:val="15"/>
                      <w:szCs w:val="15"/>
                    </w:rPr>
                    <w:t>污水</w:t>
                  </w:r>
                </w:p>
              </w:tc>
              <w:tc>
                <w:tcPr>
                  <w:tcW w:w="703" w:type="dxa"/>
                  <w:vAlign w:val="center"/>
                </w:tcPr>
                <w:p>
                  <w:pPr>
                    <w:pStyle w:val="39"/>
                    <w:spacing w:before="0" w:beforeAutospacing="0" w:line="280" w:lineRule="exact"/>
                    <w:jc w:val="center"/>
                    <w:rPr>
                      <w:rFonts w:ascii="Times New Roman" w:hAnsi="Times New Roman"/>
                      <w:sz w:val="15"/>
                      <w:szCs w:val="15"/>
                    </w:rPr>
                  </w:pPr>
                  <w:r>
                    <w:rPr>
                      <w:rFonts w:ascii="Times New Roman" w:hAnsi="Times New Roman"/>
                      <w:spacing w:val="-1"/>
                      <w:sz w:val="15"/>
                      <w:szCs w:val="15"/>
                    </w:rPr>
                    <w:t>COD、</w:t>
                  </w:r>
                </w:p>
                <w:p>
                  <w:pPr>
                    <w:pStyle w:val="39"/>
                    <w:spacing w:before="0" w:beforeAutospacing="0" w:line="280" w:lineRule="exact"/>
                    <w:jc w:val="center"/>
                    <w:rPr>
                      <w:rFonts w:ascii="Times New Roman" w:hAnsi="Times New Roman"/>
                      <w:sz w:val="15"/>
                      <w:szCs w:val="15"/>
                    </w:rPr>
                  </w:pPr>
                  <w:r>
                    <w:rPr>
                      <w:rFonts w:ascii="Times New Roman" w:hAnsi="Times New Roman" w:eastAsia="Calibri"/>
                      <w:spacing w:val="-1"/>
                      <w:position w:val="1"/>
                      <w:sz w:val="15"/>
                      <w:szCs w:val="15"/>
                    </w:rPr>
                    <w:t>NH</w:t>
                  </w:r>
                  <w:r>
                    <w:rPr>
                      <w:rFonts w:ascii="Times New Roman" w:hAnsi="Times New Roman" w:eastAsia="Calibri"/>
                      <w:spacing w:val="-1"/>
                      <w:sz w:val="15"/>
                      <w:szCs w:val="15"/>
                      <w:vertAlign w:val="subscript"/>
                    </w:rPr>
                    <w:t>3</w:t>
                  </w:r>
                  <w:r>
                    <w:rPr>
                      <w:rFonts w:ascii="Times New Roman" w:hAnsi="Times New Roman" w:eastAsia="Calibri"/>
                      <w:spacing w:val="-1"/>
                      <w:position w:val="1"/>
                      <w:sz w:val="15"/>
                      <w:szCs w:val="15"/>
                    </w:rPr>
                    <w:t>-N</w:t>
                  </w:r>
                  <w:r>
                    <w:rPr>
                      <w:rFonts w:hint="eastAsia" w:ascii="宋体" w:hAnsi="宋体" w:cs="宋体"/>
                      <w:spacing w:val="-1"/>
                      <w:position w:val="1"/>
                      <w:sz w:val="15"/>
                      <w:szCs w:val="15"/>
                    </w:rPr>
                    <w:t>等</w:t>
                  </w:r>
                </w:p>
              </w:tc>
              <w:tc>
                <w:tcPr>
                  <w:tcW w:w="1026" w:type="dxa"/>
                  <w:vAlign w:val="center"/>
                </w:tcPr>
                <w:p>
                  <w:pPr>
                    <w:pStyle w:val="39"/>
                    <w:spacing w:before="0" w:beforeAutospacing="0" w:line="280" w:lineRule="exact"/>
                    <w:jc w:val="center"/>
                    <w:rPr>
                      <w:rFonts w:ascii="Times New Roman" w:hAnsi="Times New Roman"/>
                      <w:sz w:val="15"/>
                      <w:szCs w:val="15"/>
                    </w:rPr>
                  </w:pPr>
                  <w:r>
                    <w:rPr>
                      <w:rFonts w:hint="eastAsia" w:ascii="Times New Roman" w:hAnsi="Times New Roman"/>
                      <w:sz w:val="15"/>
                      <w:szCs w:val="15"/>
                    </w:rPr>
                    <w:t>东岳</w:t>
                  </w:r>
                  <w:r>
                    <w:rPr>
                      <w:rFonts w:ascii="Times New Roman" w:hAnsi="Times New Roman"/>
                      <w:sz w:val="15"/>
                      <w:szCs w:val="15"/>
                    </w:rPr>
                    <w:t>镇场镇污水处理厂</w:t>
                  </w:r>
                </w:p>
              </w:tc>
              <w:tc>
                <w:tcPr>
                  <w:tcW w:w="742" w:type="dxa"/>
                  <w:vAlign w:val="center"/>
                </w:tcPr>
                <w:p>
                  <w:pPr>
                    <w:pStyle w:val="39"/>
                    <w:spacing w:before="0" w:beforeAutospacing="0" w:line="280" w:lineRule="exact"/>
                    <w:jc w:val="center"/>
                    <w:rPr>
                      <w:rFonts w:ascii="Times New Roman" w:hAnsi="Times New Roman"/>
                      <w:sz w:val="15"/>
                      <w:szCs w:val="15"/>
                    </w:rPr>
                  </w:pPr>
                  <w:r>
                    <w:rPr>
                      <w:rFonts w:ascii="Times New Roman" w:hAnsi="Times New Roman"/>
                      <w:sz w:val="15"/>
                      <w:szCs w:val="15"/>
                    </w:rPr>
                    <w:t>间歇</w:t>
                  </w:r>
                </w:p>
                <w:p>
                  <w:pPr>
                    <w:pStyle w:val="39"/>
                    <w:spacing w:before="0" w:beforeAutospacing="0" w:line="280" w:lineRule="exact"/>
                    <w:jc w:val="center"/>
                    <w:rPr>
                      <w:rFonts w:ascii="Times New Roman" w:hAnsi="Times New Roman"/>
                      <w:sz w:val="15"/>
                      <w:szCs w:val="15"/>
                    </w:rPr>
                  </w:pPr>
                  <w:r>
                    <w:rPr>
                      <w:rFonts w:ascii="Times New Roman" w:hAnsi="Times New Roman"/>
                      <w:sz w:val="15"/>
                      <w:szCs w:val="15"/>
                    </w:rPr>
                    <w:t>排放</w:t>
                  </w:r>
                </w:p>
              </w:tc>
              <w:tc>
                <w:tcPr>
                  <w:tcW w:w="573" w:type="dxa"/>
                  <w:vAlign w:val="center"/>
                </w:tcPr>
                <w:p>
                  <w:pPr>
                    <w:pStyle w:val="39"/>
                    <w:spacing w:before="0" w:beforeAutospacing="0" w:line="280" w:lineRule="exact"/>
                    <w:jc w:val="center"/>
                    <w:rPr>
                      <w:rFonts w:ascii="Times New Roman" w:hAnsi="Times New Roman" w:eastAsiaTheme="minorEastAsia"/>
                      <w:sz w:val="15"/>
                      <w:szCs w:val="15"/>
                    </w:rPr>
                  </w:pPr>
                  <w:r>
                    <w:rPr>
                      <w:rFonts w:hint="eastAsia" w:ascii="Times New Roman" w:hAnsi="Times New Roman" w:eastAsiaTheme="minorEastAsia"/>
                      <w:sz w:val="15"/>
                      <w:szCs w:val="15"/>
                    </w:rPr>
                    <w:t>TW001</w:t>
                  </w:r>
                </w:p>
              </w:tc>
              <w:tc>
                <w:tcPr>
                  <w:tcW w:w="564" w:type="dxa"/>
                  <w:vAlign w:val="center"/>
                </w:tcPr>
                <w:p>
                  <w:pPr>
                    <w:pStyle w:val="39"/>
                    <w:spacing w:before="0" w:beforeAutospacing="0" w:line="280" w:lineRule="exact"/>
                    <w:jc w:val="center"/>
                    <w:rPr>
                      <w:rFonts w:ascii="Times New Roman" w:hAnsi="Times New Roman"/>
                      <w:sz w:val="15"/>
                      <w:szCs w:val="15"/>
                    </w:rPr>
                  </w:pPr>
                  <w:r>
                    <w:rPr>
                      <w:rFonts w:hint="eastAsia" w:ascii="Times New Roman" w:hAnsi="Times New Roman"/>
                      <w:sz w:val="15"/>
                      <w:szCs w:val="15"/>
                    </w:rPr>
                    <w:t>化粪池</w:t>
                  </w:r>
                </w:p>
              </w:tc>
              <w:tc>
                <w:tcPr>
                  <w:tcW w:w="489" w:type="dxa"/>
                  <w:tcBorders>
                    <w:right w:val="single" w:color="auto" w:sz="4" w:space="0"/>
                  </w:tcBorders>
                  <w:vAlign w:val="center"/>
                </w:tcPr>
                <w:p>
                  <w:pPr>
                    <w:pStyle w:val="39"/>
                    <w:spacing w:before="0" w:beforeAutospacing="0" w:line="280" w:lineRule="exact"/>
                    <w:jc w:val="center"/>
                    <w:rPr>
                      <w:rFonts w:ascii="Times New Roman" w:hAnsi="Times New Roman"/>
                      <w:sz w:val="15"/>
                      <w:szCs w:val="15"/>
                    </w:rPr>
                  </w:pPr>
                  <w:r>
                    <w:rPr>
                      <w:rFonts w:ascii="Times New Roman" w:hAnsi="Times New Roman"/>
                      <w:sz w:val="15"/>
                      <w:szCs w:val="15"/>
                    </w:rPr>
                    <w:t>厌氧</w:t>
                  </w:r>
                </w:p>
              </w:tc>
              <w:tc>
                <w:tcPr>
                  <w:tcW w:w="624" w:type="dxa"/>
                  <w:tcBorders>
                    <w:left w:val="single" w:color="auto" w:sz="4" w:space="0"/>
                  </w:tcBorders>
                  <w:vAlign w:val="center"/>
                </w:tcPr>
                <w:p>
                  <w:pPr>
                    <w:pStyle w:val="39"/>
                    <w:spacing w:before="0" w:beforeAutospacing="0" w:line="280" w:lineRule="exact"/>
                    <w:jc w:val="center"/>
                    <w:rPr>
                      <w:rFonts w:ascii="Times New Roman" w:hAnsi="Times New Roman"/>
                      <w:sz w:val="15"/>
                      <w:szCs w:val="15"/>
                    </w:rPr>
                  </w:pPr>
                  <w:r>
                    <w:rPr>
                      <w:rFonts w:ascii="Times New Roman" w:hAnsi="Times New Roman"/>
                      <w:sz w:val="15"/>
                      <w:szCs w:val="15"/>
                    </w:rPr>
                    <w:t>是</w:t>
                  </w:r>
                </w:p>
              </w:tc>
              <w:tc>
                <w:tcPr>
                  <w:tcW w:w="561" w:type="dxa"/>
                  <w:vAlign w:val="center"/>
                </w:tcPr>
                <w:p>
                  <w:pPr>
                    <w:pStyle w:val="39"/>
                    <w:spacing w:before="0" w:beforeAutospacing="0" w:line="280" w:lineRule="exact"/>
                    <w:jc w:val="center"/>
                    <w:rPr>
                      <w:rFonts w:ascii="Times New Roman" w:hAnsi="Times New Roman" w:eastAsiaTheme="minorEastAsia"/>
                      <w:sz w:val="15"/>
                      <w:szCs w:val="15"/>
                    </w:rPr>
                  </w:pPr>
                  <w:r>
                    <w:rPr>
                      <w:rFonts w:hint="eastAsia" w:ascii="Times New Roman" w:hAnsi="Times New Roman" w:eastAsiaTheme="minorEastAsia"/>
                      <w:spacing w:val="-1"/>
                      <w:sz w:val="15"/>
                      <w:szCs w:val="15"/>
                    </w:rPr>
                    <w:t>/</w:t>
                  </w:r>
                </w:p>
              </w:tc>
              <w:tc>
                <w:tcPr>
                  <w:tcW w:w="914" w:type="dxa"/>
                  <w:vAlign w:val="center"/>
                </w:tcPr>
                <w:p>
                  <w:pPr>
                    <w:pStyle w:val="39"/>
                    <w:spacing w:before="0" w:beforeAutospacing="0" w:line="280" w:lineRule="exact"/>
                    <w:jc w:val="center"/>
                    <w:rPr>
                      <w:rFonts w:ascii="Times New Roman" w:hAnsi="Times New Roman"/>
                      <w:sz w:val="15"/>
                      <w:szCs w:val="15"/>
                    </w:rPr>
                  </w:pPr>
                  <w:r>
                    <w:rPr>
                      <w:rFonts w:hint="eastAsia" w:ascii="Times New Roman" w:hAnsi="Times New Roman"/>
                      <w:sz w:val="15"/>
                      <w:szCs w:val="15"/>
                    </w:rPr>
                    <w:t>/</w:t>
                  </w:r>
                </w:p>
              </w:tc>
              <w:tc>
                <w:tcPr>
                  <w:tcW w:w="618" w:type="dxa"/>
                  <w:vAlign w:val="center"/>
                </w:tcPr>
                <w:p>
                  <w:pPr>
                    <w:pStyle w:val="39"/>
                    <w:spacing w:before="0" w:beforeAutospacing="0" w:line="320" w:lineRule="exact"/>
                    <w:jc w:val="center"/>
                    <w:rPr>
                      <w:rFonts w:ascii="Times New Roman" w:hAnsi="Times New Roman"/>
                      <w:sz w:val="15"/>
                      <w:szCs w:val="15"/>
                    </w:rPr>
                  </w:pPr>
                  <w:r>
                    <w:rPr>
                      <w:rFonts w:hint="eastAsia" w:ascii="Times New Roman" w:hAnsi="Times New Roman"/>
                      <w:sz w:val="15"/>
                      <w:szCs w:val="15"/>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 w:hRule="atLeast"/>
                <w:jc w:val="center"/>
              </w:trPr>
              <w:tc>
                <w:tcPr>
                  <w:tcW w:w="445" w:type="dxa"/>
                  <w:vAlign w:val="center"/>
                </w:tcPr>
                <w:p>
                  <w:pPr>
                    <w:pStyle w:val="39"/>
                    <w:spacing w:before="0" w:beforeAutospacing="0" w:line="320" w:lineRule="exact"/>
                    <w:jc w:val="center"/>
                    <w:rPr>
                      <w:rFonts w:ascii="Times New Roman" w:hAnsi="Times New Roman" w:eastAsiaTheme="minorEastAsia"/>
                      <w:sz w:val="15"/>
                      <w:szCs w:val="15"/>
                    </w:rPr>
                  </w:pPr>
                  <w:r>
                    <w:rPr>
                      <w:rFonts w:hint="eastAsia" w:ascii="Times New Roman" w:hAnsi="Times New Roman" w:eastAsiaTheme="minorEastAsia"/>
                      <w:sz w:val="15"/>
                      <w:szCs w:val="15"/>
                    </w:rPr>
                    <w:t>2</w:t>
                  </w:r>
                </w:p>
              </w:tc>
              <w:tc>
                <w:tcPr>
                  <w:tcW w:w="616" w:type="dxa"/>
                  <w:vAlign w:val="center"/>
                </w:tcPr>
                <w:p>
                  <w:pPr>
                    <w:pStyle w:val="39"/>
                    <w:spacing w:before="0" w:beforeAutospacing="0" w:line="280" w:lineRule="exact"/>
                    <w:jc w:val="center"/>
                    <w:rPr>
                      <w:rFonts w:ascii="Times New Roman" w:hAnsi="Times New Roman"/>
                      <w:sz w:val="15"/>
                      <w:szCs w:val="15"/>
                    </w:rPr>
                  </w:pPr>
                  <w:r>
                    <w:rPr>
                      <w:rFonts w:ascii="Times New Roman" w:hAnsi="Times New Roman"/>
                      <w:sz w:val="15"/>
                      <w:szCs w:val="15"/>
                    </w:rPr>
                    <w:t>生产</w:t>
                  </w:r>
                </w:p>
                <w:p>
                  <w:pPr>
                    <w:pStyle w:val="39"/>
                    <w:spacing w:before="0" w:beforeAutospacing="0" w:line="280" w:lineRule="exact"/>
                    <w:jc w:val="center"/>
                    <w:rPr>
                      <w:rFonts w:ascii="Times New Roman" w:hAnsi="Times New Roman"/>
                      <w:sz w:val="15"/>
                      <w:szCs w:val="15"/>
                    </w:rPr>
                  </w:pPr>
                  <w:r>
                    <w:rPr>
                      <w:rFonts w:ascii="Times New Roman" w:hAnsi="Times New Roman"/>
                      <w:sz w:val="15"/>
                      <w:szCs w:val="15"/>
                    </w:rPr>
                    <w:t>废水</w:t>
                  </w:r>
                </w:p>
              </w:tc>
              <w:tc>
                <w:tcPr>
                  <w:tcW w:w="703" w:type="dxa"/>
                  <w:vAlign w:val="center"/>
                </w:tcPr>
                <w:p>
                  <w:pPr>
                    <w:pStyle w:val="39"/>
                    <w:spacing w:before="0" w:beforeAutospacing="0" w:line="280" w:lineRule="exact"/>
                    <w:jc w:val="center"/>
                    <w:rPr>
                      <w:rFonts w:ascii="Times New Roman" w:hAnsi="Times New Roman"/>
                      <w:sz w:val="15"/>
                      <w:szCs w:val="15"/>
                    </w:rPr>
                  </w:pPr>
                  <w:r>
                    <w:rPr>
                      <w:rFonts w:hint="eastAsia" w:ascii="Times New Roman" w:hAnsi="Times New Roman"/>
                      <w:sz w:val="15"/>
                      <w:szCs w:val="15"/>
                    </w:rPr>
                    <w:t>煤粉颗粒</w:t>
                  </w:r>
                </w:p>
              </w:tc>
              <w:tc>
                <w:tcPr>
                  <w:tcW w:w="1026" w:type="dxa"/>
                  <w:vAlign w:val="center"/>
                </w:tcPr>
                <w:p>
                  <w:pPr>
                    <w:pStyle w:val="39"/>
                    <w:spacing w:before="0" w:beforeAutospacing="0" w:line="280" w:lineRule="exact"/>
                    <w:jc w:val="center"/>
                    <w:rPr>
                      <w:rFonts w:ascii="Times New Roman" w:hAnsi="Times New Roman"/>
                      <w:sz w:val="15"/>
                      <w:szCs w:val="15"/>
                    </w:rPr>
                  </w:pPr>
                  <w:r>
                    <w:rPr>
                      <w:rFonts w:hint="eastAsia" w:ascii="Times New Roman" w:hAnsi="Times New Roman"/>
                      <w:sz w:val="15"/>
                      <w:szCs w:val="15"/>
                    </w:rPr>
                    <w:t>/</w:t>
                  </w:r>
                </w:p>
              </w:tc>
              <w:tc>
                <w:tcPr>
                  <w:tcW w:w="742" w:type="dxa"/>
                  <w:vAlign w:val="center"/>
                </w:tcPr>
                <w:p>
                  <w:pPr>
                    <w:pStyle w:val="39"/>
                    <w:spacing w:before="0" w:beforeAutospacing="0" w:line="280" w:lineRule="exact"/>
                    <w:jc w:val="center"/>
                    <w:rPr>
                      <w:rFonts w:ascii="Times New Roman" w:hAnsi="Times New Roman"/>
                      <w:sz w:val="15"/>
                      <w:szCs w:val="15"/>
                    </w:rPr>
                  </w:pPr>
                  <w:r>
                    <w:rPr>
                      <w:rFonts w:hint="eastAsia" w:ascii="Times New Roman" w:hAnsi="Times New Roman"/>
                      <w:sz w:val="15"/>
                      <w:szCs w:val="15"/>
                    </w:rPr>
                    <w:t>/</w:t>
                  </w:r>
                </w:p>
              </w:tc>
              <w:tc>
                <w:tcPr>
                  <w:tcW w:w="573" w:type="dxa"/>
                  <w:vAlign w:val="center"/>
                </w:tcPr>
                <w:p>
                  <w:pPr>
                    <w:pStyle w:val="39"/>
                    <w:spacing w:before="0" w:beforeAutospacing="0" w:line="280" w:lineRule="exact"/>
                    <w:jc w:val="center"/>
                    <w:rPr>
                      <w:rFonts w:ascii="Times New Roman" w:hAnsi="Times New Roman" w:eastAsiaTheme="minorEastAsia"/>
                      <w:sz w:val="15"/>
                      <w:szCs w:val="15"/>
                    </w:rPr>
                  </w:pPr>
                  <w:r>
                    <w:rPr>
                      <w:rFonts w:hint="eastAsia" w:ascii="Times New Roman" w:hAnsi="Times New Roman" w:eastAsiaTheme="minorEastAsia"/>
                      <w:sz w:val="15"/>
                      <w:szCs w:val="15"/>
                    </w:rPr>
                    <w:t>TW002</w:t>
                  </w:r>
                </w:p>
              </w:tc>
              <w:tc>
                <w:tcPr>
                  <w:tcW w:w="564" w:type="dxa"/>
                  <w:vAlign w:val="center"/>
                </w:tcPr>
                <w:p>
                  <w:pPr>
                    <w:pStyle w:val="39"/>
                    <w:spacing w:before="0" w:beforeAutospacing="0" w:line="280" w:lineRule="exact"/>
                    <w:jc w:val="center"/>
                    <w:rPr>
                      <w:rFonts w:ascii="Times New Roman" w:hAnsi="Times New Roman"/>
                      <w:sz w:val="15"/>
                      <w:szCs w:val="15"/>
                    </w:rPr>
                  </w:pPr>
                  <w:r>
                    <w:rPr>
                      <w:rFonts w:hint="eastAsia" w:ascii="Times New Roman" w:hAnsi="Times New Roman"/>
                      <w:sz w:val="15"/>
                      <w:szCs w:val="15"/>
                    </w:rPr>
                    <w:t>沉淀池</w:t>
                  </w:r>
                </w:p>
              </w:tc>
              <w:tc>
                <w:tcPr>
                  <w:tcW w:w="489" w:type="dxa"/>
                  <w:tcBorders>
                    <w:right w:val="single" w:color="auto" w:sz="4" w:space="0"/>
                  </w:tcBorders>
                  <w:vAlign w:val="center"/>
                </w:tcPr>
                <w:p>
                  <w:pPr>
                    <w:pStyle w:val="39"/>
                    <w:spacing w:before="0" w:beforeAutospacing="0" w:line="280" w:lineRule="exact"/>
                    <w:jc w:val="center"/>
                    <w:rPr>
                      <w:rFonts w:ascii="Times New Roman" w:hAnsi="Times New Roman"/>
                      <w:sz w:val="15"/>
                      <w:szCs w:val="15"/>
                    </w:rPr>
                  </w:pPr>
                  <w:r>
                    <w:rPr>
                      <w:rFonts w:hint="eastAsia" w:ascii="Times New Roman" w:hAnsi="Times New Roman"/>
                      <w:sz w:val="15"/>
                      <w:szCs w:val="15"/>
                    </w:rPr>
                    <w:t>絮凝</w:t>
                  </w:r>
                </w:p>
                <w:p>
                  <w:pPr>
                    <w:pStyle w:val="39"/>
                    <w:spacing w:before="0" w:beforeAutospacing="0" w:line="280" w:lineRule="exact"/>
                    <w:jc w:val="center"/>
                    <w:rPr>
                      <w:rFonts w:ascii="Times New Roman" w:hAnsi="Times New Roman"/>
                      <w:sz w:val="15"/>
                      <w:szCs w:val="15"/>
                    </w:rPr>
                  </w:pPr>
                  <w:r>
                    <w:rPr>
                      <w:rFonts w:hint="eastAsia" w:ascii="Times New Roman" w:hAnsi="Times New Roman"/>
                      <w:sz w:val="15"/>
                      <w:szCs w:val="15"/>
                    </w:rPr>
                    <w:t>沉淀</w:t>
                  </w:r>
                </w:p>
              </w:tc>
              <w:tc>
                <w:tcPr>
                  <w:tcW w:w="624" w:type="dxa"/>
                  <w:tcBorders>
                    <w:left w:val="single" w:color="auto" w:sz="4" w:space="0"/>
                  </w:tcBorders>
                  <w:vAlign w:val="center"/>
                </w:tcPr>
                <w:p>
                  <w:pPr>
                    <w:pStyle w:val="39"/>
                    <w:spacing w:before="0" w:beforeAutospacing="0" w:line="280" w:lineRule="exact"/>
                    <w:jc w:val="center"/>
                    <w:rPr>
                      <w:rFonts w:ascii="Times New Roman" w:hAnsi="Times New Roman"/>
                      <w:sz w:val="15"/>
                      <w:szCs w:val="15"/>
                    </w:rPr>
                  </w:pPr>
                  <w:r>
                    <w:rPr>
                      <w:rFonts w:hint="eastAsia" w:ascii="Times New Roman" w:hAnsi="Times New Roman"/>
                      <w:sz w:val="15"/>
                      <w:szCs w:val="15"/>
                    </w:rPr>
                    <w:t>是</w:t>
                  </w:r>
                </w:p>
              </w:tc>
              <w:tc>
                <w:tcPr>
                  <w:tcW w:w="561" w:type="dxa"/>
                  <w:vAlign w:val="center"/>
                </w:tcPr>
                <w:p>
                  <w:pPr>
                    <w:pStyle w:val="39"/>
                    <w:spacing w:before="0" w:beforeAutospacing="0" w:line="280" w:lineRule="exact"/>
                    <w:jc w:val="center"/>
                    <w:rPr>
                      <w:rFonts w:ascii="Times New Roman" w:hAnsi="Times New Roman" w:eastAsiaTheme="minorEastAsia"/>
                      <w:spacing w:val="-1"/>
                      <w:sz w:val="15"/>
                      <w:szCs w:val="15"/>
                    </w:rPr>
                  </w:pPr>
                  <w:r>
                    <w:rPr>
                      <w:rFonts w:hint="eastAsia" w:ascii="Times New Roman" w:hAnsi="Times New Roman" w:eastAsiaTheme="minorEastAsia"/>
                      <w:spacing w:val="-1"/>
                      <w:sz w:val="15"/>
                      <w:szCs w:val="15"/>
                    </w:rPr>
                    <w:t>/</w:t>
                  </w:r>
                </w:p>
              </w:tc>
              <w:tc>
                <w:tcPr>
                  <w:tcW w:w="914" w:type="dxa"/>
                  <w:vAlign w:val="center"/>
                </w:tcPr>
                <w:p>
                  <w:pPr>
                    <w:pStyle w:val="39"/>
                    <w:spacing w:before="0" w:beforeAutospacing="0" w:line="280" w:lineRule="exact"/>
                    <w:jc w:val="center"/>
                    <w:rPr>
                      <w:rFonts w:ascii="Times New Roman" w:hAnsi="Times New Roman"/>
                      <w:sz w:val="15"/>
                      <w:szCs w:val="15"/>
                    </w:rPr>
                  </w:pPr>
                  <w:r>
                    <w:rPr>
                      <w:rFonts w:hint="eastAsia" w:ascii="Times New Roman" w:hAnsi="Times New Roman"/>
                      <w:sz w:val="15"/>
                      <w:szCs w:val="15"/>
                    </w:rPr>
                    <w:t>/</w:t>
                  </w:r>
                </w:p>
              </w:tc>
              <w:tc>
                <w:tcPr>
                  <w:tcW w:w="618" w:type="dxa"/>
                  <w:vAlign w:val="center"/>
                </w:tcPr>
                <w:p>
                  <w:pPr>
                    <w:pStyle w:val="39"/>
                    <w:spacing w:before="0" w:beforeAutospacing="0" w:line="320" w:lineRule="exact"/>
                    <w:jc w:val="center"/>
                    <w:rPr>
                      <w:rFonts w:ascii="Times New Roman" w:hAnsi="Times New Roman"/>
                      <w:sz w:val="15"/>
                      <w:szCs w:val="15"/>
                    </w:rPr>
                  </w:pPr>
                  <w:r>
                    <w:rPr>
                      <w:rFonts w:hint="eastAsia" w:ascii="Times New Roman" w:hAnsi="Times New Roman"/>
                      <w:sz w:val="15"/>
                      <w:szCs w:val="15"/>
                    </w:rPr>
                    <w:t>/</w:t>
                  </w:r>
                </w:p>
              </w:tc>
            </w:tr>
          </w:tbl>
          <w:p>
            <w:pPr>
              <w:autoSpaceDE w:val="0"/>
              <w:autoSpaceDN w:val="0"/>
              <w:adjustRightInd w:val="0"/>
              <w:snapToGrid w:val="0"/>
              <w:spacing w:line="400" w:lineRule="exact"/>
              <w:ind w:firstLine="422" w:firstLineChars="200"/>
              <w:jc w:val="left"/>
              <w:rPr>
                <w:b/>
                <w:kern w:val="0"/>
                <w:szCs w:val="21"/>
              </w:rPr>
            </w:pPr>
            <w:r>
              <w:rPr>
                <w:b/>
                <w:kern w:val="0"/>
                <w:szCs w:val="21"/>
              </w:rPr>
              <w:t>（4）达标分析</w:t>
            </w:r>
          </w:p>
          <w:p>
            <w:pPr>
              <w:autoSpaceDE w:val="0"/>
              <w:autoSpaceDN w:val="0"/>
              <w:adjustRightInd w:val="0"/>
              <w:snapToGrid w:val="0"/>
              <w:spacing w:line="400" w:lineRule="exact"/>
              <w:ind w:firstLine="420" w:firstLineChars="200"/>
              <w:jc w:val="left"/>
              <w:rPr>
                <w:b/>
                <w:kern w:val="0"/>
                <w:szCs w:val="21"/>
              </w:rPr>
            </w:pPr>
            <w:r>
              <w:rPr>
                <w:kern w:val="0"/>
                <w:szCs w:val="21"/>
              </w:rPr>
              <w:t>本项目营运期含煤废水主要为</w:t>
            </w:r>
            <w:r>
              <w:rPr>
                <w:rFonts w:hint="eastAsia"/>
                <w:kern w:val="0"/>
                <w:szCs w:val="21"/>
              </w:rPr>
              <w:t>车辆冲洗废水、</w:t>
            </w:r>
            <w:r>
              <w:rPr>
                <w:kern w:val="0"/>
                <w:szCs w:val="21"/>
              </w:rPr>
              <w:t>场地冲洗废水和露天场地的初期雨水</w:t>
            </w:r>
            <w:r>
              <w:rPr>
                <w:rFonts w:hint="eastAsia"/>
                <w:kern w:val="0"/>
                <w:szCs w:val="21"/>
              </w:rPr>
              <w:t>。</w:t>
            </w:r>
            <w:r>
              <w:rPr>
                <w:kern w:val="0"/>
                <w:szCs w:val="21"/>
              </w:rPr>
              <w:t>通过建设</w:t>
            </w:r>
            <w:r>
              <w:rPr>
                <w:rFonts w:hint="eastAsia"/>
                <w:kern w:val="0"/>
                <w:szCs w:val="21"/>
              </w:rPr>
              <w:t>废水沉淀池</w:t>
            </w:r>
            <w:r>
              <w:rPr>
                <w:kern w:val="0"/>
                <w:szCs w:val="21"/>
              </w:rPr>
              <w:t>收集处理后，能够实现循环回用不外排。生活污水经化粪池预处理后，通过拉运的方式依托</w:t>
            </w:r>
            <w:r>
              <w:rPr>
                <w:rFonts w:hint="eastAsia"/>
                <w:kern w:val="0"/>
                <w:szCs w:val="21"/>
              </w:rPr>
              <w:t>东岳</w:t>
            </w:r>
            <w:r>
              <w:rPr>
                <w:kern w:val="0"/>
                <w:szCs w:val="21"/>
              </w:rPr>
              <w:t>镇污水处理厂处理后，达标排入双龙河，对周围水环境影响较小。</w:t>
            </w:r>
          </w:p>
          <w:p>
            <w:pPr>
              <w:adjustRightInd w:val="0"/>
              <w:snapToGrid w:val="0"/>
              <w:spacing w:line="400" w:lineRule="exact"/>
              <w:ind w:left="-53" w:leftChars="-25" w:right="-53" w:rightChars="-25"/>
              <w:jc w:val="left"/>
              <w:rPr>
                <w:rFonts w:eastAsia="黑体"/>
                <w:bCs/>
                <w:sz w:val="22"/>
                <w:szCs w:val="22"/>
              </w:rPr>
            </w:pPr>
            <w:r>
              <w:rPr>
                <w:rFonts w:eastAsia="黑体"/>
                <w:bCs/>
                <w:sz w:val="22"/>
                <w:szCs w:val="22"/>
              </w:rPr>
              <w:t>3、噪声</w:t>
            </w:r>
          </w:p>
          <w:p>
            <w:pPr>
              <w:autoSpaceDE w:val="0"/>
              <w:autoSpaceDN w:val="0"/>
              <w:adjustRightInd w:val="0"/>
              <w:snapToGrid w:val="0"/>
              <w:spacing w:line="400" w:lineRule="exact"/>
              <w:ind w:firstLine="420" w:firstLineChars="200"/>
              <w:jc w:val="left"/>
              <w:rPr>
                <w:kern w:val="0"/>
                <w:szCs w:val="21"/>
              </w:rPr>
            </w:pPr>
            <w:r>
              <w:rPr>
                <w:kern w:val="0"/>
                <w:szCs w:val="21"/>
              </w:rPr>
              <w:t>（1）噪声源强</w:t>
            </w:r>
            <w:r>
              <w:rPr>
                <w:rFonts w:hint="eastAsia"/>
                <w:kern w:val="0"/>
                <w:szCs w:val="21"/>
              </w:rPr>
              <w:t>及治理措施</w:t>
            </w:r>
          </w:p>
          <w:p>
            <w:pPr>
              <w:autoSpaceDE w:val="0"/>
              <w:autoSpaceDN w:val="0"/>
              <w:adjustRightInd w:val="0"/>
              <w:snapToGrid w:val="0"/>
              <w:spacing w:line="400" w:lineRule="exact"/>
              <w:ind w:firstLine="420" w:firstLineChars="200"/>
              <w:jc w:val="left"/>
              <w:rPr>
                <w:kern w:val="0"/>
                <w:sz w:val="24"/>
                <w:szCs w:val="21"/>
              </w:rPr>
            </w:pPr>
            <w:r>
              <w:rPr>
                <w:rFonts w:hint="eastAsia"/>
                <w:kern w:val="0"/>
                <w:szCs w:val="21"/>
              </w:rPr>
              <w:t>营运期噪声主要来源于装载机、回用水泵等设备运行噪声，噪声源强为65～85dB(A)。另外，内部转运车辆会产生一定的交通噪声，噪声声压级约为70～85dB(A)。</w:t>
            </w:r>
          </w:p>
          <w:p>
            <w:pPr>
              <w:pStyle w:val="15"/>
              <w:spacing w:after="0" w:line="400" w:lineRule="exact"/>
              <w:jc w:val="center"/>
              <w:rPr>
                <w:rFonts w:ascii="黑体" w:hAnsi="黑体" w:eastAsia="黑体"/>
                <w:sz w:val="18"/>
                <w:szCs w:val="18"/>
              </w:rPr>
            </w:pPr>
            <w:r>
              <w:rPr>
                <w:rFonts w:hint="eastAsia" w:ascii="黑体" w:hAnsi="黑体" w:eastAsia="黑体"/>
                <w:sz w:val="18"/>
                <w:szCs w:val="18"/>
              </w:rPr>
              <w:t>表4-5   主要设备噪声污染源    单位：</w:t>
            </w:r>
            <w:r>
              <w:rPr>
                <w:rFonts w:hint="eastAsia" w:eastAsia="黑体"/>
                <w:sz w:val="18"/>
                <w:szCs w:val="18"/>
              </w:rPr>
              <w:t>dB(A)</w:t>
            </w:r>
          </w:p>
          <w:tbl>
            <w:tblPr>
              <w:tblStyle w:val="21"/>
              <w:tblW w:w="76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6"/>
              <w:gridCol w:w="993"/>
              <w:gridCol w:w="567"/>
              <w:gridCol w:w="708"/>
              <w:gridCol w:w="852"/>
              <w:gridCol w:w="2165"/>
              <w:gridCol w:w="840"/>
              <w:gridCol w:w="7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widowControl w:val="0"/>
                    <w:spacing w:before="0" w:beforeAutospacing="0" w:after="0" w:afterAutospacing="0" w:line="300" w:lineRule="exact"/>
                    <w:jc w:val="center"/>
                    <w:rPr>
                      <w:rFonts w:ascii="Times New Roman" w:hAnsi="Times New Roman" w:cs="宋体"/>
                      <w:b/>
                      <w:kern w:val="0"/>
                      <w:sz w:val="18"/>
                      <w:szCs w:val="18"/>
                    </w:rPr>
                  </w:pPr>
                  <w:r>
                    <w:rPr>
                      <w:rFonts w:hint="eastAsia" w:ascii="Times New Roman" w:hAnsi="Times New Roman" w:cs="宋体"/>
                      <w:b/>
                      <w:kern w:val="0"/>
                      <w:sz w:val="18"/>
                      <w:szCs w:val="18"/>
                    </w:rPr>
                    <w:t>生产</w:t>
                  </w:r>
                </w:p>
                <w:p>
                  <w:pPr>
                    <w:pStyle w:val="19"/>
                    <w:widowControl w:val="0"/>
                    <w:spacing w:before="0" w:beforeAutospacing="0" w:after="0" w:afterAutospacing="0" w:line="300" w:lineRule="exact"/>
                    <w:jc w:val="center"/>
                    <w:rPr>
                      <w:rFonts w:ascii="Times New Roman" w:hAnsi="Times New Roman" w:cs="Times New Roman"/>
                      <w:b/>
                      <w:sz w:val="18"/>
                      <w:szCs w:val="18"/>
                    </w:rPr>
                  </w:pPr>
                  <w:r>
                    <w:rPr>
                      <w:rFonts w:hint="eastAsia" w:ascii="Times New Roman" w:hAnsi="Times New Roman" w:cs="宋体"/>
                      <w:b/>
                      <w:kern w:val="0"/>
                      <w:sz w:val="18"/>
                      <w:szCs w:val="18"/>
                    </w:rPr>
                    <w:t>工序</w:t>
                  </w:r>
                </w:p>
              </w:tc>
              <w:tc>
                <w:tcPr>
                  <w:tcW w:w="9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widowControl w:val="0"/>
                    <w:spacing w:before="0" w:beforeAutospacing="0" w:after="0" w:afterAutospacing="0" w:line="300" w:lineRule="exact"/>
                    <w:jc w:val="center"/>
                    <w:rPr>
                      <w:rFonts w:ascii="Times New Roman" w:hAnsi="Times New Roman" w:cs="Times New Roman"/>
                      <w:b/>
                      <w:sz w:val="18"/>
                      <w:szCs w:val="18"/>
                    </w:rPr>
                  </w:pPr>
                  <w:r>
                    <w:rPr>
                      <w:rFonts w:hint="eastAsia" w:ascii="Times New Roman" w:hAnsi="Times New Roman" w:cs="宋体"/>
                      <w:b/>
                      <w:kern w:val="0"/>
                      <w:sz w:val="18"/>
                      <w:szCs w:val="18"/>
                    </w:rPr>
                    <w:t>噪声源</w:t>
                  </w:r>
                </w:p>
              </w:tc>
              <w:tc>
                <w:tcPr>
                  <w:tcW w:w="5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widowControl w:val="0"/>
                    <w:spacing w:before="0" w:beforeAutospacing="0" w:after="0" w:afterAutospacing="0" w:line="300" w:lineRule="exact"/>
                    <w:jc w:val="center"/>
                    <w:rPr>
                      <w:rFonts w:ascii="Times New Roman" w:hAnsi="Times New Roman" w:cs="Times New Roman"/>
                      <w:b/>
                      <w:sz w:val="18"/>
                      <w:szCs w:val="18"/>
                    </w:rPr>
                  </w:pPr>
                  <w:r>
                    <w:rPr>
                      <w:rFonts w:hint="eastAsia" w:ascii="Times New Roman" w:hAnsi="Times New Roman" w:cs="宋体"/>
                      <w:b/>
                      <w:kern w:val="0"/>
                      <w:sz w:val="18"/>
                      <w:szCs w:val="18"/>
                    </w:rPr>
                    <w:t>数量</w:t>
                  </w:r>
                </w:p>
              </w:tc>
              <w:tc>
                <w:tcPr>
                  <w:tcW w:w="708" w:type="dxa"/>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pPr>
                    <w:pStyle w:val="19"/>
                    <w:widowControl w:val="0"/>
                    <w:spacing w:before="0" w:beforeAutospacing="0" w:after="0" w:afterAutospacing="0" w:line="300" w:lineRule="exact"/>
                    <w:jc w:val="center"/>
                    <w:rPr>
                      <w:rFonts w:ascii="Times New Roman" w:hAnsi="Times New Roman" w:cs="Times New Roman"/>
                      <w:b/>
                      <w:sz w:val="18"/>
                      <w:szCs w:val="18"/>
                    </w:rPr>
                  </w:pPr>
                  <w:r>
                    <w:rPr>
                      <w:rFonts w:hint="eastAsia" w:ascii="Times New Roman" w:hAnsi="Times New Roman" w:cs="宋体"/>
                      <w:b/>
                      <w:kern w:val="0"/>
                      <w:sz w:val="18"/>
                      <w:szCs w:val="18"/>
                    </w:rPr>
                    <w:t>噪声值</w:t>
                  </w:r>
                </w:p>
              </w:tc>
              <w:tc>
                <w:tcPr>
                  <w:tcW w:w="852" w:type="dxa"/>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pPr>
                    <w:pStyle w:val="19"/>
                    <w:widowControl w:val="0"/>
                    <w:spacing w:before="0" w:beforeAutospacing="0" w:after="0" w:afterAutospacing="0" w:line="300" w:lineRule="exact"/>
                    <w:jc w:val="center"/>
                    <w:rPr>
                      <w:rFonts w:ascii="Times New Roman" w:hAnsi="Times New Roman" w:cs="Times New Roman"/>
                      <w:b/>
                      <w:sz w:val="18"/>
                      <w:szCs w:val="18"/>
                    </w:rPr>
                  </w:pPr>
                  <w:r>
                    <w:rPr>
                      <w:rFonts w:hint="eastAsia" w:ascii="Times New Roman" w:hAnsi="Times New Roman" w:cs="宋体"/>
                      <w:b/>
                      <w:kern w:val="0"/>
                      <w:sz w:val="18"/>
                      <w:szCs w:val="18"/>
                    </w:rPr>
                    <w:t>排放特征</w:t>
                  </w:r>
                </w:p>
              </w:tc>
              <w:tc>
                <w:tcPr>
                  <w:tcW w:w="30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widowControl w:val="0"/>
                    <w:spacing w:before="0" w:beforeAutospacing="0" w:after="0" w:afterAutospacing="0" w:line="300" w:lineRule="exact"/>
                    <w:jc w:val="center"/>
                    <w:rPr>
                      <w:rFonts w:ascii="Times New Roman" w:hAnsi="Times New Roman" w:cs="Times New Roman"/>
                      <w:b/>
                      <w:sz w:val="18"/>
                      <w:szCs w:val="18"/>
                    </w:rPr>
                  </w:pPr>
                  <w:r>
                    <w:rPr>
                      <w:rFonts w:hint="eastAsia" w:ascii="Times New Roman" w:hAnsi="Times New Roman" w:cs="宋体"/>
                      <w:b/>
                      <w:kern w:val="0"/>
                      <w:sz w:val="18"/>
                      <w:szCs w:val="18"/>
                    </w:rPr>
                    <w:t>治理措施</w:t>
                  </w:r>
                </w:p>
              </w:tc>
              <w:tc>
                <w:tcPr>
                  <w:tcW w:w="779" w:type="dxa"/>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pPr>
                    <w:pStyle w:val="19"/>
                    <w:widowControl w:val="0"/>
                    <w:spacing w:before="0" w:beforeAutospacing="0" w:after="0" w:afterAutospacing="0" w:line="300" w:lineRule="exact"/>
                    <w:jc w:val="center"/>
                    <w:rPr>
                      <w:rFonts w:ascii="Times New Roman" w:hAnsi="Times New Roman" w:cs="Times New Roman"/>
                      <w:b/>
                      <w:sz w:val="18"/>
                      <w:szCs w:val="18"/>
                    </w:rPr>
                  </w:pPr>
                  <w:r>
                    <w:rPr>
                      <w:rFonts w:hint="eastAsia" w:ascii="Times New Roman" w:hAnsi="Times New Roman" w:cs="宋体"/>
                      <w:b/>
                      <w:kern w:val="0"/>
                      <w:sz w:val="18"/>
                      <w:szCs w:val="18"/>
                    </w:rPr>
                    <w:t>治理后噪声值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0"/>
                      <w:szCs w:val="20"/>
                    </w:rPr>
                  </w:pPr>
                </w:p>
              </w:tc>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0"/>
                      <w:szCs w:val="20"/>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0"/>
                      <w:szCs w:val="20"/>
                    </w:rPr>
                  </w:pPr>
                </w:p>
              </w:tc>
              <w:tc>
                <w:tcPr>
                  <w:tcW w:w="708"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sz w:val="20"/>
                      <w:szCs w:val="20"/>
                    </w:rPr>
                  </w:pPr>
                </w:p>
              </w:tc>
              <w:tc>
                <w:tcPr>
                  <w:tcW w:w="852"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sz w:val="20"/>
                      <w:szCs w:val="20"/>
                    </w:rPr>
                  </w:pPr>
                </w:p>
              </w:tc>
              <w:tc>
                <w:tcPr>
                  <w:tcW w:w="216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widowControl w:val="0"/>
                    <w:spacing w:before="0" w:beforeAutospacing="0" w:after="0" w:afterAutospacing="0" w:line="300" w:lineRule="exact"/>
                    <w:jc w:val="center"/>
                    <w:rPr>
                      <w:rFonts w:ascii="Times New Roman" w:hAnsi="Times New Roman" w:cs="Times New Roman"/>
                      <w:b/>
                      <w:sz w:val="18"/>
                      <w:szCs w:val="18"/>
                    </w:rPr>
                  </w:pPr>
                  <w:r>
                    <w:rPr>
                      <w:rFonts w:hint="eastAsia" w:ascii="Times New Roman" w:hAnsi="Times New Roman" w:cs="宋体"/>
                      <w:b/>
                      <w:kern w:val="0"/>
                      <w:sz w:val="18"/>
                      <w:szCs w:val="18"/>
                    </w:rPr>
                    <w:t>工艺</w:t>
                  </w:r>
                </w:p>
              </w:tc>
              <w:tc>
                <w:tcPr>
                  <w:tcW w:w="840" w:type="dxa"/>
                  <w:tcBorders>
                    <w:top w:val="single" w:color="000000" w:sz="4" w:space="0"/>
                    <w:left w:val="single" w:color="000000" w:sz="4" w:space="0"/>
                    <w:bottom w:val="single" w:color="000000" w:sz="4" w:space="0"/>
                    <w:right w:val="single" w:color="auto" w:sz="4" w:space="0"/>
                  </w:tcBorders>
                  <w:shd w:val="clear" w:color="auto" w:fill="auto"/>
                  <w:vAlign w:val="center"/>
                </w:tcPr>
                <w:p>
                  <w:pPr>
                    <w:pStyle w:val="19"/>
                    <w:widowControl w:val="0"/>
                    <w:spacing w:before="0" w:beforeAutospacing="0" w:after="0" w:afterAutospacing="0" w:line="300" w:lineRule="exact"/>
                    <w:jc w:val="center"/>
                    <w:rPr>
                      <w:rFonts w:ascii="Times New Roman" w:hAnsi="Times New Roman" w:cs="Times New Roman"/>
                      <w:b/>
                      <w:sz w:val="18"/>
                      <w:szCs w:val="18"/>
                    </w:rPr>
                  </w:pPr>
                  <w:r>
                    <w:rPr>
                      <w:rFonts w:hint="eastAsia" w:ascii="Times New Roman" w:hAnsi="Times New Roman" w:cs="宋体"/>
                      <w:b/>
                      <w:kern w:val="0"/>
                      <w:sz w:val="18"/>
                      <w:szCs w:val="18"/>
                    </w:rPr>
                    <w:t>降噪效果</w:t>
                  </w:r>
                </w:p>
              </w:tc>
              <w:tc>
                <w:tcPr>
                  <w:tcW w:w="779"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716" w:type="dxa"/>
                  <w:vMerge w:val="restart"/>
                  <w:tcBorders>
                    <w:top w:val="single" w:color="000000" w:sz="4" w:space="0"/>
                    <w:left w:val="single" w:color="000000" w:sz="4" w:space="0"/>
                    <w:right w:val="single" w:color="000000" w:sz="4" w:space="0"/>
                  </w:tcBorders>
                  <w:shd w:val="clear" w:color="auto" w:fill="auto"/>
                  <w:vAlign w:val="center"/>
                </w:tcPr>
                <w:p>
                  <w:pPr>
                    <w:pStyle w:val="19"/>
                    <w:widowControl w:val="0"/>
                    <w:spacing w:before="0" w:beforeAutospacing="0" w:after="0" w:afterAutospacing="0" w:line="300" w:lineRule="exact"/>
                    <w:jc w:val="center"/>
                    <w:rPr>
                      <w:rFonts w:ascii="Times New Roman" w:hAnsi="Times New Roman" w:cs="Times New Roman"/>
                      <w:sz w:val="18"/>
                      <w:szCs w:val="18"/>
                    </w:rPr>
                  </w:pPr>
                  <w:r>
                    <w:rPr>
                      <w:rFonts w:ascii="Times New Roman" w:hAnsi="Times New Roman" w:cs="Times New Roman"/>
                      <w:sz w:val="18"/>
                      <w:szCs w:val="18"/>
                    </w:rPr>
                    <w:t>煤炭装卸、储存</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spacing w:line="300" w:lineRule="exact"/>
                    <w:jc w:val="center"/>
                    <w:rPr>
                      <w:rFonts w:ascii="Times New Roman" w:hAnsi="Times New Roman" w:cs="Times New Roman"/>
                      <w:sz w:val="18"/>
                      <w:szCs w:val="18"/>
                    </w:rPr>
                  </w:pPr>
                  <w:r>
                    <w:rPr>
                      <w:rFonts w:hint="eastAsia" w:ascii="Times New Roman" w:hAnsi="Times New Roman" w:cs="Times New Roman"/>
                      <w:sz w:val="18"/>
                      <w:szCs w:val="18"/>
                    </w:rPr>
                    <w:t>装载机</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widowControl w:val="0"/>
                    <w:spacing w:before="0" w:beforeAutospacing="0" w:after="0" w:afterAutospacing="0" w:line="300" w:lineRule="exact"/>
                    <w:jc w:val="center"/>
                    <w:rPr>
                      <w:rFonts w:ascii="Times New Roman" w:hAnsi="Times New Roman" w:cs="Times New Roman"/>
                      <w:sz w:val="18"/>
                      <w:szCs w:val="18"/>
                    </w:rPr>
                  </w:pPr>
                  <w:r>
                    <w:rPr>
                      <w:rFonts w:hint="eastAsia" w:ascii="Times New Roman" w:hAnsi="Times New Roman" w:cs="Times New Roman"/>
                      <w:sz w:val="18"/>
                      <w:szCs w:val="18"/>
                    </w:rPr>
                    <w:t>2台</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widowControl w:val="0"/>
                    <w:spacing w:before="0" w:beforeAutospacing="0" w:after="0" w:afterAutospacing="0" w:line="300" w:lineRule="exact"/>
                    <w:jc w:val="center"/>
                    <w:rPr>
                      <w:rFonts w:ascii="Times New Roman" w:hAnsi="Times New Roman" w:cs="Times New Roman"/>
                      <w:spacing w:val="1"/>
                      <w:sz w:val="18"/>
                      <w:szCs w:val="18"/>
                    </w:rPr>
                  </w:pPr>
                  <w:r>
                    <w:rPr>
                      <w:rFonts w:hint="eastAsia" w:ascii="Times New Roman" w:hAnsi="Times New Roman" w:cs="Times New Roman"/>
                      <w:spacing w:val="1"/>
                      <w:sz w:val="18"/>
                      <w:szCs w:val="18"/>
                    </w:rPr>
                    <w:t>85</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widowControl w:val="0"/>
                    <w:spacing w:before="0" w:beforeAutospacing="0" w:after="0" w:afterAutospacing="0" w:line="300" w:lineRule="exact"/>
                    <w:jc w:val="center"/>
                    <w:rPr>
                      <w:rFonts w:ascii="Times New Roman" w:hAnsi="Times New Roman" w:cs="Times New Roman"/>
                      <w:spacing w:val="1"/>
                      <w:sz w:val="18"/>
                      <w:szCs w:val="18"/>
                    </w:rPr>
                  </w:pPr>
                  <w:r>
                    <w:rPr>
                      <w:rFonts w:ascii="Times New Roman" w:hAnsi="Times New Roman" w:cs="Times New Roman"/>
                      <w:spacing w:val="1"/>
                      <w:sz w:val="18"/>
                      <w:szCs w:val="18"/>
                    </w:rPr>
                    <w:t>间歇</w:t>
                  </w:r>
                </w:p>
              </w:tc>
              <w:tc>
                <w:tcPr>
                  <w:tcW w:w="2165" w:type="dxa"/>
                  <w:vMerge w:val="restart"/>
                  <w:tcBorders>
                    <w:top w:val="single" w:color="000000" w:sz="4" w:space="0"/>
                    <w:left w:val="single" w:color="000000" w:sz="4" w:space="0"/>
                    <w:right w:val="single" w:color="000000" w:sz="4" w:space="0"/>
                  </w:tcBorders>
                  <w:shd w:val="clear" w:color="auto" w:fill="auto"/>
                  <w:vAlign w:val="center"/>
                </w:tcPr>
                <w:p>
                  <w:pPr>
                    <w:pStyle w:val="19"/>
                    <w:widowControl w:val="0"/>
                    <w:spacing w:before="0" w:beforeAutospacing="0" w:after="0" w:afterAutospacing="0" w:line="300" w:lineRule="exact"/>
                    <w:rPr>
                      <w:rFonts w:ascii="Times New Roman" w:hAnsi="Times New Roman" w:cs="Times New Roman"/>
                      <w:sz w:val="18"/>
                      <w:szCs w:val="18"/>
                    </w:rPr>
                  </w:pPr>
                  <w:r>
                    <w:rPr>
                      <w:rFonts w:hint="eastAsia" w:ascii="Times New Roman" w:hAnsi="Times New Roman" w:cs="宋体"/>
                      <w:kern w:val="0"/>
                      <w:sz w:val="18"/>
                      <w:szCs w:val="18"/>
                    </w:rPr>
                    <w:t>噪声设备合理布局、建筑隔声，优选低噪声设备、基础减振、水泵潜水式安装</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widowControl w:val="0"/>
                    <w:spacing w:before="0" w:beforeAutospacing="0" w:after="0" w:afterAutospacing="0" w:line="300" w:lineRule="exact"/>
                    <w:jc w:val="center"/>
                    <w:rPr>
                      <w:rFonts w:ascii="Times New Roman" w:hAnsi="Times New Roman" w:cs="Times New Roman"/>
                      <w:spacing w:val="1"/>
                      <w:sz w:val="18"/>
                      <w:szCs w:val="18"/>
                    </w:rPr>
                  </w:pPr>
                  <w:r>
                    <w:rPr>
                      <w:rFonts w:hint="eastAsia" w:ascii="Times New Roman" w:hAnsi="Times New Roman" w:cs="Times New Roman"/>
                      <w:spacing w:val="1"/>
                      <w:kern w:val="0"/>
                      <w:sz w:val="18"/>
                      <w:szCs w:val="18"/>
                    </w:rPr>
                    <w:t>/</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widowControl w:val="0"/>
                    <w:spacing w:before="0" w:beforeAutospacing="0" w:after="0" w:afterAutospacing="0" w:line="300" w:lineRule="exact"/>
                    <w:jc w:val="center"/>
                    <w:rPr>
                      <w:rFonts w:ascii="Times New Roman" w:hAnsi="Times New Roman" w:cs="Times New Roman"/>
                      <w:spacing w:val="1"/>
                      <w:sz w:val="18"/>
                      <w:szCs w:val="18"/>
                    </w:rPr>
                  </w:pPr>
                  <w:r>
                    <w:rPr>
                      <w:rFonts w:hint="eastAsia" w:ascii="Times New Roman" w:hAnsi="Times New Roman" w:cs="Times New Roman"/>
                      <w:spacing w:val="1"/>
                      <w:sz w:val="18"/>
                      <w:szCs w:val="18"/>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716" w:type="dxa"/>
                  <w:vMerge w:val="continue"/>
                  <w:tcBorders>
                    <w:left w:val="single" w:color="000000" w:sz="4" w:space="0"/>
                    <w:right w:val="single" w:color="000000" w:sz="4" w:space="0"/>
                  </w:tcBorders>
                  <w:shd w:val="clear" w:color="auto" w:fill="auto"/>
                  <w:vAlign w:val="center"/>
                </w:tcPr>
                <w:p>
                  <w:pPr>
                    <w:jc w:val="center"/>
                    <w:rPr>
                      <w:sz w:val="20"/>
                      <w:szCs w:val="20"/>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widowControl w:val="0"/>
                    <w:spacing w:before="0" w:beforeAutospacing="0" w:after="0" w:afterAutospacing="0" w:line="300" w:lineRule="exact"/>
                    <w:jc w:val="center"/>
                    <w:rPr>
                      <w:rFonts w:ascii="Times New Roman" w:hAnsi="Times New Roman" w:cs="Times New Roman"/>
                      <w:sz w:val="18"/>
                      <w:szCs w:val="18"/>
                    </w:rPr>
                  </w:pPr>
                  <w:r>
                    <w:rPr>
                      <w:rFonts w:hint="eastAsia" w:ascii="Times New Roman" w:hAnsi="Times New Roman" w:cs="Times New Roman"/>
                      <w:sz w:val="18"/>
                      <w:szCs w:val="18"/>
                    </w:rPr>
                    <w:t>水泵</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widowControl w:val="0"/>
                    <w:spacing w:before="0" w:beforeAutospacing="0" w:after="0" w:afterAutospacing="0" w:line="300" w:lineRule="exact"/>
                    <w:jc w:val="center"/>
                    <w:rPr>
                      <w:rFonts w:ascii="Times New Roman" w:hAnsi="Times New Roman" w:cs="Times New Roman"/>
                      <w:sz w:val="18"/>
                      <w:szCs w:val="18"/>
                    </w:rPr>
                  </w:pPr>
                  <w:r>
                    <w:rPr>
                      <w:rFonts w:hint="eastAsia" w:ascii="Times New Roman" w:hAnsi="Times New Roman" w:cs="Times New Roman"/>
                      <w:sz w:val="18"/>
                      <w:szCs w:val="18"/>
                    </w:rPr>
                    <w:t>2台</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widowControl w:val="0"/>
                    <w:spacing w:before="0" w:beforeAutospacing="0" w:after="0" w:afterAutospacing="0" w:line="300" w:lineRule="exact"/>
                    <w:jc w:val="center"/>
                    <w:rPr>
                      <w:rFonts w:ascii="Times New Roman" w:hAnsi="Times New Roman" w:cs="Times New Roman"/>
                      <w:spacing w:val="1"/>
                      <w:sz w:val="18"/>
                      <w:szCs w:val="18"/>
                    </w:rPr>
                  </w:pPr>
                  <w:r>
                    <w:rPr>
                      <w:rFonts w:hint="eastAsia" w:ascii="Times New Roman" w:hAnsi="Times New Roman" w:cs="Times New Roman"/>
                      <w:spacing w:val="1"/>
                      <w:sz w:val="18"/>
                      <w:szCs w:val="18"/>
                    </w:rPr>
                    <w:t>65</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widowControl w:val="0"/>
                    <w:spacing w:before="0" w:beforeAutospacing="0" w:after="0" w:afterAutospacing="0" w:line="300" w:lineRule="exact"/>
                    <w:jc w:val="center"/>
                    <w:rPr>
                      <w:rFonts w:ascii="Times New Roman" w:hAnsi="Times New Roman" w:cs="Times New Roman"/>
                      <w:spacing w:val="1"/>
                      <w:sz w:val="18"/>
                      <w:szCs w:val="18"/>
                    </w:rPr>
                  </w:pPr>
                  <w:r>
                    <w:rPr>
                      <w:rFonts w:ascii="Times New Roman" w:hAnsi="Times New Roman" w:cs="Times New Roman"/>
                      <w:spacing w:val="1"/>
                      <w:sz w:val="18"/>
                      <w:szCs w:val="18"/>
                    </w:rPr>
                    <w:t>连续</w:t>
                  </w:r>
                </w:p>
              </w:tc>
              <w:tc>
                <w:tcPr>
                  <w:tcW w:w="2165" w:type="dxa"/>
                  <w:vMerge w:val="continue"/>
                  <w:tcBorders>
                    <w:left w:val="single" w:color="000000" w:sz="4" w:space="0"/>
                    <w:right w:val="single" w:color="000000" w:sz="4" w:space="0"/>
                  </w:tcBorders>
                  <w:shd w:val="clear" w:color="auto" w:fill="auto"/>
                  <w:vAlign w:val="center"/>
                </w:tcPr>
                <w:p>
                  <w:pPr>
                    <w:pStyle w:val="19"/>
                    <w:widowControl w:val="0"/>
                    <w:spacing w:before="0" w:beforeAutospacing="0" w:after="0" w:afterAutospacing="0" w:line="300" w:lineRule="exact"/>
                    <w:jc w:val="center"/>
                    <w:rPr>
                      <w:rFonts w:ascii="Times New Roman" w:hAnsi="Times New Roman" w:cs="Times New Roman"/>
                      <w:sz w:val="18"/>
                      <w:szCs w:val="18"/>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widowControl w:val="0"/>
                    <w:spacing w:before="0" w:beforeAutospacing="0" w:after="0" w:afterAutospacing="0" w:line="300" w:lineRule="exact"/>
                    <w:jc w:val="center"/>
                    <w:rPr>
                      <w:rFonts w:ascii="Times New Roman" w:hAnsi="Times New Roman" w:cs="Times New Roman"/>
                      <w:spacing w:val="1"/>
                      <w:sz w:val="18"/>
                      <w:szCs w:val="18"/>
                    </w:rPr>
                  </w:pPr>
                  <w:r>
                    <w:rPr>
                      <w:rFonts w:ascii="Times New Roman" w:hAnsi="Times New Roman" w:cs="Times New Roman"/>
                      <w:spacing w:val="1"/>
                      <w:kern w:val="0"/>
                      <w:sz w:val="18"/>
                      <w:szCs w:val="18"/>
                    </w:rPr>
                    <w:t>20</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widowControl w:val="0"/>
                    <w:spacing w:before="0" w:beforeAutospacing="0" w:after="0" w:afterAutospacing="0" w:line="300" w:lineRule="exact"/>
                    <w:jc w:val="center"/>
                    <w:rPr>
                      <w:rFonts w:ascii="Times New Roman" w:hAnsi="Times New Roman" w:cs="Times New Roman"/>
                      <w:spacing w:val="1"/>
                      <w:sz w:val="18"/>
                      <w:szCs w:val="18"/>
                    </w:rPr>
                  </w:pPr>
                  <w:r>
                    <w:rPr>
                      <w:rFonts w:hint="eastAsia" w:ascii="Times New Roman" w:hAnsi="Times New Roman" w:cs="Times New Roman"/>
                      <w:spacing w:val="1"/>
                      <w:sz w:val="18"/>
                      <w:szCs w:val="18"/>
                    </w:rPr>
                    <w:t>45</w:t>
                  </w:r>
                </w:p>
              </w:tc>
            </w:tr>
          </w:tbl>
          <w:p>
            <w:pPr>
              <w:autoSpaceDE w:val="0"/>
              <w:autoSpaceDN w:val="0"/>
              <w:adjustRightInd w:val="0"/>
              <w:snapToGrid w:val="0"/>
              <w:spacing w:line="400" w:lineRule="exact"/>
              <w:ind w:firstLine="420" w:firstLineChars="200"/>
              <w:jc w:val="left"/>
              <w:rPr>
                <w:rFonts w:cs="宋体"/>
                <w:kern w:val="0"/>
                <w:szCs w:val="21"/>
              </w:rPr>
            </w:pPr>
            <w:r>
              <w:rPr>
                <w:rFonts w:hint="eastAsia" w:cs="宋体"/>
                <w:kern w:val="0"/>
                <w:szCs w:val="21"/>
              </w:rPr>
              <w:t>为减小对周围环境的影响，采取如下噪声控制措施：</w:t>
            </w:r>
          </w:p>
          <w:p>
            <w:pPr>
              <w:autoSpaceDE w:val="0"/>
              <w:autoSpaceDN w:val="0"/>
              <w:adjustRightInd w:val="0"/>
              <w:snapToGrid w:val="0"/>
              <w:spacing w:line="400" w:lineRule="exact"/>
              <w:ind w:firstLine="420" w:firstLineChars="200"/>
              <w:jc w:val="left"/>
              <w:rPr>
                <w:rFonts w:cs="宋体"/>
                <w:kern w:val="0"/>
                <w:szCs w:val="21"/>
              </w:rPr>
            </w:pPr>
            <w:r>
              <w:rPr>
                <w:rFonts w:hint="eastAsia" w:cs="宋体"/>
                <w:kern w:val="0"/>
                <w:szCs w:val="21"/>
              </w:rPr>
              <w:t>①在满足功能要求的前提下，选择低噪声且符合国家噪声标准的设备。加强对装载机的维护保养，把对环境的影响降到最低限度。</w:t>
            </w:r>
          </w:p>
          <w:p>
            <w:pPr>
              <w:autoSpaceDE w:val="0"/>
              <w:autoSpaceDN w:val="0"/>
              <w:adjustRightInd w:val="0"/>
              <w:snapToGrid w:val="0"/>
              <w:spacing w:line="400" w:lineRule="exact"/>
              <w:ind w:firstLine="420" w:firstLineChars="200"/>
              <w:jc w:val="left"/>
              <w:rPr>
                <w:rFonts w:cs="宋体"/>
                <w:kern w:val="0"/>
                <w:szCs w:val="21"/>
              </w:rPr>
            </w:pPr>
            <w:r>
              <w:rPr>
                <w:rFonts w:hint="eastAsia" w:cs="宋体"/>
                <w:kern w:val="0"/>
                <w:szCs w:val="21"/>
              </w:rPr>
              <w:t>②水泵选择潜水式，安装于液面之下，利用液体阻隔噪声。</w:t>
            </w:r>
          </w:p>
          <w:p>
            <w:pPr>
              <w:autoSpaceDE w:val="0"/>
              <w:autoSpaceDN w:val="0"/>
              <w:adjustRightInd w:val="0"/>
              <w:snapToGrid w:val="0"/>
              <w:spacing w:line="400" w:lineRule="exact"/>
              <w:ind w:firstLine="420" w:firstLineChars="200"/>
              <w:jc w:val="left"/>
              <w:rPr>
                <w:rFonts w:cs="宋体"/>
                <w:kern w:val="0"/>
                <w:szCs w:val="21"/>
              </w:rPr>
            </w:pPr>
            <w:r>
              <w:rPr>
                <w:rFonts w:hint="eastAsia" w:cs="宋体"/>
                <w:kern w:val="0"/>
                <w:szCs w:val="21"/>
              </w:rPr>
              <w:t>③装载机布置在封闭式储煤棚内，利用围墙建筑隔声。</w:t>
            </w:r>
          </w:p>
          <w:p>
            <w:pPr>
              <w:autoSpaceDE w:val="0"/>
              <w:autoSpaceDN w:val="0"/>
              <w:adjustRightInd w:val="0"/>
              <w:snapToGrid w:val="0"/>
              <w:spacing w:line="400" w:lineRule="exact"/>
              <w:ind w:firstLine="420" w:firstLineChars="200"/>
              <w:jc w:val="left"/>
              <w:rPr>
                <w:rFonts w:cs="宋体"/>
                <w:kern w:val="0"/>
                <w:szCs w:val="21"/>
              </w:rPr>
            </w:pPr>
            <w:r>
              <w:rPr>
                <w:rFonts w:hint="eastAsia" w:cs="宋体"/>
                <w:kern w:val="0"/>
                <w:szCs w:val="21"/>
              </w:rPr>
              <w:t>④加强管理，定期维护保养设施设备，防止设备故障形成的非正常生产噪声，杜绝因设备不正常运转时产生的高噪声现象。</w:t>
            </w:r>
          </w:p>
          <w:p>
            <w:pPr>
              <w:autoSpaceDE w:val="0"/>
              <w:autoSpaceDN w:val="0"/>
              <w:adjustRightInd w:val="0"/>
              <w:snapToGrid w:val="0"/>
              <w:spacing w:line="400" w:lineRule="exact"/>
              <w:ind w:firstLine="420" w:firstLineChars="200"/>
              <w:jc w:val="left"/>
              <w:rPr>
                <w:rFonts w:cs="宋体"/>
                <w:kern w:val="0"/>
                <w:szCs w:val="21"/>
              </w:rPr>
            </w:pPr>
            <w:r>
              <w:rPr>
                <w:rFonts w:hint="eastAsia" w:cs="宋体"/>
                <w:kern w:val="0"/>
                <w:szCs w:val="21"/>
              </w:rPr>
              <w:t>⑤加强车辆运输管理，减少机动车频繁启动和怠速运行，尽量避免夜间装卸物料。</w:t>
            </w:r>
          </w:p>
          <w:p>
            <w:pPr>
              <w:autoSpaceDE w:val="0"/>
              <w:autoSpaceDN w:val="0"/>
              <w:adjustRightInd w:val="0"/>
              <w:snapToGrid w:val="0"/>
              <w:spacing w:line="400" w:lineRule="exact"/>
              <w:ind w:firstLine="420" w:firstLineChars="200"/>
              <w:jc w:val="left"/>
              <w:rPr>
                <w:rFonts w:cs="宋体"/>
                <w:kern w:val="0"/>
                <w:szCs w:val="21"/>
              </w:rPr>
            </w:pPr>
            <w:r>
              <w:rPr>
                <w:rFonts w:hint="eastAsia" w:cs="宋体"/>
                <w:kern w:val="0"/>
                <w:szCs w:val="21"/>
              </w:rPr>
              <w:t>⑥煤炭装卸作业均在堆场内进行，减小作业噪声对外界的影响。</w:t>
            </w:r>
          </w:p>
          <w:p>
            <w:pPr>
              <w:autoSpaceDE w:val="0"/>
              <w:autoSpaceDN w:val="0"/>
              <w:adjustRightInd w:val="0"/>
              <w:snapToGrid w:val="0"/>
              <w:spacing w:line="400" w:lineRule="exact"/>
              <w:ind w:firstLine="420" w:firstLineChars="200"/>
              <w:jc w:val="left"/>
              <w:rPr>
                <w:rFonts w:cs="宋体"/>
                <w:kern w:val="0"/>
                <w:szCs w:val="21"/>
              </w:rPr>
            </w:pPr>
            <w:r>
              <w:rPr>
                <w:rFonts w:hint="eastAsia" w:cs="宋体"/>
                <w:kern w:val="0"/>
                <w:szCs w:val="21"/>
              </w:rPr>
              <w:t>⑦合理安排作业时间，尽量避免夜间运输及装卸物料。</w:t>
            </w:r>
          </w:p>
          <w:p>
            <w:pPr>
              <w:autoSpaceDE w:val="0"/>
              <w:autoSpaceDN w:val="0"/>
              <w:adjustRightInd w:val="0"/>
              <w:snapToGrid w:val="0"/>
              <w:spacing w:line="400" w:lineRule="exact"/>
              <w:ind w:firstLine="420" w:firstLineChars="200"/>
              <w:jc w:val="left"/>
              <w:rPr>
                <w:rFonts w:cs="宋体"/>
                <w:kern w:val="0"/>
                <w:szCs w:val="21"/>
              </w:rPr>
            </w:pPr>
            <w:r>
              <w:rPr>
                <w:rFonts w:hint="eastAsia" w:cs="宋体"/>
                <w:kern w:val="0"/>
                <w:szCs w:val="21"/>
              </w:rPr>
              <w:t>本项目噪声主要来自生产设备的运行噪声，根据类比调查，在采取上述噪声控制措施后，隔声量取15dB(A)，噪声源强详见下表。</w:t>
            </w:r>
          </w:p>
          <w:p>
            <w:pPr>
              <w:autoSpaceDE w:val="0"/>
              <w:autoSpaceDN w:val="0"/>
              <w:adjustRightInd w:val="0"/>
              <w:snapToGrid w:val="0"/>
              <w:spacing w:line="400" w:lineRule="exact"/>
              <w:ind w:firstLine="420" w:firstLineChars="200"/>
              <w:jc w:val="left"/>
              <w:rPr>
                <w:rFonts w:cs="宋体"/>
                <w:kern w:val="0"/>
                <w:szCs w:val="21"/>
              </w:rPr>
            </w:pPr>
            <w:r>
              <w:rPr>
                <w:rFonts w:hint="eastAsia" w:cs="宋体"/>
                <w:kern w:val="0"/>
                <w:szCs w:val="21"/>
              </w:rPr>
              <w:t>（2）环境影响及达标分析</w:t>
            </w:r>
          </w:p>
          <w:p>
            <w:pPr>
              <w:autoSpaceDE w:val="0"/>
              <w:autoSpaceDN w:val="0"/>
              <w:adjustRightInd w:val="0"/>
              <w:snapToGrid w:val="0"/>
              <w:spacing w:line="400" w:lineRule="exact"/>
              <w:ind w:firstLine="420" w:firstLineChars="200"/>
              <w:jc w:val="left"/>
              <w:rPr>
                <w:kern w:val="0"/>
                <w:sz w:val="24"/>
                <w:szCs w:val="21"/>
              </w:rPr>
            </w:pPr>
            <w:r>
              <w:rPr>
                <w:rFonts w:hint="eastAsia" w:cs="宋体"/>
                <w:kern w:val="0"/>
                <w:szCs w:val="21"/>
              </w:rPr>
              <w:t>评价以储煤棚内的装载机噪声值（85dB(A)）为源强进行预测。项目仅在白天进行运输及装卸作业，因此仅评价昼间噪声厂界达标情况及对敏感点影响。预测结果见下表。</w:t>
            </w:r>
          </w:p>
          <w:p>
            <w:pPr>
              <w:adjustRightInd w:val="0"/>
              <w:snapToGrid w:val="0"/>
              <w:spacing w:line="400" w:lineRule="exact"/>
              <w:jc w:val="center"/>
              <w:rPr>
                <w:rFonts w:eastAsia="黑体"/>
                <w:sz w:val="18"/>
                <w:szCs w:val="18"/>
              </w:rPr>
            </w:pPr>
            <w:r>
              <w:rPr>
                <w:rFonts w:ascii="黑体" w:hAnsi="黑体" w:eastAsia="黑体"/>
                <w:sz w:val="18"/>
                <w:szCs w:val="18"/>
              </w:rPr>
              <w:t>表</w:t>
            </w:r>
            <w:r>
              <w:rPr>
                <w:rFonts w:hint="eastAsia" w:eastAsia="黑体"/>
                <w:sz w:val="18"/>
                <w:szCs w:val="18"/>
              </w:rPr>
              <w:t>4-6   项目噪声</w:t>
            </w:r>
            <w:r>
              <w:rPr>
                <w:rFonts w:ascii="黑体" w:hAnsi="黑体" w:eastAsia="黑体"/>
                <w:sz w:val="18"/>
                <w:szCs w:val="18"/>
              </w:rPr>
              <w:t>预测结果</w:t>
            </w:r>
            <w:r>
              <w:rPr>
                <w:rFonts w:hint="eastAsia" w:ascii="黑体" w:hAnsi="黑体" w:eastAsia="黑体"/>
                <w:sz w:val="18"/>
                <w:szCs w:val="18"/>
              </w:rPr>
              <w:t xml:space="preserve">   </w:t>
            </w:r>
            <w:r>
              <w:rPr>
                <w:rFonts w:hint="eastAsia" w:ascii="黑体" w:hAnsi="黑体" w:eastAsia="黑体"/>
                <w:bCs/>
                <w:sz w:val="18"/>
                <w:szCs w:val="18"/>
              </w:rPr>
              <w:t>单位：</w:t>
            </w:r>
            <w:r>
              <w:rPr>
                <w:rFonts w:hint="eastAsia"/>
                <w:sz w:val="18"/>
                <w:szCs w:val="18"/>
              </w:rPr>
              <w:t>dB(A)</w:t>
            </w:r>
          </w:p>
          <w:tbl>
            <w:tblPr>
              <w:tblStyle w:val="21"/>
              <w:tblW w:w="79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4"/>
              <w:gridCol w:w="889"/>
              <w:gridCol w:w="781"/>
              <w:gridCol w:w="1045"/>
              <w:gridCol w:w="631"/>
              <w:gridCol w:w="733"/>
              <w:gridCol w:w="776"/>
              <w:gridCol w:w="996"/>
              <w:gridCol w:w="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314" w:type="dxa"/>
                  <w:vMerge w:val="restart"/>
                  <w:tcBorders>
                    <w:top w:val="single" w:color="auto" w:sz="4" w:space="0"/>
                    <w:left w:val="single" w:color="auto" w:sz="4" w:space="0"/>
                    <w:bottom w:val="single" w:color="auto" w:sz="4" w:space="0"/>
                    <w:right w:val="single" w:color="auto" w:sz="4" w:space="0"/>
                  </w:tcBorders>
                  <w:vAlign w:val="center"/>
                </w:tcPr>
                <w:p>
                  <w:pPr>
                    <w:spacing w:line="340" w:lineRule="exact"/>
                    <w:ind w:left="-105" w:leftChars="-50" w:right="-105" w:rightChars="-50"/>
                    <w:jc w:val="center"/>
                    <w:rPr>
                      <w:kern w:val="0"/>
                      <w:sz w:val="18"/>
                      <w:szCs w:val="18"/>
                    </w:rPr>
                  </w:pPr>
                  <w:r>
                    <w:rPr>
                      <w:rFonts w:hint="eastAsia"/>
                      <w:kern w:val="0"/>
                      <w:sz w:val="18"/>
                      <w:szCs w:val="18"/>
                    </w:rPr>
                    <w:t>项目</w:t>
                  </w:r>
                </w:p>
              </w:tc>
              <w:tc>
                <w:tcPr>
                  <w:tcW w:w="889" w:type="dxa"/>
                  <w:vMerge w:val="restart"/>
                  <w:tcBorders>
                    <w:top w:val="single" w:color="auto" w:sz="4" w:space="0"/>
                    <w:left w:val="single" w:color="auto" w:sz="4" w:space="0"/>
                    <w:bottom w:val="single" w:color="auto" w:sz="4" w:space="0"/>
                    <w:right w:val="single" w:color="auto" w:sz="4" w:space="0"/>
                  </w:tcBorders>
                  <w:vAlign w:val="center"/>
                </w:tcPr>
                <w:p>
                  <w:pPr>
                    <w:spacing w:line="340" w:lineRule="exact"/>
                    <w:ind w:left="-105" w:leftChars="-50" w:right="-105" w:rightChars="-50"/>
                    <w:jc w:val="center"/>
                    <w:rPr>
                      <w:kern w:val="0"/>
                      <w:sz w:val="18"/>
                      <w:szCs w:val="18"/>
                    </w:rPr>
                  </w:pPr>
                  <w:r>
                    <w:rPr>
                      <w:rFonts w:hint="eastAsia"/>
                      <w:kern w:val="0"/>
                      <w:sz w:val="18"/>
                      <w:szCs w:val="18"/>
                    </w:rPr>
                    <w:t>与噪声源的距离</w:t>
                  </w:r>
                </w:p>
              </w:tc>
              <w:tc>
                <w:tcPr>
                  <w:tcW w:w="781" w:type="dxa"/>
                  <w:vMerge w:val="restart"/>
                  <w:tcBorders>
                    <w:top w:val="single" w:color="auto" w:sz="4" w:space="0"/>
                    <w:left w:val="single" w:color="auto" w:sz="4" w:space="0"/>
                    <w:bottom w:val="single" w:color="auto" w:sz="4" w:space="0"/>
                    <w:right w:val="single" w:color="auto" w:sz="4" w:space="0"/>
                  </w:tcBorders>
                  <w:vAlign w:val="center"/>
                </w:tcPr>
                <w:p>
                  <w:pPr>
                    <w:spacing w:line="340" w:lineRule="exact"/>
                    <w:ind w:left="-105" w:leftChars="-50" w:right="-105" w:rightChars="-50"/>
                    <w:jc w:val="center"/>
                    <w:rPr>
                      <w:kern w:val="0"/>
                      <w:sz w:val="18"/>
                      <w:szCs w:val="18"/>
                    </w:rPr>
                  </w:pPr>
                  <w:r>
                    <w:rPr>
                      <w:rFonts w:hint="eastAsia"/>
                      <w:kern w:val="0"/>
                      <w:sz w:val="18"/>
                      <w:szCs w:val="18"/>
                    </w:rPr>
                    <w:t>源强</w:t>
                  </w:r>
                </w:p>
              </w:tc>
              <w:tc>
                <w:tcPr>
                  <w:tcW w:w="1045" w:type="dxa"/>
                  <w:vMerge w:val="restart"/>
                  <w:tcBorders>
                    <w:top w:val="single" w:color="auto" w:sz="4" w:space="0"/>
                    <w:left w:val="single" w:color="auto" w:sz="4" w:space="0"/>
                    <w:bottom w:val="single" w:color="auto" w:sz="4" w:space="0"/>
                    <w:right w:val="single" w:color="auto" w:sz="4" w:space="0"/>
                  </w:tcBorders>
                  <w:vAlign w:val="center"/>
                </w:tcPr>
                <w:p>
                  <w:pPr>
                    <w:spacing w:line="340" w:lineRule="exact"/>
                    <w:ind w:left="-105" w:leftChars="-50" w:right="-105" w:rightChars="-50"/>
                    <w:jc w:val="center"/>
                    <w:rPr>
                      <w:sz w:val="18"/>
                      <w:szCs w:val="18"/>
                    </w:rPr>
                  </w:pPr>
                  <w:r>
                    <w:rPr>
                      <w:rFonts w:hint="eastAsia"/>
                      <w:kern w:val="0"/>
                      <w:sz w:val="18"/>
                      <w:szCs w:val="18"/>
                    </w:rPr>
                    <w:t>围挡及环境阻挡降噪</w:t>
                  </w:r>
                </w:p>
              </w:tc>
              <w:tc>
                <w:tcPr>
                  <w:tcW w:w="631" w:type="dxa"/>
                  <w:vMerge w:val="restart"/>
                  <w:tcBorders>
                    <w:top w:val="single" w:color="auto" w:sz="4" w:space="0"/>
                    <w:left w:val="single" w:color="auto" w:sz="4" w:space="0"/>
                    <w:bottom w:val="single" w:color="auto" w:sz="4" w:space="0"/>
                    <w:right w:val="single" w:color="auto" w:sz="4" w:space="0"/>
                  </w:tcBorders>
                  <w:vAlign w:val="center"/>
                </w:tcPr>
                <w:p>
                  <w:pPr>
                    <w:spacing w:line="340" w:lineRule="exact"/>
                    <w:ind w:left="-105" w:leftChars="-50" w:right="-105" w:rightChars="-50"/>
                    <w:jc w:val="center"/>
                    <w:rPr>
                      <w:kern w:val="0"/>
                      <w:sz w:val="18"/>
                      <w:szCs w:val="18"/>
                    </w:rPr>
                  </w:pPr>
                  <w:r>
                    <w:rPr>
                      <w:rFonts w:hint="eastAsia"/>
                      <w:kern w:val="0"/>
                      <w:sz w:val="18"/>
                      <w:szCs w:val="18"/>
                    </w:rPr>
                    <w:t>贡献值</w:t>
                  </w:r>
                </w:p>
              </w:tc>
              <w:tc>
                <w:tcPr>
                  <w:tcW w:w="733" w:type="dxa"/>
                  <w:tcBorders>
                    <w:top w:val="single" w:color="auto" w:sz="4" w:space="0"/>
                    <w:left w:val="single" w:color="auto" w:sz="4" w:space="0"/>
                    <w:bottom w:val="single" w:color="auto" w:sz="4" w:space="0"/>
                    <w:right w:val="single" w:color="auto" w:sz="4" w:space="0"/>
                  </w:tcBorders>
                  <w:vAlign w:val="center"/>
                </w:tcPr>
                <w:p>
                  <w:pPr>
                    <w:spacing w:line="340" w:lineRule="exact"/>
                    <w:ind w:left="-105" w:leftChars="-50" w:right="-105" w:rightChars="-50"/>
                    <w:jc w:val="center"/>
                    <w:rPr>
                      <w:kern w:val="0"/>
                      <w:sz w:val="18"/>
                      <w:szCs w:val="18"/>
                    </w:rPr>
                  </w:pPr>
                  <w:r>
                    <w:rPr>
                      <w:rFonts w:hint="eastAsia"/>
                      <w:kern w:val="0"/>
                      <w:sz w:val="18"/>
                      <w:szCs w:val="18"/>
                    </w:rPr>
                    <w:t>背景值</w:t>
                  </w:r>
                </w:p>
              </w:tc>
              <w:tc>
                <w:tcPr>
                  <w:tcW w:w="776" w:type="dxa"/>
                  <w:tcBorders>
                    <w:top w:val="single" w:color="auto" w:sz="4" w:space="0"/>
                    <w:left w:val="single" w:color="auto" w:sz="4" w:space="0"/>
                    <w:bottom w:val="single" w:color="auto" w:sz="4" w:space="0"/>
                    <w:right w:val="single" w:color="auto" w:sz="4" w:space="0"/>
                  </w:tcBorders>
                  <w:vAlign w:val="center"/>
                </w:tcPr>
                <w:p>
                  <w:pPr>
                    <w:spacing w:line="340" w:lineRule="exact"/>
                    <w:ind w:left="-105" w:leftChars="-50" w:right="-105" w:rightChars="-50"/>
                    <w:jc w:val="center"/>
                    <w:rPr>
                      <w:kern w:val="0"/>
                      <w:sz w:val="18"/>
                      <w:szCs w:val="18"/>
                    </w:rPr>
                  </w:pPr>
                  <w:r>
                    <w:rPr>
                      <w:rFonts w:hint="eastAsia"/>
                      <w:kern w:val="0"/>
                      <w:sz w:val="18"/>
                      <w:szCs w:val="18"/>
                    </w:rPr>
                    <w:t>预测值</w:t>
                  </w:r>
                </w:p>
              </w:tc>
              <w:tc>
                <w:tcPr>
                  <w:tcW w:w="996" w:type="dxa"/>
                  <w:tcBorders>
                    <w:top w:val="single" w:color="auto" w:sz="4" w:space="0"/>
                    <w:left w:val="single" w:color="auto" w:sz="4" w:space="0"/>
                    <w:bottom w:val="single" w:color="auto" w:sz="4" w:space="0"/>
                    <w:right w:val="single" w:color="auto" w:sz="4" w:space="0"/>
                  </w:tcBorders>
                  <w:vAlign w:val="center"/>
                </w:tcPr>
                <w:p>
                  <w:pPr>
                    <w:spacing w:line="340" w:lineRule="exact"/>
                    <w:ind w:left="-105" w:leftChars="-50" w:right="-105" w:rightChars="-50"/>
                    <w:jc w:val="center"/>
                    <w:rPr>
                      <w:kern w:val="0"/>
                      <w:sz w:val="18"/>
                      <w:szCs w:val="18"/>
                    </w:rPr>
                  </w:pPr>
                  <w:r>
                    <w:rPr>
                      <w:rFonts w:hint="eastAsia"/>
                      <w:kern w:val="0"/>
                      <w:sz w:val="18"/>
                      <w:szCs w:val="18"/>
                    </w:rPr>
                    <w:t>执行标准</w:t>
                  </w:r>
                </w:p>
              </w:tc>
              <w:tc>
                <w:tcPr>
                  <w:tcW w:w="830" w:type="dxa"/>
                  <w:tcBorders>
                    <w:top w:val="single" w:color="auto" w:sz="4" w:space="0"/>
                    <w:left w:val="single" w:color="auto" w:sz="4" w:space="0"/>
                    <w:bottom w:val="single" w:color="auto" w:sz="4" w:space="0"/>
                    <w:right w:val="single" w:color="auto" w:sz="4" w:space="0"/>
                  </w:tcBorders>
                  <w:vAlign w:val="center"/>
                </w:tcPr>
                <w:p>
                  <w:pPr>
                    <w:spacing w:line="340" w:lineRule="exact"/>
                    <w:ind w:left="-105" w:leftChars="-50" w:right="-105" w:rightChars="-50"/>
                    <w:jc w:val="center"/>
                    <w:rPr>
                      <w:kern w:val="0"/>
                      <w:sz w:val="18"/>
                      <w:szCs w:val="18"/>
                    </w:rPr>
                  </w:pPr>
                  <w:r>
                    <w:rPr>
                      <w:rFonts w:hint="eastAsia"/>
                      <w:kern w:val="0"/>
                      <w:sz w:val="18"/>
                      <w:szCs w:val="18"/>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31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40" w:lineRule="exact"/>
                    <w:ind w:left="-105" w:leftChars="-50" w:right="-105" w:rightChars="-50"/>
                    <w:jc w:val="left"/>
                    <w:rPr>
                      <w:kern w:val="0"/>
                      <w:sz w:val="18"/>
                      <w:szCs w:val="18"/>
                    </w:rPr>
                  </w:pPr>
                </w:p>
              </w:tc>
              <w:tc>
                <w:tcPr>
                  <w:tcW w:w="88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40" w:lineRule="exact"/>
                    <w:ind w:left="-105" w:leftChars="-50" w:right="-105" w:rightChars="-50"/>
                    <w:jc w:val="left"/>
                    <w:rPr>
                      <w:kern w:val="0"/>
                      <w:sz w:val="18"/>
                      <w:szCs w:val="18"/>
                    </w:rPr>
                  </w:pPr>
                </w:p>
              </w:tc>
              <w:tc>
                <w:tcPr>
                  <w:tcW w:w="78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40" w:lineRule="exact"/>
                    <w:ind w:left="-105" w:leftChars="-50" w:right="-105" w:rightChars="-50"/>
                    <w:jc w:val="left"/>
                    <w:rPr>
                      <w:kern w:val="0"/>
                      <w:sz w:val="18"/>
                      <w:szCs w:val="18"/>
                    </w:rPr>
                  </w:pPr>
                </w:p>
              </w:tc>
              <w:tc>
                <w:tcPr>
                  <w:tcW w:w="104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40" w:lineRule="exact"/>
                    <w:ind w:left="-105" w:leftChars="-50" w:right="-105" w:rightChars="-50"/>
                    <w:jc w:val="left"/>
                    <w:rPr>
                      <w:sz w:val="18"/>
                      <w:szCs w:val="18"/>
                    </w:rPr>
                  </w:pPr>
                </w:p>
              </w:tc>
              <w:tc>
                <w:tcPr>
                  <w:tcW w:w="63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40" w:lineRule="exact"/>
                    <w:ind w:left="-105" w:leftChars="-50" w:right="-105" w:rightChars="-50"/>
                    <w:jc w:val="left"/>
                    <w:rPr>
                      <w:kern w:val="0"/>
                      <w:sz w:val="18"/>
                      <w:szCs w:val="18"/>
                    </w:rPr>
                  </w:pPr>
                </w:p>
              </w:tc>
              <w:tc>
                <w:tcPr>
                  <w:tcW w:w="733" w:type="dxa"/>
                  <w:tcBorders>
                    <w:top w:val="single" w:color="auto" w:sz="4" w:space="0"/>
                    <w:left w:val="single" w:color="auto" w:sz="4" w:space="0"/>
                    <w:bottom w:val="single" w:color="auto" w:sz="4" w:space="0"/>
                    <w:right w:val="single" w:color="auto" w:sz="4" w:space="0"/>
                  </w:tcBorders>
                  <w:vAlign w:val="center"/>
                </w:tcPr>
                <w:p>
                  <w:pPr>
                    <w:spacing w:line="340" w:lineRule="exact"/>
                    <w:ind w:left="-105" w:leftChars="-50" w:right="-105" w:rightChars="-50"/>
                    <w:jc w:val="center"/>
                    <w:rPr>
                      <w:kern w:val="0"/>
                      <w:sz w:val="18"/>
                      <w:szCs w:val="18"/>
                    </w:rPr>
                  </w:pPr>
                  <w:r>
                    <w:rPr>
                      <w:rFonts w:hint="eastAsia"/>
                      <w:kern w:val="0"/>
                      <w:sz w:val="18"/>
                      <w:szCs w:val="18"/>
                    </w:rPr>
                    <w:t>昼间</w:t>
                  </w:r>
                </w:p>
              </w:tc>
              <w:tc>
                <w:tcPr>
                  <w:tcW w:w="776" w:type="dxa"/>
                  <w:tcBorders>
                    <w:top w:val="single" w:color="auto" w:sz="4" w:space="0"/>
                    <w:left w:val="single" w:color="auto" w:sz="4" w:space="0"/>
                    <w:bottom w:val="single" w:color="auto" w:sz="4" w:space="0"/>
                    <w:right w:val="single" w:color="auto" w:sz="4" w:space="0"/>
                  </w:tcBorders>
                  <w:vAlign w:val="center"/>
                </w:tcPr>
                <w:p>
                  <w:pPr>
                    <w:spacing w:line="340" w:lineRule="exact"/>
                    <w:ind w:left="-105" w:leftChars="-50" w:right="-105" w:rightChars="-50"/>
                    <w:jc w:val="center"/>
                    <w:rPr>
                      <w:kern w:val="0"/>
                      <w:sz w:val="18"/>
                      <w:szCs w:val="18"/>
                    </w:rPr>
                  </w:pPr>
                  <w:r>
                    <w:rPr>
                      <w:rFonts w:hint="eastAsia"/>
                      <w:kern w:val="0"/>
                      <w:sz w:val="18"/>
                      <w:szCs w:val="18"/>
                    </w:rPr>
                    <w:t>昼间</w:t>
                  </w:r>
                </w:p>
              </w:tc>
              <w:tc>
                <w:tcPr>
                  <w:tcW w:w="996" w:type="dxa"/>
                  <w:tcBorders>
                    <w:top w:val="single" w:color="auto" w:sz="4" w:space="0"/>
                    <w:left w:val="single" w:color="auto" w:sz="4" w:space="0"/>
                    <w:bottom w:val="single" w:color="auto" w:sz="4" w:space="0"/>
                    <w:right w:val="single" w:color="auto" w:sz="4" w:space="0"/>
                  </w:tcBorders>
                  <w:vAlign w:val="center"/>
                </w:tcPr>
                <w:p>
                  <w:pPr>
                    <w:spacing w:line="340" w:lineRule="exact"/>
                    <w:ind w:left="-105" w:leftChars="-50" w:right="-105" w:rightChars="-50"/>
                    <w:jc w:val="center"/>
                    <w:rPr>
                      <w:kern w:val="0"/>
                      <w:sz w:val="18"/>
                      <w:szCs w:val="18"/>
                    </w:rPr>
                  </w:pPr>
                  <w:r>
                    <w:rPr>
                      <w:rFonts w:hint="eastAsia"/>
                      <w:kern w:val="0"/>
                      <w:sz w:val="18"/>
                      <w:szCs w:val="18"/>
                    </w:rPr>
                    <w:t>昼间</w:t>
                  </w:r>
                </w:p>
              </w:tc>
              <w:tc>
                <w:tcPr>
                  <w:tcW w:w="830" w:type="dxa"/>
                  <w:tcBorders>
                    <w:top w:val="single" w:color="auto" w:sz="4" w:space="0"/>
                    <w:left w:val="single" w:color="auto" w:sz="4" w:space="0"/>
                    <w:bottom w:val="single" w:color="auto" w:sz="4" w:space="0"/>
                    <w:right w:val="single" w:color="auto" w:sz="4" w:space="0"/>
                  </w:tcBorders>
                  <w:vAlign w:val="center"/>
                </w:tcPr>
                <w:p>
                  <w:pPr>
                    <w:spacing w:line="340" w:lineRule="exact"/>
                    <w:ind w:left="-105" w:leftChars="-50" w:right="-105" w:rightChars="-50"/>
                    <w:jc w:val="center"/>
                    <w:rPr>
                      <w:kern w:val="0"/>
                      <w:sz w:val="18"/>
                      <w:szCs w:val="18"/>
                    </w:rPr>
                  </w:pPr>
                  <w:r>
                    <w:rPr>
                      <w:rFonts w:hint="eastAsia"/>
                      <w:kern w:val="0"/>
                      <w:sz w:val="18"/>
                      <w:szCs w:val="18"/>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314" w:type="dxa"/>
                  <w:tcBorders>
                    <w:top w:val="single" w:color="auto" w:sz="4" w:space="0"/>
                    <w:left w:val="single" w:color="auto" w:sz="4" w:space="0"/>
                    <w:right w:val="single" w:color="auto" w:sz="4" w:space="0"/>
                  </w:tcBorders>
                  <w:vAlign w:val="center"/>
                </w:tcPr>
                <w:p>
                  <w:pPr>
                    <w:spacing w:line="340" w:lineRule="exact"/>
                    <w:ind w:left="-105" w:leftChars="-50" w:right="-105" w:rightChars="-50"/>
                    <w:jc w:val="center"/>
                    <w:rPr>
                      <w:sz w:val="18"/>
                      <w:szCs w:val="18"/>
                      <w:lang w:val="zh-CN"/>
                    </w:rPr>
                  </w:pPr>
                  <w:r>
                    <w:rPr>
                      <w:rFonts w:hint="eastAsia"/>
                      <w:sz w:val="18"/>
                      <w:szCs w:val="18"/>
                      <w:lang w:val="zh-CN"/>
                    </w:rPr>
                    <w:t>东厂界</w:t>
                  </w:r>
                </w:p>
              </w:tc>
              <w:tc>
                <w:tcPr>
                  <w:tcW w:w="889" w:type="dxa"/>
                  <w:tcBorders>
                    <w:top w:val="single" w:color="auto" w:sz="4" w:space="0"/>
                    <w:left w:val="single" w:color="auto" w:sz="4" w:space="0"/>
                    <w:bottom w:val="single" w:color="auto" w:sz="4" w:space="0"/>
                    <w:right w:val="single" w:color="auto" w:sz="4" w:space="0"/>
                  </w:tcBorders>
                </w:tcPr>
                <w:p>
                  <w:pPr>
                    <w:spacing w:line="340" w:lineRule="exact"/>
                    <w:ind w:left="-105" w:leftChars="-50" w:right="-105" w:rightChars="-50"/>
                    <w:jc w:val="center"/>
                    <w:rPr>
                      <w:kern w:val="0"/>
                      <w:sz w:val="18"/>
                      <w:szCs w:val="18"/>
                    </w:rPr>
                  </w:pPr>
                  <w:r>
                    <w:rPr>
                      <w:rFonts w:hint="eastAsia"/>
                      <w:kern w:val="0"/>
                      <w:sz w:val="18"/>
                      <w:szCs w:val="18"/>
                    </w:rPr>
                    <w:t>6</w:t>
                  </w:r>
                  <w:r>
                    <w:rPr>
                      <w:kern w:val="0"/>
                      <w:sz w:val="18"/>
                      <w:szCs w:val="18"/>
                    </w:rPr>
                    <w:t>m</w:t>
                  </w:r>
                </w:p>
              </w:tc>
              <w:tc>
                <w:tcPr>
                  <w:tcW w:w="781" w:type="dxa"/>
                  <w:vMerge w:val="restart"/>
                  <w:tcBorders>
                    <w:top w:val="single" w:color="auto" w:sz="4" w:space="0"/>
                    <w:left w:val="single" w:color="auto" w:sz="4" w:space="0"/>
                    <w:right w:val="single" w:color="auto" w:sz="4" w:space="0"/>
                  </w:tcBorders>
                  <w:vAlign w:val="center"/>
                </w:tcPr>
                <w:p>
                  <w:pPr>
                    <w:spacing w:line="340" w:lineRule="exact"/>
                    <w:ind w:left="-105" w:leftChars="-50" w:right="-105" w:rightChars="-50"/>
                    <w:jc w:val="center"/>
                    <w:rPr>
                      <w:kern w:val="0"/>
                      <w:sz w:val="18"/>
                      <w:szCs w:val="18"/>
                    </w:rPr>
                  </w:pPr>
                  <w:r>
                    <w:rPr>
                      <w:rFonts w:hint="eastAsia"/>
                      <w:kern w:val="0"/>
                      <w:sz w:val="18"/>
                      <w:szCs w:val="18"/>
                    </w:rPr>
                    <w:t>85</w:t>
                  </w:r>
                </w:p>
              </w:tc>
              <w:tc>
                <w:tcPr>
                  <w:tcW w:w="1045" w:type="dxa"/>
                  <w:tcBorders>
                    <w:top w:val="single" w:color="auto" w:sz="4" w:space="0"/>
                    <w:left w:val="single" w:color="auto" w:sz="4" w:space="0"/>
                    <w:bottom w:val="single" w:color="auto" w:sz="4" w:space="0"/>
                    <w:right w:val="single" w:color="auto" w:sz="4" w:space="0"/>
                  </w:tcBorders>
                </w:tcPr>
                <w:p>
                  <w:pPr>
                    <w:spacing w:line="340" w:lineRule="exact"/>
                    <w:ind w:left="-105" w:leftChars="-50" w:right="-105" w:rightChars="-50"/>
                    <w:jc w:val="center"/>
                    <w:rPr>
                      <w:kern w:val="0"/>
                      <w:sz w:val="18"/>
                      <w:szCs w:val="18"/>
                    </w:rPr>
                  </w:pPr>
                  <w:r>
                    <w:rPr>
                      <w:rFonts w:hint="eastAsia"/>
                      <w:kern w:val="0"/>
                      <w:sz w:val="18"/>
                      <w:szCs w:val="18"/>
                    </w:rPr>
                    <w:t>15</w:t>
                  </w:r>
                </w:p>
              </w:tc>
              <w:tc>
                <w:tcPr>
                  <w:tcW w:w="631" w:type="dxa"/>
                  <w:tcBorders>
                    <w:top w:val="single" w:color="auto" w:sz="4" w:space="0"/>
                    <w:left w:val="single" w:color="auto" w:sz="4" w:space="0"/>
                    <w:bottom w:val="single" w:color="auto" w:sz="4" w:space="0"/>
                    <w:right w:val="single" w:color="auto" w:sz="4" w:space="0"/>
                  </w:tcBorders>
                  <w:vAlign w:val="bottom"/>
                </w:tcPr>
                <w:p>
                  <w:pPr>
                    <w:spacing w:line="340" w:lineRule="exact"/>
                    <w:ind w:left="-105" w:leftChars="-50" w:right="-105" w:rightChars="-50"/>
                    <w:jc w:val="center"/>
                    <w:rPr>
                      <w:kern w:val="0"/>
                      <w:sz w:val="18"/>
                      <w:szCs w:val="18"/>
                    </w:rPr>
                  </w:pPr>
                  <w:r>
                    <w:rPr>
                      <w:kern w:val="0"/>
                      <w:sz w:val="18"/>
                      <w:szCs w:val="18"/>
                    </w:rPr>
                    <w:t>5</w:t>
                  </w:r>
                  <w:r>
                    <w:rPr>
                      <w:rFonts w:hint="eastAsia"/>
                      <w:kern w:val="0"/>
                      <w:sz w:val="18"/>
                      <w:szCs w:val="18"/>
                    </w:rPr>
                    <w:t>4.4</w:t>
                  </w:r>
                  <w:r>
                    <w:rPr>
                      <w:kern w:val="0"/>
                      <w:sz w:val="18"/>
                      <w:szCs w:val="18"/>
                    </w:rPr>
                    <w:t xml:space="preserve"> </w:t>
                  </w:r>
                </w:p>
              </w:tc>
              <w:tc>
                <w:tcPr>
                  <w:tcW w:w="733" w:type="dxa"/>
                  <w:tcBorders>
                    <w:top w:val="single" w:color="auto" w:sz="4" w:space="0"/>
                    <w:left w:val="single" w:color="auto" w:sz="4" w:space="0"/>
                    <w:bottom w:val="single" w:color="auto" w:sz="4" w:space="0"/>
                    <w:right w:val="single" w:color="auto" w:sz="4" w:space="0"/>
                  </w:tcBorders>
                </w:tcPr>
                <w:p>
                  <w:pPr>
                    <w:spacing w:line="340" w:lineRule="exact"/>
                    <w:ind w:left="-105" w:leftChars="-50" w:right="-105" w:rightChars="-50"/>
                    <w:jc w:val="center"/>
                    <w:rPr>
                      <w:kern w:val="0"/>
                      <w:sz w:val="18"/>
                      <w:szCs w:val="18"/>
                    </w:rPr>
                  </w:pPr>
                  <w:r>
                    <w:rPr>
                      <w:kern w:val="0"/>
                      <w:sz w:val="18"/>
                      <w:szCs w:val="18"/>
                    </w:rPr>
                    <w:t>/</w:t>
                  </w:r>
                </w:p>
              </w:tc>
              <w:tc>
                <w:tcPr>
                  <w:tcW w:w="776" w:type="dxa"/>
                  <w:tcBorders>
                    <w:top w:val="single" w:color="auto" w:sz="4" w:space="0"/>
                    <w:left w:val="single" w:color="auto" w:sz="4" w:space="0"/>
                    <w:bottom w:val="single" w:color="auto" w:sz="4" w:space="0"/>
                    <w:right w:val="single" w:color="auto" w:sz="4" w:space="0"/>
                  </w:tcBorders>
                </w:tcPr>
                <w:p>
                  <w:pPr>
                    <w:spacing w:line="340" w:lineRule="exact"/>
                    <w:ind w:left="-105" w:leftChars="-50" w:right="-105" w:rightChars="-50"/>
                    <w:jc w:val="center"/>
                    <w:rPr>
                      <w:kern w:val="0"/>
                      <w:sz w:val="18"/>
                      <w:szCs w:val="18"/>
                    </w:rPr>
                  </w:pPr>
                  <w:r>
                    <w:rPr>
                      <w:kern w:val="0"/>
                      <w:sz w:val="18"/>
                      <w:szCs w:val="18"/>
                    </w:rPr>
                    <w:t>/</w:t>
                  </w:r>
                </w:p>
              </w:tc>
              <w:tc>
                <w:tcPr>
                  <w:tcW w:w="996" w:type="dxa"/>
                  <w:tcBorders>
                    <w:top w:val="single" w:color="auto" w:sz="4" w:space="0"/>
                    <w:left w:val="single" w:color="auto" w:sz="4" w:space="0"/>
                    <w:right w:val="single" w:color="auto" w:sz="4" w:space="0"/>
                  </w:tcBorders>
                  <w:vAlign w:val="center"/>
                </w:tcPr>
                <w:p>
                  <w:pPr>
                    <w:spacing w:line="340" w:lineRule="exact"/>
                    <w:ind w:left="-105" w:leftChars="-50" w:right="-105" w:rightChars="-50"/>
                    <w:jc w:val="center"/>
                    <w:rPr>
                      <w:kern w:val="0"/>
                      <w:sz w:val="18"/>
                      <w:szCs w:val="18"/>
                    </w:rPr>
                  </w:pPr>
                  <w:r>
                    <w:rPr>
                      <w:rFonts w:hint="eastAsia"/>
                      <w:kern w:val="0"/>
                      <w:sz w:val="18"/>
                      <w:szCs w:val="18"/>
                    </w:rPr>
                    <w:t>60</w:t>
                  </w:r>
                </w:p>
              </w:tc>
              <w:tc>
                <w:tcPr>
                  <w:tcW w:w="830" w:type="dxa"/>
                  <w:tcBorders>
                    <w:top w:val="single" w:color="auto" w:sz="4" w:space="0"/>
                    <w:left w:val="single" w:color="auto" w:sz="4" w:space="0"/>
                    <w:bottom w:val="single" w:color="auto" w:sz="4" w:space="0"/>
                    <w:right w:val="single" w:color="auto" w:sz="4" w:space="0"/>
                  </w:tcBorders>
                  <w:vAlign w:val="center"/>
                </w:tcPr>
                <w:p>
                  <w:pPr>
                    <w:spacing w:line="340" w:lineRule="exact"/>
                    <w:ind w:left="-105" w:leftChars="-50" w:right="-105" w:rightChars="-50"/>
                    <w:jc w:val="center"/>
                    <w:rPr>
                      <w:kern w:val="0"/>
                      <w:sz w:val="18"/>
                      <w:szCs w:val="18"/>
                    </w:rPr>
                  </w:pPr>
                  <w:r>
                    <w:rPr>
                      <w:rFonts w:hint="eastAsia"/>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314" w:type="dxa"/>
                  <w:tcBorders>
                    <w:left w:val="single" w:color="auto" w:sz="4" w:space="0"/>
                    <w:right w:val="single" w:color="auto" w:sz="4" w:space="0"/>
                  </w:tcBorders>
                  <w:vAlign w:val="center"/>
                </w:tcPr>
                <w:p>
                  <w:pPr>
                    <w:spacing w:line="340" w:lineRule="exact"/>
                    <w:ind w:left="-105" w:leftChars="-50" w:right="-105" w:rightChars="-50"/>
                    <w:jc w:val="center"/>
                    <w:rPr>
                      <w:sz w:val="18"/>
                      <w:szCs w:val="18"/>
                      <w:lang w:val="zh-CN"/>
                    </w:rPr>
                  </w:pPr>
                  <w:r>
                    <w:rPr>
                      <w:rFonts w:hint="eastAsia"/>
                      <w:sz w:val="18"/>
                      <w:szCs w:val="18"/>
                      <w:lang w:val="zh-CN"/>
                    </w:rPr>
                    <w:t>南厂界</w:t>
                  </w:r>
                </w:p>
              </w:tc>
              <w:tc>
                <w:tcPr>
                  <w:tcW w:w="889" w:type="dxa"/>
                  <w:tcBorders>
                    <w:top w:val="single" w:color="auto" w:sz="4" w:space="0"/>
                    <w:left w:val="single" w:color="auto" w:sz="4" w:space="0"/>
                    <w:bottom w:val="single" w:color="auto" w:sz="4" w:space="0"/>
                    <w:right w:val="single" w:color="auto" w:sz="4" w:space="0"/>
                  </w:tcBorders>
                </w:tcPr>
                <w:p>
                  <w:pPr>
                    <w:spacing w:line="340" w:lineRule="exact"/>
                    <w:ind w:left="-105" w:leftChars="-50" w:right="-105" w:rightChars="-50"/>
                    <w:jc w:val="center"/>
                    <w:rPr>
                      <w:kern w:val="0"/>
                      <w:sz w:val="18"/>
                      <w:szCs w:val="18"/>
                    </w:rPr>
                  </w:pPr>
                  <w:r>
                    <w:rPr>
                      <w:rFonts w:hint="eastAsia"/>
                      <w:kern w:val="0"/>
                      <w:sz w:val="18"/>
                      <w:szCs w:val="18"/>
                    </w:rPr>
                    <w:t>31</w:t>
                  </w:r>
                  <w:r>
                    <w:rPr>
                      <w:kern w:val="0"/>
                      <w:sz w:val="18"/>
                      <w:szCs w:val="18"/>
                    </w:rPr>
                    <w:t>m</w:t>
                  </w:r>
                </w:p>
              </w:tc>
              <w:tc>
                <w:tcPr>
                  <w:tcW w:w="781" w:type="dxa"/>
                  <w:vMerge w:val="continue"/>
                  <w:tcBorders>
                    <w:left w:val="single" w:color="auto" w:sz="4" w:space="0"/>
                    <w:right w:val="single" w:color="auto" w:sz="4" w:space="0"/>
                  </w:tcBorders>
                  <w:vAlign w:val="center"/>
                </w:tcPr>
                <w:p>
                  <w:pPr>
                    <w:widowControl/>
                    <w:spacing w:line="340" w:lineRule="exact"/>
                    <w:ind w:left="-105" w:leftChars="-50" w:right="-105" w:rightChars="-50"/>
                    <w:jc w:val="left"/>
                    <w:rPr>
                      <w:kern w:val="0"/>
                      <w:sz w:val="18"/>
                      <w:szCs w:val="18"/>
                    </w:rPr>
                  </w:pPr>
                </w:p>
              </w:tc>
              <w:tc>
                <w:tcPr>
                  <w:tcW w:w="1045" w:type="dxa"/>
                  <w:tcBorders>
                    <w:top w:val="single" w:color="auto" w:sz="4" w:space="0"/>
                    <w:left w:val="single" w:color="auto" w:sz="4" w:space="0"/>
                    <w:bottom w:val="single" w:color="auto" w:sz="4" w:space="0"/>
                    <w:right w:val="single" w:color="auto" w:sz="4" w:space="0"/>
                  </w:tcBorders>
                </w:tcPr>
                <w:p>
                  <w:pPr>
                    <w:spacing w:line="340" w:lineRule="exact"/>
                    <w:ind w:left="-105" w:leftChars="-50" w:right="-105" w:rightChars="-50"/>
                    <w:jc w:val="center"/>
                    <w:rPr>
                      <w:kern w:val="0"/>
                      <w:sz w:val="18"/>
                      <w:szCs w:val="18"/>
                    </w:rPr>
                  </w:pPr>
                  <w:r>
                    <w:rPr>
                      <w:rFonts w:hint="eastAsia"/>
                      <w:kern w:val="0"/>
                      <w:sz w:val="18"/>
                      <w:szCs w:val="18"/>
                    </w:rPr>
                    <w:t>15</w:t>
                  </w:r>
                </w:p>
              </w:tc>
              <w:tc>
                <w:tcPr>
                  <w:tcW w:w="631" w:type="dxa"/>
                  <w:tcBorders>
                    <w:top w:val="single" w:color="auto" w:sz="4" w:space="0"/>
                    <w:left w:val="single" w:color="auto" w:sz="4" w:space="0"/>
                    <w:bottom w:val="single" w:color="auto" w:sz="4" w:space="0"/>
                    <w:right w:val="single" w:color="auto" w:sz="4" w:space="0"/>
                  </w:tcBorders>
                  <w:vAlign w:val="bottom"/>
                </w:tcPr>
                <w:p>
                  <w:pPr>
                    <w:spacing w:line="340" w:lineRule="exact"/>
                    <w:ind w:left="-105" w:leftChars="-50" w:right="-105" w:rightChars="-50"/>
                    <w:jc w:val="center"/>
                    <w:rPr>
                      <w:kern w:val="0"/>
                      <w:sz w:val="18"/>
                      <w:szCs w:val="18"/>
                    </w:rPr>
                  </w:pPr>
                  <w:r>
                    <w:rPr>
                      <w:rFonts w:hint="eastAsia"/>
                      <w:kern w:val="0"/>
                      <w:sz w:val="18"/>
                      <w:szCs w:val="18"/>
                    </w:rPr>
                    <w:t>40.2</w:t>
                  </w:r>
                  <w:r>
                    <w:rPr>
                      <w:kern w:val="0"/>
                      <w:sz w:val="18"/>
                      <w:szCs w:val="18"/>
                    </w:rPr>
                    <w:t xml:space="preserve"> </w:t>
                  </w:r>
                </w:p>
              </w:tc>
              <w:tc>
                <w:tcPr>
                  <w:tcW w:w="733" w:type="dxa"/>
                  <w:tcBorders>
                    <w:top w:val="single" w:color="auto" w:sz="4" w:space="0"/>
                    <w:left w:val="single" w:color="auto" w:sz="4" w:space="0"/>
                    <w:bottom w:val="single" w:color="auto" w:sz="4" w:space="0"/>
                    <w:right w:val="single" w:color="auto" w:sz="4" w:space="0"/>
                  </w:tcBorders>
                </w:tcPr>
                <w:p>
                  <w:pPr>
                    <w:spacing w:line="340" w:lineRule="exact"/>
                    <w:ind w:left="-105" w:leftChars="-50" w:right="-105" w:rightChars="-50"/>
                    <w:jc w:val="center"/>
                    <w:rPr>
                      <w:kern w:val="0"/>
                      <w:sz w:val="18"/>
                      <w:szCs w:val="18"/>
                    </w:rPr>
                  </w:pPr>
                  <w:r>
                    <w:rPr>
                      <w:kern w:val="0"/>
                      <w:sz w:val="18"/>
                      <w:szCs w:val="18"/>
                    </w:rPr>
                    <w:t>/</w:t>
                  </w:r>
                </w:p>
              </w:tc>
              <w:tc>
                <w:tcPr>
                  <w:tcW w:w="776" w:type="dxa"/>
                  <w:tcBorders>
                    <w:top w:val="single" w:color="auto" w:sz="4" w:space="0"/>
                    <w:left w:val="single" w:color="auto" w:sz="4" w:space="0"/>
                    <w:bottom w:val="single" w:color="auto" w:sz="4" w:space="0"/>
                    <w:right w:val="single" w:color="auto" w:sz="4" w:space="0"/>
                  </w:tcBorders>
                </w:tcPr>
                <w:p>
                  <w:pPr>
                    <w:spacing w:line="340" w:lineRule="exact"/>
                    <w:ind w:left="-105" w:leftChars="-50" w:right="-105" w:rightChars="-50"/>
                    <w:jc w:val="center"/>
                    <w:rPr>
                      <w:kern w:val="0"/>
                      <w:sz w:val="18"/>
                      <w:szCs w:val="18"/>
                    </w:rPr>
                  </w:pPr>
                  <w:r>
                    <w:rPr>
                      <w:kern w:val="0"/>
                      <w:sz w:val="18"/>
                      <w:szCs w:val="18"/>
                    </w:rPr>
                    <w:t>/</w:t>
                  </w:r>
                </w:p>
              </w:tc>
              <w:tc>
                <w:tcPr>
                  <w:tcW w:w="996" w:type="dxa"/>
                  <w:tcBorders>
                    <w:left w:val="single" w:color="auto" w:sz="4" w:space="0"/>
                    <w:right w:val="single" w:color="auto" w:sz="4" w:space="0"/>
                  </w:tcBorders>
                  <w:vAlign w:val="center"/>
                </w:tcPr>
                <w:p>
                  <w:pPr>
                    <w:spacing w:line="340" w:lineRule="exact"/>
                    <w:ind w:left="-105" w:leftChars="-50" w:right="-105" w:rightChars="-50"/>
                    <w:jc w:val="center"/>
                    <w:rPr>
                      <w:kern w:val="0"/>
                      <w:sz w:val="18"/>
                      <w:szCs w:val="18"/>
                    </w:rPr>
                  </w:pPr>
                  <w:r>
                    <w:rPr>
                      <w:rFonts w:hint="eastAsia"/>
                      <w:kern w:val="0"/>
                      <w:sz w:val="18"/>
                      <w:szCs w:val="18"/>
                    </w:rPr>
                    <w:t>60</w:t>
                  </w:r>
                </w:p>
              </w:tc>
              <w:tc>
                <w:tcPr>
                  <w:tcW w:w="830" w:type="dxa"/>
                  <w:tcBorders>
                    <w:top w:val="single" w:color="auto" w:sz="4" w:space="0"/>
                    <w:left w:val="single" w:color="auto" w:sz="4" w:space="0"/>
                    <w:bottom w:val="single" w:color="auto" w:sz="4" w:space="0"/>
                    <w:right w:val="single" w:color="auto" w:sz="4" w:space="0"/>
                  </w:tcBorders>
                  <w:vAlign w:val="center"/>
                </w:tcPr>
                <w:p>
                  <w:pPr>
                    <w:spacing w:line="340" w:lineRule="exact"/>
                    <w:ind w:left="-105" w:leftChars="-50" w:right="-105" w:rightChars="-50"/>
                    <w:jc w:val="center"/>
                    <w:rPr>
                      <w:bCs/>
                      <w:kern w:val="0"/>
                      <w:sz w:val="18"/>
                      <w:szCs w:val="18"/>
                    </w:rPr>
                  </w:pPr>
                  <w:r>
                    <w:rPr>
                      <w:rFonts w:hint="eastAsia"/>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314" w:type="dxa"/>
                  <w:tcBorders>
                    <w:left w:val="single" w:color="auto" w:sz="4" w:space="0"/>
                    <w:right w:val="single" w:color="auto" w:sz="4" w:space="0"/>
                  </w:tcBorders>
                  <w:vAlign w:val="center"/>
                </w:tcPr>
                <w:p>
                  <w:pPr>
                    <w:spacing w:line="340" w:lineRule="exact"/>
                    <w:ind w:left="-105" w:leftChars="-50" w:right="-105" w:rightChars="-50"/>
                    <w:jc w:val="center"/>
                    <w:rPr>
                      <w:sz w:val="18"/>
                      <w:szCs w:val="18"/>
                      <w:lang w:val="zh-CN"/>
                    </w:rPr>
                  </w:pPr>
                  <w:r>
                    <w:rPr>
                      <w:rFonts w:hint="eastAsia"/>
                      <w:sz w:val="18"/>
                      <w:szCs w:val="18"/>
                      <w:lang w:val="zh-CN"/>
                    </w:rPr>
                    <w:t>西厂界</w:t>
                  </w:r>
                </w:p>
              </w:tc>
              <w:tc>
                <w:tcPr>
                  <w:tcW w:w="889" w:type="dxa"/>
                  <w:tcBorders>
                    <w:top w:val="single" w:color="auto" w:sz="4" w:space="0"/>
                    <w:left w:val="single" w:color="auto" w:sz="4" w:space="0"/>
                    <w:bottom w:val="single" w:color="auto" w:sz="4" w:space="0"/>
                    <w:right w:val="single" w:color="auto" w:sz="4" w:space="0"/>
                  </w:tcBorders>
                </w:tcPr>
                <w:p>
                  <w:pPr>
                    <w:spacing w:line="340" w:lineRule="exact"/>
                    <w:ind w:left="-105" w:leftChars="-50" w:right="-105" w:rightChars="-50"/>
                    <w:jc w:val="center"/>
                    <w:rPr>
                      <w:kern w:val="0"/>
                      <w:sz w:val="18"/>
                      <w:szCs w:val="18"/>
                    </w:rPr>
                  </w:pPr>
                  <w:r>
                    <w:rPr>
                      <w:rFonts w:hint="eastAsia"/>
                      <w:kern w:val="0"/>
                      <w:sz w:val="18"/>
                      <w:szCs w:val="18"/>
                    </w:rPr>
                    <w:t>5</w:t>
                  </w:r>
                  <w:r>
                    <w:rPr>
                      <w:kern w:val="0"/>
                      <w:sz w:val="18"/>
                      <w:szCs w:val="18"/>
                    </w:rPr>
                    <w:t>m</w:t>
                  </w:r>
                </w:p>
              </w:tc>
              <w:tc>
                <w:tcPr>
                  <w:tcW w:w="781" w:type="dxa"/>
                  <w:vMerge w:val="continue"/>
                  <w:tcBorders>
                    <w:left w:val="single" w:color="auto" w:sz="4" w:space="0"/>
                    <w:right w:val="single" w:color="auto" w:sz="4" w:space="0"/>
                  </w:tcBorders>
                  <w:vAlign w:val="center"/>
                </w:tcPr>
                <w:p>
                  <w:pPr>
                    <w:widowControl/>
                    <w:spacing w:line="340" w:lineRule="exact"/>
                    <w:ind w:left="-105" w:leftChars="-50" w:right="-105" w:rightChars="-50"/>
                    <w:jc w:val="left"/>
                    <w:rPr>
                      <w:kern w:val="0"/>
                      <w:sz w:val="18"/>
                      <w:szCs w:val="18"/>
                    </w:rPr>
                  </w:pPr>
                </w:p>
              </w:tc>
              <w:tc>
                <w:tcPr>
                  <w:tcW w:w="1045" w:type="dxa"/>
                  <w:tcBorders>
                    <w:top w:val="single" w:color="auto" w:sz="4" w:space="0"/>
                    <w:left w:val="single" w:color="auto" w:sz="4" w:space="0"/>
                    <w:bottom w:val="single" w:color="auto" w:sz="4" w:space="0"/>
                    <w:right w:val="single" w:color="auto" w:sz="4" w:space="0"/>
                  </w:tcBorders>
                </w:tcPr>
                <w:p>
                  <w:pPr>
                    <w:spacing w:line="340" w:lineRule="exact"/>
                    <w:ind w:left="-105" w:leftChars="-50" w:right="-105" w:rightChars="-50"/>
                    <w:jc w:val="center"/>
                    <w:rPr>
                      <w:kern w:val="0"/>
                      <w:sz w:val="18"/>
                      <w:szCs w:val="18"/>
                    </w:rPr>
                  </w:pPr>
                  <w:r>
                    <w:rPr>
                      <w:rFonts w:hint="eastAsia"/>
                      <w:kern w:val="0"/>
                      <w:sz w:val="18"/>
                      <w:szCs w:val="18"/>
                    </w:rPr>
                    <w:t>15</w:t>
                  </w:r>
                </w:p>
              </w:tc>
              <w:tc>
                <w:tcPr>
                  <w:tcW w:w="631" w:type="dxa"/>
                  <w:tcBorders>
                    <w:top w:val="single" w:color="auto" w:sz="4" w:space="0"/>
                    <w:left w:val="single" w:color="auto" w:sz="4" w:space="0"/>
                    <w:bottom w:val="single" w:color="auto" w:sz="4" w:space="0"/>
                    <w:right w:val="single" w:color="auto" w:sz="4" w:space="0"/>
                  </w:tcBorders>
                  <w:vAlign w:val="bottom"/>
                </w:tcPr>
                <w:p>
                  <w:pPr>
                    <w:spacing w:line="340" w:lineRule="exact"/>
                    <w:ind w:left="-105" w:leftChars="-50" w:right="-105" w:rightChars="-50"/>
                    <w:jc w:val="center"/>
                    <w:rPr>
                      <w:kern w:val="0"/>
                      <w:sz w:val="18"/>
                      <w:szCs w:val="18"/>
                    </w:rPr>
                  </w:pPr>
                  <w:r>
                    <w:rPr>
                      <w:kern w:val="0"/>
                      <w:sz w:val="18"/>
                      <w:szCs w:val="18"/>
                    </w:rPr>
                    <w:t>5</w:t>
                  </w:r>
                  <w:r>
                    <w:rPr>
                      <w:rFonts w:hint="eastAsia"/>
                      <w:kern w:val="0"/>
                      <w:sz w:val="18"/>
                      <w:szCs w:val="18"/>
                    </w:rPr>
                    <w:t>6.0</w:t>
                  </w:r>
                </w:p>
              </w:tc>
              <w:tc>
                <w:tcPr>
                  <w:tcW w:w="733" w:type="dxa"/>
                  <w:tcBorders>
                    <w:top w:val="single" w:color="auto" w:sz="4" w:space="0"/>
                    <w:left w:val="single" w:color="auto" w:sz="4" w:space="0"/>
                    <w:bottom w:val="single" w:color="auto" w:sz="4" w:space="0"/>
                    <w:right w:val="single" w:color="auto" w:sz="4" w:space="0"/>
                  </w:tcBorders>
                </w:tcPr>
                <w:p>
                  <w:pPr>
                    <w:spacing w:line="340" w:lineRule="exact"/>
                    <w:ind w:left="-105" w:leftChars="-50" w:right="-105" w:rightChars="-50"/>
                    <w:jc w:val="center"/>
                    <w:rPr>
                      <w:kern w:val="0"/>
                      <w:sz w:val="18"/>
                      <w:szCs w:val="18"/>
                    </w:rPr>
                  </w:pPr>
                  <w:r>
                    <w:rPr>
                      <w:kern w:val="0"/>
                      <w:sz w:val="18"/>
                      <w:szCs w:val="18"/>
                    </w:rPr>
                    <w:t>/</w:t>
                  </w:r>
                </w:p>
              </w:tc>
              <w:tc>
                <w:tcPr>
                  <w:tcW w:w="776" w:type="dxa"/>
                  <w:tcBorders>
                    <w:top w:val="single" w:color="auto" w:sz="4" w:space="0"/>
                    <w:left w:val="single" w:color="auto" w:sz="4" w:space="0"/>
                    <w:bottom w:val="single" w:color="auto" w:sz="4" w:space="0"/>
                    <w:right w:val="single" w:color="auto" w:sz="4" w:space="0"/>
                  </w:tcBorders>
                </w:tcPr>
                <w:p>
                  <w:pPr>
                    <w:spacing w:line="340" w:lineRule="exact"/>
                    <w:ind w:left="-105" w:leftChars="-50" w:right="-105" w:rightChars="-50"/>
                    <w:jc w:val="center"/>
                    <w:rPr>
                      <w:kern w:val="0"/>
                      <w:sz w:val="18"/>
                      <w:szCs w:val="18"/>
                    </w:rPr>
                  </w:pPr>
                  <w:r>
                    <w:rPr>
                      <w:kern w:val="0"/>
                      <w:sz w:val="18"/>
                      <w:szCs w:val="18"/>
                    </w:rPr>
                    <w:t>/</w:t>
                  </w:r>
                </w:p>
              </w:tc>
              <w:tc>
                <w:tcPr>
                  <w:tcW w:w="996" w:type="dxa"/>
                  <w:tcBorders>
                    <w:left w:val="single" w:color="auto" w:sz="4" w:space="0"/>
                    <w:right w:val="single" w:color="auto" w:sz="4" w:space="0"/>
                  </w:tcBorders>
                  <w:vAlign w:val="center"/>
                </w:tcPr>
                <w:p>
                  <w:pPr>
                    <w:widowControl/>
                    <w:spacing w:line="340" w:lineRule="exact"/>
                    <w:ind w:left="-105" w:leftChars="-50" w:right="-105" w:rightChars="-50"/>
                    <w:jc w:val="center"/>
                    <w:rPr>
                      <w:kern w:val="0"/>
                      <w:sz w:val="18"/>
                      <w:szCs w:val="18"/>
                    </w:rPr>
                  </w:pPr>
                  <w:r>
                    <w:rPr>
                      <w:rFonts w:hint="eastAsia"/>
                      <w:kern w:val="0"/>
                      <w:sz w:val="18"/>
                      <w:szCs w:val="18"/>
                    </w:rPr>
                    <w:t>70</w:t>
                  </w:r>
                </w:p>
              </w:tc>
              <w:tc>
                <w:tcPr>
                  <w:tcW w:w="830" w:type="dxa"/>
                  <w:tcBorders>
                    <w:top w:val="single" w:color="auto" w:sz="4" w:space="0"/>
                    <w:left w:val="single" w:color="auto" w:sz="4" w:space="0"/>
                    <w:bottom w:val="single" w:color="auto" w:sz="4" w:space="0"/>
                    <w:right w:val="single" w:color="auto" w:sz="4" w:space="0"/>
                  </w:tcBorders>
                  <w:vAlign w:val="center"/>
                </w:tcPr>
                <w:p>
                  <w:pPr>
                    <w:spacing w:line="340" w:lineRule="exact"/>
                    <w:ind w:left="-105" w:leftChars="-50" w:right="-105" w:rightChars="-50"/>
                    <w:jc w:val="center"/>
                    <w:rPr>
                      <w:b/>
                      <w:bCs/>
                      <w:kern w:val="0"/>
                      <w:sz w:val="18"/>
                      <w:szCs w:val="18"/>
                    </w:rPr>
                  </w:pPr>
                  <w:r>
                    <w:rPr>
                      <w:rFonts w:hint="eastAsia"/>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314" w:type="dxa"/>
                  <w:tcBorders>
                    <w:left w:val="single" w:color="auto" w:sz="4" w:space="0"/>
                    <w:right w:val="single" w:color="auto" w:sz="4" w:space="0"/>
                  </w:tcBorders>
                  <w:vAlign w:val="center"/>
                </w:tcPr>
                <w:p>
                  <w:pPr>
                    <w:spacing w:line="340" w:lineRule="exact"/>
                    <w:ind w:left="-105" w:leftChars="-50" w:right="-105" w:rightChars="-50"/>
                    <w:jc w:val="center"/>
                    <w:rPr>
                      <w:sz w:val="18"/>
                      <w:szCs w:val="18"/>
                      <w:lang w:val="zh-CN"/>
                    </w:rPr>
                  </w:pPr>
                  <w:r>
                    <w:rPr>
                      <w:rFonts w:hint="eastAsia"/>
                      <w:sz w:val="18"/>
                      <w:szCs w:val="18"/>
                      <w:lang w:val="zh-CN"/>
                    </w:rPr>
                    <w:t>北厂界</w:t>
                  </w:r>
                </w:p>
              </w:tc>
              <w:tc>
                <w:tcPr>
                  <w:tcW w:w="889" w:type="dxa"/>
                  <w:tcBorders>
                    <w:top w:val="single" w:color="auto" w:sz="4" w:space="0"/>
                    <w:left w:val="single" w:color="auto" w:sz="4" w:space="0"/>
                    <w:bottom w:val="single" w:color="auto" w:sz="4" w:space="0"/>
                    <w:right w:val="single" w:color="auto" w:sz="4" w:space="0"/>
                  </w:tcBorders>
                </w:tcPr>
                <w:p>
                  <w:pPr>
                    <w:spacing w:line="340" w:lineRule="exact"/>
                    <w:ind w:left="-105" w:leftChars="-50" w:right="-105" w:rightChars="-50"/>
                    <w:jc w:val="center"/>
                    <w:rPr>
                      <w:kern w:val="0"/>
                      <w:sz w:val="18"/>
                      <w:szCs w:val="18"/>
                    </w:rPr>
                  </w:pPr>
                  <w:r>
                    <w:rPr>
                      <w:rFonts w:hint="eastAsia"/>
                      <w:kern w:val="0"/>
                      <w:sz w:val="18"/>
                      <w:szCs w:val="18"/>
                    </w:rPr>
                    <w:t>8</w:t>
                  </w:r>
                  <w:r>
                    <w:rPr>
                      <w:kern w:val="0"/>
                      <w:sz w:val="18"/>
                      <w:szCs w:val="18"/>
                    </w:rPr>
                    <w:t>m</w:t>
                  </w:r>
                </w:p>
              </w:tc>
              <w:tc>
                <w:tcPr>
                  <w:tcW w:w="781" w:type="dxa"/>
                  <w:vMerge w:val="continue"/>
                  <w:tcBorders>
                    <w:left w:val="single" w:color="auto" w:sz="4" w:space="0"/>
                    <w:right w:val="single" w:color="auto" w:sz="4" w:space="0"/>
                  </w:tcBorders>
                  <w:vAlign w:val="center"/>
                </w:tcPr>
                <w:p>
                  <w:pPr>
                    <w:widowControl/>
                    <w:spacing w:line="340" w:lineRule="exact"/>
                    <w:ind w:left="-105" w:leftChars="-50" w:right="-105" w:rightChars="-50"/>
                    <w:jc w:val="left"/>
                    <w:rPr>
                      <w:kern w:val="0"/>
                      <w:sz w:val="18"/>
                      <w:szCs w:val="18"/>
                    </w:rPr>
                  </w:pPr>
                </w:p>
              </w:tc>
              <w:tc>
                <w:tcPr>
                  <w:tcW w:w="1045" w:type="dxa"/>
                  <w:tcBorders>
                    <w:top w:val="single" w:color="auto" w:sz="4" w:space="0"/>
                    <w:left w:val="single" w:color="auto" w:sz="4" w:space="0"/>
                    <w:bottom w:val="single" w:color="auto" w:sz="4" w:space="0"/>
                    <w:right w:val="single" w:color="auto" w:sz="4" w:space="0"/>
                  </w:tcBorders>
                </w:tcPr>
                <w:p>
                  <w:pPr>
                    <w:spacing w:line="340" w:lineRule="exact"/>
                    <w:ind w:left="-105" w:leftChars="-50" w:right="-105" w:rightChars="-50"/>
                    <w:jc w:val="center"/>
                    <w:rPr>
                      <w:kern w:val="0"/>
                      <w:sz w:val="18"/>
                      <w:szCs w:val="18"/>
                    </w:rPr>
                  </w:pPr>
                  <w:r>
                    <w:rPr>
                      <w:rFonts w:hint="eastAsia"/>
                      <w:kern w:val="0"/>
                      <w:sz w:val="18"/>
                      <w:szCs w:val="18"/>
                    </w:rPr>
                    <w:t>15</w:t>
                  </w:r>
                </w:p>
              </w:tc>
              <w:tc>
                <w:tcPr>
                  <w:tcW w:w="631" w:type="dxa"/>
                  <w:tcBorders>
                    <w:top w:val="single" w:color="auto" w:sz="4" w:space="0"/>
                    <w:left w:val="single" w:color="auto" w:sz="4" w:space="0"/>
                    <w:bottom w:val="single" w:color="auto" w:sz="4" w:space="0"/>
                    <w:right w:val="single" w:color="auto" w:sz="4" w:space="0"/>
                  </w:tcBorders>
                  <w:vAlign w:val="bottom"/>
                </w:tcPr>
                <w:p>
                  <w:pPr>
                    <w:spacing w:line="340" w:lineRule="exact"/>
                    <w:ind w:left="-105" w:leftChars="-50" w:right="-105" w:rightChars="-50"/>
                    <w:jc w:val="center"/>
                    <w:rPr>
                      <w:kern w:val="0"/>
                      <w:sz w:val="18"/>
                      <w:szCs w:val="18"/>
                    </w:rPr>
                  </w:pPr>
                  <w:r>
                    <w:rPr>
                      <w:kern w:val="0"/>
                      <w:sz w:val="18"/>
                      <w:szCs w:val="18"/>
                    </w:rPr>
                    <w:t>5</w:t>
                  </w:r>
                  <w:r>
                    <w:rPr>
                      <w:rFonts w:hint="eastAsia"/>
                      <w:kern w:val="0"/>
                      <w:sz w:val="18"/>
                      <w:szCs w:val="18"/>
                    </w:rPr>
                    <w:t>1.9</w:t>
                  </w:r>
                  <w:r>
                    <w:rPr>
                      <w:kern w:val="0"/>
                      <w:sz w:val="18"/>
                      <w:szCs w:val="18"/>
                    </w:rPr>
                    <w:t xml:space="preserve"> </w:t>
                  </w:r>
                </w:p>
              </w:tc>
              <w:tc>
                <w:tcPr>
                  <w:tcW w:w="733" w:type="dxa"/>
                  <w:tcBorders>
                    <w:top w:val="single" w:color="auto" w:sz="4" w:space="0"/>
                    <w:left w:val="single" w:color="auto" w:sz="4" w:space="0"/>
                    <w:bottom w:val="single" w:color="auto" w:sz="4" w:space="0"/>
                    <w:right w:val="single" w:color="auto" w:sz="4" w:space="0"/>
                  </w:tcBorders>
                </w:tcPr>
                <w:p>
                  <w:pPr>
                    <w:spacing w:line="340" w:lineRule="exact"/>
                    <w:ind w:left="-105" w:leftChars="-50" w:right="-105" w:rightChars="-50"/>
                    <w:jc w:val="center"/>
                    <w:rPr>
                      <w:kern w:val="0"/>
                      <w:sz w:val="18"/>
                      <w:szCs w:val="18"/>
                    </w:rPr>
                  </w:pPr>
                  <w:r>
                    <w:rPr>
                      <w:kern w:val="0"/>
                      <w:sz w:val="18"/>
                      <w:szCs w:val="18"/>
                    </w:rPr>
                    <w:t>/</w:t>
                  </w:r>
                </w:p>
              </w:tc>
              <w:tc>
                <w:tcPr>
                  <w:tcW w:w="776" w:type="dxa"/>
                  <w:tcBorders>
                    <w:top w:val="single" w:color="auto" w:sz="4" w:space="0"/>
                    <w:left w:val="single" w:color="auto" w:sz="4" w:space="0"/>
                    <w:bottom w:val="single" w:color="auto" w:sz="4" w:space="0"/>
                    <w:right w:val="single" w:color="auto" w:sz="4" w:space="0"/>
                  </w:tcBorders>
                </w:tcPr>
                <w:p>
                  <w:pPr>
                    <w:spacing w:line="340" w:lineRule="exact"/>
                    <w:ind w:left="-105" w:leftChars="-50" w:right="-105" w:rightChars="-50"/>
                    <w:jc w:val="center"/>
                    <w:rPr>
                      <w:kern w:val="0"/>
                      <w:sz w:val="18"/>
                      <w:szCs w:val="18"/>
                    </w:rPr>
                  </w:pPr>
                  <w:r>
                    <w:rPr>
                      <w:kern w:val="0"/>
                      <w:sz w:val="18"/>
                      <w:szCs w:val="18"/>
                    </w:rPr>
                    <w:t>/</w:t>
                  </w:r>
                </w:p>
              </w:tc>
              <w:tc>
                <w:tcPr>
                  <w:tcW w:w="996" w:type="dxa"/>
                  <w:tcBorders>
                    <w:left w:val="single" w:color="auto" w:sz="4" w:space="0"/>
                    <w:right w:val="single" w:color="auto" w:sz="4" w:space="0"/>
                  </w:tcBorders>
                  <w:vAlign w:val="center"/>
                </w:tcPr>
                <w:p>
                  <w:pPr>
                    <w:widowControl/>
                    <w:spacing w:line="340" w:lineRule="exact"/>
                    <w:ind w:left="-105" w:leftChars="-50" w:right="-105" w:rightChars="-50"/>
                    <w:jc w:val="center"/>
                    <w:rPr>
                      <w:kern w:val="0"/>
                      <w:sz w:val="18"/>
                      <w:szCs w:val="18"/>
                    </w:rPr>
                  </w:pPr>
                  <w:r>
                    <w:rPr>
                      <w:rFonts w:hint="eastAsia"/>
                      <w:kern w:val="0"/>
                      <w:sz w:val="18"/>
                      <w:szCs w:val="18"/>
                    </w:rPr>
                    <w:t>60</w:t>
                  </w:r>
                </w:p>
              </w:tc>
              <w:tc>
                <w:tcPr>
                  <w:tcW w:w="830" w:type="dxa"/>
                  <w:tcBorders>
                    <w:top w:val="single" w:color="auto" w:sz="4" w:space="0"/>
                    <w:left w:val="single" w:color="auto" w:sz="4" w:space="0"/>
                    <w:bottom w:val="single" w:color="auto" w:sz="4" w:space="0"/>
                    <w:right w:val="single" w:color="auto" w:sz="4" w:space="0"/>
                  </w:tcBorders>
                  <w:vAlign w:val="center"/>
                </w:tcPr>
                <w:p>
                  <w:pPr>
                    <w:spacing w:line="340" w:lineRule="exact"/>
                    <w:ind w:left="-105" w:leftChars="-50" w:right="-105" w:rightChars="-50"/>
                    <w:jc w:val="center"/>
                    <w:rPr>
                      <w:kern w:val="0"/>
                      <w:sz w:val="18"/>
                      <w:szCs w:val="18"/>
                    </w:rPr>
                  </w:pPr>
                  <w:r>
                    <w:rPr>
                      <w:rFonts w:hint="eastAsia"/>
                      <w:kern w:val="0"/>
                      <w:sz w:val="18"/>
                      <w:szCs w:val="18"/>
                    </w:rPr>
                    <w:t>达标</w:t>
                  </w:r>
                </w:p>
              </w:tc>
            </w:tr>
          </w:tbl>
          <w:p>
            <w:pPr>
              <w:wordWrap w:val="0"/>
              <w:autoSpaceDE w:val="0"/>
              <w:autoSpaceDN w:val="0"/>
              <w:adjustRightInd w:val="0"/>
              <w:snapToGrid w:val="0"/>
              <w:spacing w:line="400" w:lineRule="exact"/>
              <w:ind w:firstLine="420" w:firstLineChars="200"/>
              <w:jc w:val="left"/>
              <w:rPr>
                <w:kern w:val="0"/>
                <w:szCs w:val="21"/>
              </w:rPr>
            </w:pPr>
            <w:r>
              <w:rPr>
                <w:rFonts w:hint="eastAsia"/>
                <w:kern w:val="0"/>
                <w:szCs w:val="21"/>
              </w:rPr>
              <w:t>由上表预测可知，项目东面、南面和北面厂界噪声值能够达到《工业企业厂界环境噪声排放标准》（GB12348-2008）2类区的排放限值要求，西面厂界噪声值能够达到《工业企业厂界环境噪声排放标准》（GB12348-2008）4类区的排放限值要求。</w:t>
            </w:r>
          </w:p>
          <w:p>
            <w:pPr>
              <w:wordWrap w:val="0"/>
              <w:autoSpaceDE w:val="0"/>
              <w:autoSpaceDN w:val="0"/>
              <w:adjustRightInd w:val="0"/>
              <w:snapToGrid w:val="0"/>
              <w:spacing w:line="400" w:lineRule="exact"/>
              <w:ind w:firstLine="420" w:firstLineChars="200"/>
              <w:jc w:val="left"/>
              <w:rPr>
                <w:kern w:val="0"/>
                <w:szCs w:val="21"/>
              </w:rPr>
            </w:pPr>
            <w:r>
              <w:rPr>
                <w:rFonts w:hint="eastAsia"/>
                <w:kern w:val="0"/>
                <w:szCs w:val="21"/>
              </w:rPr>
              <w:t>评价认为，项目建设不会改变区域声环境质量现状。</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（3）交通噪声</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进出厂区的运输车辆将产生交通噪声，噪声值在70～85dB(A)之间，交通噪声为流动噪声源，具有分散性、临时性、不持续性。通过严格规定生产时间，尽量不安排夜间（22:00-次日6：00）进行生产。产品及原料运输应安排在白天进行，在车辆经过道路两旁住户时，应尽量减少鸣笛次数，避免噪声扰民。交通噪声对周围环境影响较小。</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评价认为，项目噪声治理措施合理有效，不会改变区域声环境质量现状，不会造成噪声污染现象。</w:t>
            </w:r>
          </w:p>
          <w:p>
            <w:pPr>
              <w:autoSpaceDE w:val="0"/>
              <w:autoSpaceDN w:val="0"/>
              <w:adjustRightInd w:val="0"/>
              <w:snapToGrid w:val="0"/>
              <w:spacing w:line="400" w:lineRule="exact"/>
              <w:ind w:firstLine="420" w:firstLineChars="200"/>
              <w:jc w:val="left"/>
              <w:rPr>
                <w:kern w:val="0"/>
                <w:szCs w:val="21"/>
              </w:rPr>
            </w:pPr>
            <w:r>
              <w:rPr>
                <w:kern w:val="0"/>
                <w:szCs w:val="21"/>
              </w:rPr>
              <w:t>（</w:t>
            </w:r>
            <w:r>
              <w:rPr>
                <w:rFonts w:hint="eastAsia"/>
                <w:kern w:val="0"/>
                <w:szCs w:val="21"/>
              </w:rPr>
              <w:t>4</w:t>
            </w:r>
            <w:r>
              <w:rPr>
                <w:kern w:val="0"/>
                <w:szCs w:val="21"/>
              </w:rPr>
              <w:t>）监测计划</w:t>
            </w:r>
          </w:p>
          <w:p>
            <w:pPr>
              <w:autoSpaceDE w:val="0"/>
              <w:autoSpaceDN w:val="0"/>
              <w:adjustRightInd w:val="0"/>
              <w:snapToGrid w:val="0"/>
              <w:spacing w:line="400" w:lineRule="exact"/>
              <w:ind w:firstLine="420" w:firstLineChars="200"/>
              <w:jc w:val="left"/>
              <w:rPr>
                <w:kern w:val="0"/>
                <w:sz w:val="24"/>
                <w:szCs w:val="21"/>
              </w:rPr>
            </w:pPr>
            <w:r>
              <w:rPr>
                <w:kern w:val="0"/>
                <w:szCs w:val="21"/>
              </w:rPr>
              <w:t>根据《排污单位自行监测技术指南 总则》（HJ819-2017）文件，并结合本项目污染物的特点，制定营运期监测计划见下表。</w:t>
            </w:r>
          </w:p>
          <w:p>
            <w:pPr>
              <w:autoSpaceDE w:val="0"/>
              <w:autoSpaceDN w:val="0"/>
              <w:adjustRightInd w:val="0"/>
              <w:spacing w:line="400" w:lineRule="exact"/>
              <w:ind w:firstLine="465"/>
              <w:jc w:val="center"/>
              <w:rPr>
                <w:rFonts w:eastAsia="黑体"/>
                <w:bCs/>
                <w:sz w:val="18"/>
                <w:szCs w:val="18"/>
              </w:rPr>
            </w:pPr>
          </w:p>
          <w:p>
            <w:pPr>
              <w:autoSpaceDE w:val="0"/>
              <w:autoSpaceDN w:val="0"/>
              <w:adjustRightInd w:val="0"/>
              <w:spacing w:line="400" w:lineRule="exact"/>
              <w:ind w:firstLine="465"/>
              <w:jc w:val="center"/>
              <w:rPr>
                <w:rFonts w:eastAsia="黑体"/>
                <w:bCs/>
                <w:sz w:val="18"/>
                <w:szCs w:val="18"/>
              </w:rPr>
            </w:pPr>
          </w:p>
          <w:p>
            <w:pPr>
              <w:autoSpaceDE w:val="0"/>
              <w:autoSpaceDN w:val="0"/>
              <w:adjustRightInd w:val="0"/>
              <w:spacing w:line="400" w:lineRule="exact"/>
              <w:ind w:firstLine="465"/>
              <w:jc w:val="center"/>
              <w:rPr>
                <w:rFonts w:eastAsia="黑体"/>
                <w:bCs/>
                <w:sz w:val="18"/>
                <w:szCs w:val="18"/>
              </w:rPr>
            </w:pPr>
            <w:r>
              <w:rPr>
                <w:rFonts w:eastAsia="黑体"/>
                <w:bCs/>
                <w:sz w:val="18"/>
                <w:szCs w:val="18"/>
              </w:rPr>
              <w:t>表</w:t>
            </w:r>
            <w:r>
              <w:rPr>
                <w:rFonts w:hint="eastAsia" w:eastAsia="黑体"/>
                <w:bCs/>
                <w:sz w:val="18"/>
                <w:szCs w:val="18"/>
              </w:rPr>
              <w:t>4-7</w:t>
            </w:r>
            <w:r>
              <w:rPr>
                <w:rFonts w:eastAsia="黑体"/>
                <w:bCs/>
                <w:sz w:val="18"/>
                <w:szCs w:val="18"/>
              </w:rPr>
              <w:t xml:space="preserve">   营运期噪声监测计划</w:t>
            </w:r>
          </w:p>
          <w:tbl>
            <w:tblPr>
              <w:tblStyle w:val="21"/>
              <w:tblW w:w="7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1559"/>
              <w:gridCol w:w="1134"/>
              <w:gridCol w:w="992"/>
              <w:gridCol w:w="1134"/>
              <w:gridCol w:w="1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40" w:lineRule="exact"/>
                    <w:jc w:val="center"/>
                    <w:rPr>
                      <w:b/>
                      <w:sz w:val="18"/>
                      <w:szCs w:val="18"/>
                    </w:rPr>
                  </w:pPr>
                  <w:r>
                    <w:rPr>
                      <w:b/>
                      <w:sz w:val="18"/>
                      <w:szCs w:val="18"/>
                    </w:rPr>
                    <w:t>监测项目</w:t>
                  </w:r>
                </w:p>
              </w:tc>
              <w:tc>
                <w:tcPr>
                  <w:tcW w:w="1559" w:type="dxa"/>
                  <w:tcBorders>
                    <w:top w:val="single" w:color="auto" w:sz="4" w:space="0"/>
                    <w:left w:val="nil"/>
                    <w:bottom w:val="single" w:color="auto" w:sz="4" w:space="0"/>
                    <w:right w:val="single" w:color="auto" w:sz="4" w:space="0"/>
                  </w:tcBorders>
                  <w:vAlign w:val="center"/>
                </w:tcPr>
                <w:p>
                  <w:pPr>
                    <w:autoSpaceDE w:val="0"/>
                    <w:autoSpaceDN w:val="0"/>
                    <w:adjustRightInd w:val="0"/>
                    <w:spacing w:line="340" w:lineRule="exact"/>
                    <w:jc w:val="center"/>
                    <w:rPr>
                      <w:b/>
                      <w:sz w:val="18"/>
                      <w:szCs w:val="18"/>
                    </w:rPr>
                  </w:pPr>
                  <w:r>
                    <w:rPr>
                      <w:b/>
                      <w:sz w:val="18"/>
                      <w:szCs w:val="18"/>
                    </w:rPr>
                    <w:t>监测点位</w:t>
                  </w:r>
                </w:p>
              </w:tc>
              <w:tc>
                <w:tcPr>
                  <w:tcW w:w="1134" w:type="dxa"/>
                  <w:tcBorders>
                    <w:top w:val="single" w:color="auto" w:sz="4" w:space="0"/>
                    <w:left w:val="nil"/>
                    <w:bottom w:val="single" w:color="auto" w:sz="4" w:space="0"/>
                    <w:right w:val="single" w:color="auto" w:sz="4" w:space="0"/>
                  </w:tcBorders>
                  <w:vAlign w:val="center"/>
                </w:tcPr>
                <w:p>
                  <w:pPr>
                    <w:autoSpaceDE w:val="0"/>
                    <w:autoSpaceDN w:val="0"/>
                    <w:adjustRightInd w:val="0"/>
                    <w:spacing w:line="340" w:lineRule="exact"/>
                    <w:jc w:val="center"/>
                    <w:rPr>
                      <w:b/>
                      <w:sz w:val="18"/>
                      <w:szCs w:val="18"/>
                    </w:rPr>
                  </w:pPr>
                  <w:r>
                    <w:rPr>
                      <w:b/>
                      <w:sz w:val="18"/>
                      <w:szCs w:val="18"/>
                    </w:rPr>
                    <w:t>监测因子</w:t>
                  </w:r>
                </w:p>
              </w:tc>
              <w:tc>
                <w:tcPr>
                  <w:tcW w:w="992" w:type="dxa"/>
                  <w:tcBorders>
                    <w:top w:val="single" w:color="auto" w:sz="4" w:space="0"/>
                    <w:left w:val="nil"/>
                    <w:bottom w:val="single" w:color="auto" w:sz="4" w:space="0"/>
                    <w:right w:val="single" w:color="auto" w:sz="4" w:space="0"/>
                  </w:tcBorders>
                  <w:vAlign w:val="center"/>
                </w:tcPr>
                <w:p>
                  <w:pPr>
                    <w:autoSpaceDE w:val="0"/>
                    <w:autoSpaceDN w:val="0"/>
                    <w:adjustRightInd w:val="0"/>
                    <w:spacing w:line="340" w:lineRule="exact"/>
                    <w:jc w:val="center"/>
                    <w:rPr>
                      <w:b/>
                      <w:sz w:val="18"/>
                      <w:szCs w:val="18"/>
                    </w:rPr>
                  </w:pPr>
                  <w:r>
                    <w:rPr>
                      <w:b/>
                      <w:sz w:val="18"/>
                      <w:szCs w:val="18"/>
                    </w:rPr>
                    <w:t>监测频次</w:t>
                  </w:r>
                </w:p>
              </w:tc>
              <w:tc>
                <w:tcPr>
                  <w:tcW w:w="1134" w:type="dxa"/>
                  <w:tcBorders>
                    <w:top w:val="single" w:color="auto" w:sz="4" w:space="0"/>
                    <w:left w:val="nil"/>
                    <w:bottom w:val="single" w:color="auto" w:sz="4" w:space="0"/>
                    <w:right w:val="single" w:color="auto" w:sz="4" w:space="0"/>
                  </w:tcBorders>
                  <w:vAlign w:val="center"/>
                </w:tcPr>
                <w:p>
                  <w:pPr>
                    <w:autoSpaceDE w:val="0"/>
                    <w:autoSpaceDN w:val="0"/>
                    <w:adjustRightInd w:val="0"/>
                    <w:spacing w:line="340" w:lineRule="exact"/>
                    <w:jc w:val="center"/>
                    <w:rPr>
                      <w:b/>
                      <w:sz w:val="18"/>
                      <w:szCs w:val="18"/>
                    </w:rPr>
                  </w:pPr>
                  <w:r>
                    <w:rPr>
                      <w:b/>
                      <w:sz w:val="18"/>
                      <w:szCs w:val="18"/>
                    </w:rPr>
                    <w:t>监测周期</w:t>
                  </w:r>
                </w:p>
              </w:tc>
              <w:tc>
                <w:tcPr>
                  <w:tcW w:w="1858" w:type="dxa"/>
                  <w:tcBorders>
                    <w:top w:val="single" w:color="auto" w:sz="4" w:space="0"/>
                    <w:left w:val="nil"/>
                    <w:bottom w:val="single" w:color="auto" w:sz="4" w:space="0"/>
                    <w:right w:val="single" w:color="auto" w:sz="4" w:space="0"/>
                  </w:tcBorders>
                  <w:vAlign w:val="center"/>
                </w:tcPr>
                <w:p>
                  <w:pPr>
                    <w:autoSpaceDE w:val="0"/>
                    <w:autoSpaceDN w:val="0"/>
                    <w:adjustRightInd w:val="0"/>
                    <w:spacing w:line="340" w:lineRule="exact"/>
                    <w:jc w:val="center"/>
                    <w:rPr>
                      <w:b/>
                      <w:sz w:val="18"/>
                      <w:szCs w:val="18"/>
                    </w:rPr>
                  </w:pPr>
                  <w:r>
                    <w:rPr>
                      <w:b/>
                      <w:sz w:val="18"/>
                      <w:szCs w:val="18"/>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40" w:lineRule="exact"/>
                    <w:jc w:val="center"/>
                    <w:rPr>
                      <w:bCs/>
                      <w:sz w:val="18"/>
                      <w:szCs w:val="18"/>
                    </w:rPr>
                  </w:pPr>
                  <w:r>
                    <w:rPr>
                      <w:bCs/>
                      <w:sz w:val="18"/>
                      <w:szCs w:val="18"/>
                    </w:rPr>
                    <w:t>噪声</w:t>
                  </w:r>
                </w:p>
              </w:tc>
              <w:tc>
                <w:tcPr>
                  <w:tcW w:w="1559" w:type="dxa"/>
                  <w:tcBorders>
                    <w:top w:val="single" w:color="auto" w:sz="4" w:space="0"/>
                    <w:left w:val="nil"/>
                    <w:bottom w:val="single" w:color="auto" w:sz="4" w:space="0"/>
                    <w:right w:val="single" w:color="auto" w:sz="4" w:space="0"/>
                  </w:tcBorders>
                  <w:vAlign w:val="center"/>
                </w:tcPr>
                <w:p>
                  <w:pPr>
                    <w:autoSpaceDE w:val="0"/>
                    <w:autoSpaceDN w:val="0"/>
                    <w:adjustRightInd w:val="0"/>
                    <w:spacing w:line="340" w:lineRule="exact"/>
                    <w:jc w:val="center"/>
                    <w:rPr>
                      <w:bCs/>
                      <w:sz w:val="18"/>
                      <w:szCs w:val="18"/>
                    </w:rPr>
                  </w:pPr>
                  <w:r>
                    <w:rPr>
                      <w:bCs/>
                      <w:sz w:val="18"/>
                      <w:szCs w:val="18"/>
                    </w:rPr>
                    <w:t>项目区南、东及北面边界</w:t>
                  </w:r>
                </w:p>
              </w:tc>
              <w:tc>
                <w:tcPr>
                  <w:tcW w:w="1134" w:type="dxa"/>
                  <w:tcBorders>
                    <w:top w:val="single" w:color="auto" w:sz="4" w:space="0"/>
                    <w:left w:val="nil"/>
                    <w:bottom w:val="single" w:color="auto" w:sz="4" w:space="0"/>
                    <w:right w:val="single" w:color="auto" w:sz="4" w:space="0"/>
                  </w:tcBorders>
                  <w:vAlign w:val="center"/>
                </w:tcPr>
                <w:p>
                  <w:pPr>
                    <w:autoSpaceDE w:val="0"/>
                    <w:autoSpaceDN w:val="0"/>
                    <w:adjustRightInd w:val="0"/>
                    <w:spacing w:line="340" w:lineRule="exact"/>
                    <w:jc w:val="center"/>
                    <w:rPr>
                      <w:bCs/>
                      <w:sz w:val="18"/>
                      <w:szCs w:val="18"/>
                    </w:rPr>
                  </w:pPr>
                  <w:r>
                    <w:rPr>
                      <w:sz w:val="18"/>
                      <w:szCs w:val="18"/>
                    </w:rPr>
                    <w:t>噪声</w:t>
                  </w:r>
                </w:p>
              </w:tc>
              <w:tc>
                <w:tcPr>
                  <w:tcW w:w="992" w:type="dxa"/>
                  <w:tcBorders>
                    <w:top w:val="single" w:color="auto" w:sz="4" w:space="0"/>
                    <w:left w:val="nil"/>
                    <w:bottom w:val="single" w:color="auto" w:sz="4" w:space="0"/>
                    <w:right w:val="single" w:color="auto" w:sz="4" w:space="0"/>
                  </w:tcBorders>
                  <w:vAlign w:val="center"/>
                </w:tcPr>
                <w:p>
                  <w:pPr>
                    <w:autoSpaceDE w:val="0"/>
                    <w:autoSpaceDN w:val="0"/>
                    <w:adjustRightInd w:val="0"/>
                    <w:spacing w:line="340" w:lineRule="exact"/>
                    <w:jc w:val="center"/>
                    <w:rPr>
                      <w:bCs/>
                      <w:sz w:val="18"/>
                      <w:szCs w:val="18"/>
                    </w:rPr>
                  </w:pPr>
                  <w:r>
                    <w:rPr>
                      <w:rFonts w:hint="eastAsia"/>
                      <w:bCs/>
                      <w:sz w:val="18"/>
                      <w:szCs w:val="18"/>
                    </w:rPr>
                    <w:t>1</w:t>
                  </w:r>
                  <w:r>
                    <w:rPr>
                      <w:bCs/>
                      <w:sz w:val="18"/>
                      <w:szCs w:val="18"/>
                    </w:rPr>
                    <w:t>天</w:t>
                  </w:r>
                </w:p>
              </w:tc>
              <w:tc>
                <w:tcPr>
                  <w:tcW w:w="1134" w:type="dxa"/>
                  <w:tcBorders>
                    <w:top w:val="single" w:color="auto" w:sz="4" w:space="0"/>
                    <w:left w:val="nil"/>
                    <w:bottom w:val="single" w:color="auto" w:sz="4" w:space="0"/>
                    <w:right w:val="single" w:color="auto" w:sz="4" w:space="0"/>
                  </w:tcBorders>
                  <w:vAlign w:val="center"/>
                </w:tcPr>
                <w:p>
                  <w:pPr>
                    <w:autoSpaceDE w:val="0"/>
                    <w:autoSpaceDN w:val="0"/>
                    <w:adjustRightInd w:val="0"/>
                    <w:spacing w:line="340" w:lineRule="exact"/>
                    <w:jc w:val="center"/>
                    <w:rPr>
                      <w:bCs/>
                      <w:sz w:val="18"/>
                      <w:szCs w:val="18"/>
                    </w:rPr>
                  </w:pPr>
                  <w:r>
                    <w:rPr>
                      <w:bCs/>
                      <w:sz w:val="18"/>
                      <w:szCs w:val="18"/>
                    </w:rPr>
                    <w:t>每季度1次</w:t>
                  </w:r>
                </w:p>
              </w:tc>
              <w:tc>
                <w:tcPr>
                  <w:tcW w:w="1858" w:type="dxa"/>
                  <w:tcBorders>
                    <w:top w:val="single" w:color="auto" w:sz="4" w:space="0"/>
                    <w:left w:val="nil"/>
                    <w:bottom w:val="single" w:color="auto" w:sz="4" w:space="0"/>
                    <w:right w:val="single" w:color="auto" w:sz="4" w:space="0"/>
                  </w:tcBorders>
                  <w:vAlign w:val="center"/>
                </w:tcPr>
                <w:p>
                  <w:pPr>
                    <w:autoSpaceDE w:val="0"/>
                    <w:autoSpaceDN w:val="0"/>
                    <w:adjustRightInd w:val="0"/>
                    <w:spacing w:line="340" w:lineRule="exact"/>
                    <w:jc w:val="center"/>
                    <w:rPr>
                      <w:bCs/>
                      <w:sz w:val="18"/>
                      <w:szCs w:val="18"/>
                    </w:rPr>
                  </w:pPr>
                  <w:r>
                    <w:rPr>
                      <w:rFonts w:hint="eastAsia"/>
                      <w:bCs/>
                      <w:sz w:val="18"/>
                      <w:szCs w:val="18"/>
                    </w:rPr>
                    <w:t>“GB12348-2008”2类区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jc w:val="center"/>
              </w:trPr>
              <w:tc>
                <w:tcPr>
                  <w:tcW w:w="1063" w:type="dxa"/>
                  <w:tcBorders>
                    <w:top w:val="single" w:color="auto" w:sz="4" w:space="0"/>
                    <w:left w:val="single" w:color="auto" w:sz="4" w:space="0"/>
                    <w:right w:val="single" w:color="auto" w:sz="4" w:space="0"/>
                  </w:tcBorders>
                  <w:vAlign w:val="center"/>
                </w:tcPr>
                <w:p>
                  <w:pPr>
                    <w:autoSpaceDE w:val="0"/>
                    <w:autoSpaceDN w:val="0"/>
                    <w:adjustRightInd w:val="0"/>
                    <w:spacing w:line="340" w:lineRule="exact"/>
                    <w:jc w:val="center"/>
                    <w:rPr>
                      <w:bCs/>
                      <w:sz w:val="18"/>
                      <w:szCs w:val="18"/>
                    </w:rPr>
                  </w:pPr>
                  <w:r>
                    <w:rPr>
                      <w:bCs/>
                      <w:sz w:val="18"/>
                      <w:szCs w:val="18"/>
                    </w:rPr>
                    <w:t>噪声</w:t>
                  </w:r>
                </w:p>
              </w:tc>
              <w:tc>
                <w:tcPr>
                  <w:tcW w:w="1559" w:type="dxa"/>
                  <w:tcBorders>
                    <w:top w:val="single" w:color="auto" w:sz="4" w:space="0"/>
                    <w:left w:val="nil"/>
                    <w:bottom w:val="single" w:color="auto" w:sz="4" w:space="0"/>
                    <w:right w:val="single" w:color="auto" w:sz="4" w:space="0"/>
                  </w:tcBorders>
                  <w:vAlign w:val="center"/>
                </w:tcPr>
                <w:p>
                  <w:pPr>
                    <w:autoSpaceDE w:val="0"/>
                    <w:autoSpaceDN w:val="0"/>
                    <w:adjustRightInd w:val="0"/>
                    <w:spacing w:line="340" w:lineRule="exact"/>
                    <w:jc w:val="center"/>
                    <w:rPr>
                      <w:bCs/>
                      <w:sz w:val="18"/>
                      <w:szCs w:val="18"/>
                    </w:rPr>
                  </w:pPr>
                  <w:r>
                    <w:rPr>
                      <w:bCs/>
                      <w:sz w:val="18"/>
                      <w:szCs w:val="18"/>
                    </w:rPr>
                    <w:t>项目区西面边界</w:t>
                  </w:r>
                </w:p>
              </w:tc>
              <w:tc>
                <w:tcPr>
                  <w:tcW w:w="1134" w:type="dxa"/>
                  <w:tcBorders>
                    <w:top w:val="single" w:color="auto" w:sz="4" w:space="0"/>
                    <w:left w:val="nil"/>
                    <w:bottom w:val="single" w:color="auto" w:sz="4" w:space="0"/>
                    <w:right w:val="single" w:color="auto" w:sz="4" w:space="0"/>
                  </w:tcBorders>
                  <w:vAlign w:val="center"/>
                </w:tcPr>
                <w:p>
                  <w:pPr>
                    <w:autoSpaceDE w:val="0"/>
                    <w:autoSpaceDN w:val="0"/>
                    <w:adjustRightInd w:val="0"/>
                    <w:spacing w:line="340" w:lineRule="exact"/>
                    <w:jc w:val="center"/>
                    <w:rPr>
                      <w:bCs/>
                      <w:sz w:val="18"/>
                      <w:szCs w:val="18"/>
                    </w:rPr>
                  </w:pPr>
                  <w:r>
                    <w:rPr>
                      <w:sz w:val="18"/>
                      <w:szCs w:val="18"/>
                    </w:rPr>
                    <w:t>噪声</w:t>
                  </w:r>
                </w:p>
              </w:tc>
              <w:tc>
                <w:tcPr>
                  <w:tcW w:w="992" w:type="dxa"/>
                  <w:tcBorders>
                    <w:top w:val="single" w:color="auto" w:sz="4" w:space="0"/>
                    <w:left w:val="nil"/>
                    <w:bottom w:val="single" w:color="auto" w:sz="4" w:space="0"/>
                    <w:right w:val="single" w:color="auto" w:sz="4" w:space="0"/>
                  </w:tcBorders>
                  <w:vAlign w:val="center"/>
                </w:tcPr>
                <w:p>
                  <w:pPr>
                    <w:autoSpaceDE w:val="0"/>
                    <w:autoSpaceDN w:val="0"/>
                    <w:adjustRightInd w:val="0"/>
                    <w:spacing w:line="340" w:lineRule="exact"/>
                    <w:jc w:val="center"/>
                    <w:rPr>
                      <w:bCs/>
                      <w:sz w:val="18"/>
                      <w:szCs w:val="18"/>
                    </w:rPr>
                  </w:pPr>
                  <w:r>
                    <w:rPr>
                      <w:rFonts w:hint="eastAsia"/>
                      <w:bCs/>
                      <w:sz w:val="18"/>
                      <w:szCs w:val="18"/>
                    </w:rPr>
                    <w:t>1</w:t>
                  </w:r>
                  <w:r>
                    <w:rPr>
                      <w:bCs/>
                      <w:sz w:val="18"/>
                      <w:szCs w:val="18"/>
                    </w:rPr>
                    <w:t>天</w:t>
                  </w:r>
                </w:p>
              </w:tc>
              <w:tc>
                <w:tcPr>
                  <w:tcW w:w="1134" w:type="dxa"/>
                  <w:tcBorders>
                    <w:top w:val="single" w:color="auto" w:sz="4" w:space="0"/>
                    <w:left w:val="nil"/>
                    <w:bottom w:val="single" w:color="auto" w:sz="4" w:space="0"/>
                    <w:right w:val="single" w:color="auto" w:sz="4" w:space="0"/>
                  </w:tcBorders>
                  <w:vAlign w:val="center"/>
                </w:tcPr>
                <w:p>
                  <w:pPr>
                    <w:autoSpaceDE w:val="0"/>
                    <w:autoSpaceDN w:val="0"/>
                    <w:adjustRightInd w:val="0"/>
                    <w:spacing w:line="340" w:lineRule="exact"/>
                    <w:jc w:val="center"/>
                    <w:rPr>
                      <w:bCs/>
                      <w:sz w:val="18"/>
                      <w:szCs w:val="18"/>
                    </w:rPr>
                  </w:pPr>
                  <w:r>
                    <w:rPr>
                      <w:bCs/>
                      <w:sz w:val="18"/>
                      <w:szCs w:val="18"/>
                    </w:rPr>
                    <w:t>每季度1次</w:t>
                  </w:r>
                </w:p>
              </w:tc>
              <w:tc>
                <w:tcPr>
                  <w:tcW w:w="1858" w:type="dxa"/>
                  <w:tcBorders>
                    <w:top w:val="single" w:color="auto" w:sz="4" w:space="0"/>
                    <w:left w:val="nil"/>
                    <w:bottom w:val="single" w:color="auto" w:sz="4" w:space="0"/>
                    <w:right w:val="single" w:color="auto" w:sz="4" w:space="0"/>
                  </w:tcBorders>
                  <w:vAlign w:val="center"/>
                </w:tcPr>
                <w:p>
                  <w:pPr>
                    <w:autoSpaceDE w:val="0"/>
                    <w:autoSpaceDN w:val="0"/>
                    <w:adjustRightInd w:val="0"/>
                    <w:spacing w:line="340" w:lineRule="exact"/>
                    <w:jc w:val="center"/>
                    <w:rPr>
                      <w:bCs/>
                      <w:sz w:val="18"/>
                      <w:szCs w:val="18"/>
                    </w:rPr>
                  </w:pPr>
                  <w:r>
                    <w:rPr>
                      <w:rFonts w:hint="eastAsia"/>
                      <w:bCs/>
                      <w:sz w:val="18"/>
                      <w:szCs w:val="18"/>
                    </w:rPr>
                    <w:t>“GB12348-2008”4类区</w:t>
                  </w:r>
                </w:p>
              </w:tc>
            </w:tr>
          </w:tbl>
          <w:p>
            <w:pPr>
              <w:adjustRightInd w:val="0"/>
              <w:snapToGrid w:val="0"/>
              <w:spacing w:line="400" w:lineRule="exact"/>
              <w:ind w:left="-53" w:leftChars="-25" w:right="-53" w:rightChars="-25"/>
              <w:jc w:val="left"/>
              <w:rPr>
                <w:rFonts w:eastAsia="黑体"/>
                <w:bCs/>
                <w:sz w:val="22"/>
                <w:szCs w:val="22"/>
              </w:rPr>
            </w:pPr>
            <w:r>
              <w:rPr>
                <w:rFonts w:eastAsia="黑体"/>
                <w:bCs/>
                <w:sz w:val="22"/>
                <w:szCs w:val="22"/>
              </w:rPr>
              <w:t>4、固体废物</w:t>
            </w:r>
          </w:p>
          <w:p>
            <w:pPr>
              <w:autoSpaceDE w:val="0"/>
              <w:autoSpaceDN w:val="0"/>
              <w:adjustRightInd w:val="0"/>
              <w:snapToGrid w:val="0"/>
              <w:spacing w:line="400" w:lineRule="exact"/>
              <w:ind w:firstLine="420" w:firstLineChars="200"/>
              <w:jc w:val="left"/>
              <w:rPr>
                <w:rFonts w:cs="宋体"/>
                <w:szCs w:val="21"/>
              </w:rPr>
            </w:pPr>
            <w:r>
              <w:rPr>
                <w:rFonts w:hint="eastAsia" w:cs="宋体"/>
                <w:szCs w:val="21"/>
              </w:rPr>
              <w:t>本项目营运期固废主要有废水沉淀池产生的煤泥、员工产生的生活垃圾。营运期生产设备较少，无危险废物产生。</w:t>
            </w:r>
          </w:p>
          <w:p>
            <w:pPr>
              <w:autoSpaceDE w:val="0"/>
              <w:autoSpaceDN w:val="0"/>
              <w:adjustRightInd w:val="0"/>
              <w:snapToGrid w:val="0"/>
              <w:spacing w:line="400" w:lineRule="exact"/>
              <w:ind w:firstLine="420" w:firstLineChars="200"/>
              <w:jc w:val="left"/>
              <w:rPr>
                <w:rFonts w:cs="宋体"/>
                <w:szCs w:val="21"/>
              </w:rPr>
            </w:pPr>
            <w:r>
              <w:rPr>
                <w:rFonts w:hint="eastAsia" w:cs="宋体"/>
                <w:szCs w:val="21"/>
              </w:rPr>
              <w:t>（1）煤泥</w:t>
            </w:r>
          </w:p>
          <w:p>
            <w:pPr>
              <w:autoSpaceDE w:val="0"/>
              <w:autoSpaceDN w:val="0"/>
              <w:adjustRightInd w:val="0"/>
              <w:snapToGrid w:val="0"/>
              <w:spacing w:line="400" w:lineRule="exact"/>
              <w:ind w:firstLine="420" w:firstLineChars="200"/>
              <w:jc w:val="left"/>
              <w:rPr>
                <w:rFonts w:cs="宋体"/>
                <w:szCs w:val="21"/>
              </w:rPr>
            </w:pPr>
            <w:r>
              <w:rPr>
                <w:rFonts w:hint="eastAsia" w:cs="宋体"/>
                <w:szCs w:val="21"/>
              </w:rPr>
              <w:t>废水沉淀池产生的煤泥，主要是废水中的悬浮物等经沉降后形成的，主要物质为煤渣、煤粉尘等，产生量约1.8t/a。属于可回收利用类物质。主要采取定期对沉淀池进行清理、打捞，将池底的煤泥等清理后，直接混入堆场内的煤炭产品中外售。</w:t>
            </w:r>
          </w:p>
          <w:p>
            <w:pPr>
              <w:autoSpaceDE w:val="0"/>
              <w:autoSpaceDN w:val="0"/>
              <w:adjustRightInd w:val="0"/>
              <w:snapToGrid w:val="0"/>
              <w:spacing w:line="400" w:lineRule="exact"/>
              <w:ind w:firstLine="420" w:firstLineChars="200"/>
              <w:jc w:val="left"/>
              <w:rPr>
                <w:rFonts w:cs="宋体"/>
                <w:szCs w:val="21"/>
              </w:rPr>
            </w:pPr>
            <w:r>
              <w:rPr>
                <w:rFonts w:hint="eastAsia" w:cs="宋体"/>
                <w:szCs w:val="21"/>
              </w:rPr>
              <w:t>（2）生活垃圾</w:t>
            </w:r>
          </w:p>
          <w:p>
            <w:pPr>
              <w:autoSpaceDE w:val="0"/>
              <w:autoSpaceDN w:val="0"/>
              <w:adjustRightInd w:val="0"/>
              <w:snapToGrid w:val="0"/>
              <w:spacing w:line="400" w:lineRule="exact"/>
              <w:ind w:firstLine="420" w:firstLineChars="200"/>
              <w:jc w:val="left"/>
              <w:rPr>
                <w:rFonts w:cs="宋体"/>
                <w:szCs w:val="21"/>
              </w:rPr>
            </w:pPr>
            <w:r>
              <w:rPr>
                <w:rFonts w:hint="eastAsia" w:cs="宋体"/>
                <w:szCs w:val="21"/>
              </w:rPr>
              <w:t>项目营运期员工6人，生活垃圾产生量按0.5kg/人•d，则预计产生量约为3.0kg/d（0.9t/a）。项目区设置垃圾桶，采取袋装收集的方式，定期外运至附近场镇的生活垃圾集中收集点，由环卫负责清运。</w:t>
            </w:r>
          </w:p>
          <w:p>
            <w:pPr>
              <w:autoSpaceDE w:val="0"/>
              <w:autoSpaceDN w:val="0"/>
              <w:adjustRightInd w:val="0"/>
              <w:snapToGrid w:val="0"/>
              <w:spacing w:line="400" w:lineRule="exact"/>
              <w:ind w:firstLine="420" w:firstLineChars="200"/>
              <w:jc w:val="left"/>
              <w:rPr>
                <w:rFonts w:cs="宋体"/>
                <w:szCs w:val="21"/>
              </w:rPr>
            </w:pPr>
            <w:r>
              <w:rPr>
                <w:rFonts w:hint="eastAsia" w:cs="宋体"/>
                <w:szCs w:val="21"/>
              </w:rPr>
              <w:t>在采取上述固废处置措施后，本项目固体废物能够做到去向明确，能够得到妥善处置，不会产生二次污染。含煤废水沉淀池的沉渣，主要为煤粉颗粒沉淀的煤泥，定期清理后经移动式压滤机干化后，送至储煤棚内堆存，作为煤泥产品外售。</w:t>
            </w:r>
          </w:p>
          <w:p>
            <w:pPr>
              <w:adjustRightInd w:val="0"/>
              <w:snapToGrid w:val="0"/>
              <w:spacing w:line="400" w:lineRule="exact"/>
              <w:ind w:left="-53" w:leftChars="-25" w:right="-53" w:rightChars="-25"/>
              <w:jc w:val="left"/>
              <w:rPr>
                <w:rFonts w:eastAsia="黑体"/>
                <w:bCs/>
                <w:sz w:val="22"/>
                <w:szCs w:val="22"/>
              </w:rPr>
            </w:pPr>
            <w:r>
              <w:rPr>
                <w:rFonts w:eastAsia="黑体"/>
                <w:bCs/>
                <w:sz w:val="22"/>
                <w:szCs w:val="22"/>
              </w:rPr>
              <w:t>5、地下水及土壤</w:t>
            </w:r>
          </w:p>
          <w:p>
            <w:pPr>
              <w:autoSpaceDE w:val="0"/>
              <w:autoSpaceDN w:val="0"/>
              <w:adjustRightInd w:val="0"/>
              <w:spacing w:line="400" w:lineRule="exact"/>
              <w:ind w:firstLine="420" w:firstLineChars="200"/>
              <w:rPr>
                <w:kern w:val="0"/>
              </w:rPr>
            </w:pPr>
            <w:r>
              <w:rPr>
                <w:kern w:val="0"/>
              </w:rPr>
              <w:t>项目营运期对区域地下水和土壤环境的污染影响途径主要包括：储煤棚内煤炭堆存、卸煤场煤炭受雨水冲刷和废水沉淀池废水渗漏，导致含煤废水垂直入渗污染地下水和土壤。另外办公区的化粪池，如发生废水渗漏，也易造成地下水和土壤污染。</w:t>
            </w:r>
          </w:p>
          <w:p>
            <w:pPr>
              <w:autoSpaceDE w:val="0"/>
              <w:autoSpaceDN w:val="0"/>
              <w:adjustRightInd w:val="0"/>
              <w:spacing w:line="400" w:lineRule="exact"/>
              <w:ind w:firstLine="420" w:firstLineChars="200"/>
              <w:rPr>
                <w:kern w:val="0"/>
              </w:rPr>
            </w:pPr>
            <w:r>
              <w:rPr>
                <w:kern w:val="0"/>
              </w:rPr>
              <w:t>采取的防治措施主要有：</w:t>
            </w:r>
            <w:r>
              <w:rPr>
                <w:rFonts w:hint="eastAsia" w:ascii="宋体" w:hAnsi="宋体" w:cs="宋体"/>
                <w:kern w:val="0"/>
              </w:rPr>
              <w:t>①</w:t>
            </w:r>
            <w:r>
              <w:rPr>
                <w:rFonts w:hint="eastAsia"/>
                <w:kern w:val="0"/>
              </w:rPr>
              <w:t>通过设置封闭式储煤棚，并对棚内地面采取水泥硬化处理，地面为原土层，防渗等级基本能够达到</w:t>
            </w:r>
            <w:r>
              <w:rPr>
                <w:kern w:val="0"/>
              </w:rPr>
              <w:t>Mb≥1.5m，K≤1×10</w:t>
            </w:r>
            <w:r>
              <w:rPr>
                <w:kern w:val="0"/>
                <w:vertAlign w:val="superscript"/>
              </w:rPr>
              <w:t>-7</w:t>
            </w:r>
            <w:r>
              <w:rPr>
                <w:kern w:val="0"/>
              </w:rPr>
              <w:t>cm/s。</w:t>
            </w:r>
            <w:r>
              <w:rPr>
                <w:rFonts w:hint="eastAsia" w:ascii="宋体" w:hAnsi="宋体" w:cs="宋体"/>
                <w:kern w:val="0"/>
              </w:rPr>
              <w:t>②内部转运道路等划为简单防渗区。采用一般水泥硬化防渗。③废水沉淀池在修建时，也采取水泥硬化防渗处理。④化粪池为利旧设施，经调查修建时已采取一般防渗措施。</w:t>
            </w:r>
          </w:p>
          <w:p>
            <w:pPr>
              <w:autoSpaceDE w:val="0"/>
              <w:autoSpaceDN w:val="0"/>
              <w:adjustRightInd w:val="0"/>
              <w:spacing w:line="400" w:lineRule="exact"/>
              <w:ind w:firstLine="420" w:firstLineChars="200"/>
              <w:rPr>
                <w:kern w:val="0"/>
              </w:rPr>
            </w:pPr>
            <w:r>
              <w:rPr>
                <w:rFonts w:hint="eastAsia" w:ascii="宋体" w:hAnsi="宋体" w:cs="宋体"/>
                <w:kern w:val="0"/>
              </w:rPr>
              <w:t>本项目储煤棚为全封闭式结构，能够避免降雨冲刷煤堆，能够确保项目营运时不对区域地下水、土壤环境造成污染影响。</w:t>
            </w:r>
          </w:p>
          <w:p>
            <w:pPr>
              <w:adjustRightInd w:val="0"/>
              <w:snapToGrid w:val="0"/>
              <w:spacing w:line="380" w:lineRule="exact"/>
              <w:ind w:left="-53" w:leftChars="-25" w:right="-53" w:rightChars="-25"/>
              <w:jc w:val="left"/>
              <w:rPr>
                <w:rFonts w:eastAsia="黑体"/>
                <w:bCs/>
                <w:sz w:val="22"/>
                <w:szCs w:val="22"/>
              </w:rPr>
            </w:pPr>
            <w:r>
              <w:rPr>
                <w:rFonts w:hint="eastAsia" w:eastAsia="黑体"/>
                <w:bCs/>
                <w:sz w:val="22"/>
                <w:szCs w:val="22"/>
              </w:rPr>
              <w:t>6</w:t>
            </w:r>
            <w:r>
              <w:rPr>
                <w:rFonts w:eastAsia="黑体"/>
                <w:bCs/>
                <w:sz w:val="22"/>
                <w:szCs w:val="22"/>
              </w:rPr>
              <w:t>、环境风险</w:t>
            </w:r>
          </w:p>
          <w:p>
            <w:pPr>
              <w:autoSpaceDE w:val="0"/>
              <w:autoSpaceDN w:val="0"/>
              <w:adjustRightInd w:val="0"/>
              <w:spacing w:line="400" w:lineRule="exact"/>
              <w:ind w:firstLine="420" w:firstLineChars="200"/>
              <w:rPr>
                <w:kern w:val="0"/>
              </w:rPr>
            </w:pPr>
            <w:r>
              <w:rPr>
                <w:kern w:val="0"/>
              </w:rPr>
              <w:t>（1）</w:t>
            </w:r>
            <w:r>
              <w:rPr>
                <w:rFonts w:eastAsia="黑体"/>
                <w:kern w:val="0"/>
              </w:rPr>
              <w:t>危险物质</w:t>
            </w:r>
          </w:p>
          <w:p>
            <w:pPr>
              <w:autoSpaceDE w:val="0"/>
              <w:autoSpaceDN w:val="0"/>
              <w:adjustRightInd w:val="0"/>
              <w:spacing w:line="400" w:lineRule="exact"/>
              <w:ind w:firstLine="420" w:firstLineChars="200"/>
              <w:rPr>
                <w:kern w:val="0"/>
              </w:rPr>
            </w:pPr>
            <w:r>
              <w:rPr>
                <w:rFonts w:hint="eastAsia"/>
                <w:kern w:val="0"/>
              </w:rPr>
              <w:t>本项目为储煤棚建设项目，不涉及生产性活动，堆存物质主要为煤炭。查阅资料，本项目原料煤炭和其他</w:t>
            </w:r>
            <w:r>
              <w:rPr>
                <w:kern w:val="0"/>
              </w:rPr>
              <w:t>辅材均不涉及危险化学品。</w:t>
            </w:r>
          </w:p>
          <w:p>
            <w:pPr>
              <w:autoSpaceDE w:val="0"/>
              <w:autoSpaceDN w:val="0"/>
              <w:adjustRightInd w:val="0"/>
              <w:spacing w:line="400" w:lineRule="exact"/>
              <w:ind w:firstLine="420" w:firstLineChars="200"/>
              <w:rPr>
                <w:rFonts w:eastAsia="黑体"/>
                <w:kern w:val="0"/>
              </w:rPr>
            </w:pPr>
            <w:r>
              <w:rPr>
                <w:rFonts w:eastAsia="黑体"/>
                <w:kern w:val="0"/>
              </w:rPr>
              <w:t>（2）风险源识别及影响途径</w:t>
            </w:r>
          </w:p>
          <w:p>
            <w:pPr>
              <w:autoSpaceDE w:val="0"/>
              <w:autoSpaceDN w:val="0"/>
              <w:adjustRightInd w:val="0"/>
              <w:spacing w:line="400" w:lineRule="exact"/>
              <w:ind w:firstLine="420" w:firstLineChars="200"/>
              <w:rPr>
                <w:kern w:val="0"/>
              </w:rPr>
            </w:pPr>
            <w:r>
              <w:rPr>
                <w:kern w:val="0"/>
              </w:rPr>
              <w:t>风险识别范围包括物质危险性识别和生产系统危险性识别。物质风险性识别包括主要原辅材料、燃料、中间产品、副产品、最终产品、污染物和爆炸伴生/次生物等。生产系统危险性识别包括主要生产装置、储运设施、公用工程和辅助生产设施，以及环境保护设施等。</w:t>
            </w:r>
          </w:p>
          <w:p>
            <w:pPr>
              <w:autoSpaceDE w:val="0"/>
              <w:autoSpaceDN w:val="0"/>
              <w:adjustRightInd w:val="0"/>
              <w:spacing w:line="400" w:lineRule="exact"/>
              <w:ind w:firstLine="420" w:firstLineChars="200"/>
              <w:rPr>
                <w:kern w:val="0"/>
              </w:rPr>
            </w:pPr>
            <w:r>
              <w:rPr>
                <w:rFonts w:hint="eastAsia" w:ascii="宋体" w:hAnsi="宋体" w:cs="宋体"/>
                <w:kern w:val="0"/>
              </w:rPr>
              <w:t>①</w:t>
            </w:r>
            <w:r>
              <w:rPr>
                <w:kern w:val="0"/>
              </w:rPr>
              <w:t>物质风险性识别</w:t>
            </w:r>
          </w:p>
          <w:p>
            <w:pPr>
              <w:autoSpaceDE w:val="0"/>
              <w:autoSpaceDN w:val="0"/>
              <w:adjustRightInd w:val="0"/>
              <w:spacing w:line="380" w:lineRule="exact"/>
              <w:ind w:firstLine="420" w:firstLineChars="200"/>
              <w:rPr>
                <w:rFonts w:ascii="宋体" w:hAnsi="宋体" w:cs="宋体"/>
                <w:kern w:val="0"/>
              </w:rPr>
            </w:pPr>
            <w:r>
              <w:rPr>
                <w:rFonts w:hint="eastAsia" w:ascii="宋体" w:hAnsi="宋体" w:cs="宋体"/>
                <w:kern w:val="0"/>
              </w:rPr>
              <w:t>本项目不涉及危险物质。</w:t>
            </w:r>
          </w:p>
          <w:p>
            <w:pPr>
              <w:autoSpaceDE w:val="0"/>
              <w:autoSpaceDN w:val="0"/>
              <w:adjustRightInd w:val="0"/>
              <w:spacing w:line="400" w:lineRule="exact"/>
              <w:ind w:firstLine="420" w:firstLineChars="200"/>
              <w:rPr>
                <w:kern w:val="0"/>
              </w:rPr>
            </w:pPr>
            <w:r>
              <w:rPr>
                <w:rFonts w:hint="eastAsia" w:ascii="宋体" w:hAnsi="宋体" w:cs="宋体"/>
                <w:kern w:val="0"/>
              </w:rPr>
              <w:t>②</w:t>
            </w:r>
            <w:r>
              <w:rPr>
                <w:kern w:val="0"/>
              </w:rPr>
              <w:t>运输过程风险识别</w:t>
            </w:r>
          </w:p>
          <w:p>
            <w:pPr>
              <w:autoSpaceDE w:val="0"/>
              <w:autoSpaceDN w:val="0"/>
              <w:adjustRightInd w:val="0"/>
              <w:spacing w:line="400" w:lineRule="exact"/>
              <w:ind w:firstLine="420" w:firstLineChars="200"/>
              <w:rPr>
                <w:kern w:val="0"/>
              </w:rPr>
            </w:pPr>
            <w:r>
              <w:rPr>
                <w:kern w:val="0"/>
              </w:rPr>
              <w:t>项目运输为一般物品运输，运输过程中，注意行车安全，防止物品遗撒。</w:t>
            </w:r>
          </w:p>
          <w:p>
            <w:pPr>
              <w:autoSpaceDE w:val="0"/>
              <w:autoSpaceDN w:val="0"/>
              <w:adjustRightInd w:val="0"/>
              <w:spacing w:line="400" w:lineRule="exact"/>
              <w:ind w:firstLine="420" w:firstLineChars="200"/>
              <w:rPr>
                <w:kern w:val="0"/>
              </w:rPr>
            </w:pPr>
            <w:r>
              <w:rPr>
                <w:rFonts w:hint="eastAsia" w:ascii="宋体" w:hAnsi="宋体" w:cs="宋体"/>
                <w:kern w:val="0"/>
              </w:rPr>
              <w:t>③</w:t>
            </w:r>
            <w:r>
              <w:rPr>
                <w:kern w:val="0"/>
              </w:rPr>
              <w:t>存储风险识别</w:t>
            </w:r>
          </w:p>
          <w:p>
            <w:pPr>
              <w:autoSpaceDE w:val="0"/>
              <w:autoSpaceDN w:val="0"/>
              <w:adjustRightInd w:val="0"/>
              <w:spacing w:line="400" w:lineRule="exact"/>
              <w:ind w:firstLine="420" w:firstLineChars="200"/>
              <w:rPr>
                <w:kern w:val="0"/>
              </w:rPr>
            </w:pPr>
            <w:r>
              <w:rPr>
                <w:kern w:val="0"/>
              </w:rPr>
              <w:t>项目生产过程中，储煤棚储存的煤炭属于可燃物质，如遇火源或燃烧引发火灾；煤炭堆存时若通风措施不到位，易发生煤尘爆炸事故。</w:t>
            </w:r>
          </w:p>
          <w:p>
            <w:pPr>
              <w:autoSpaceDE w:val="0"/>
              <w:autoSpaceDN w:val="0"/>
              <w:adjustRightInd w:val="0"/>
              <w:spacing w:line="400" w:lineRule="exact"/>
              <w:ind w:firstLine="420" w:firstLineChars="200"/>
              <w:rPr>
                <w:kern w:val="0"/>
              </w:rPr>
            </w:pPr>
            <w:r>
              <w:rPr>
                <w:rFonts w:hint="eastAsia" w:ascii="宋体" w:hAnsi="宋体" w:cs="宋体"/>
                <w:kern w:val="0"/>
              </w:rPr>
              <w:t>④</w:t>
            </w:r>
            <w:r>
              <w:rPr>
                <w:kern w:val="0"/>
              </w:rPr>
              <w:t>生产装置风险识别</w:t>
            </w:r>
          </w:p>
          <w:p>
            <w:pPr>
              <w:autoSpaceDE w:val="0"/>
              <w:autoSpaceDN w:val="0"/>
              <w:adjustRightInd w:val="0"/>
              <w:spacing w:line="400" w:lineRule="exact"/>
              <w:ind w:firstLine="420" w:firstLineChars="200"/>
              <w:rPr>
                <w:kern w:val="0"/>
              </w:rPr>
            </w:pPr>
            <w:r>
              <w:rPr>
                <w:kern w:val="0"/>
              </w:rPr>
              <w:t>项目废水沉淀池是</w:t>
            </w:r>
            <w:r>
              <w:rPr>
                <w:rFonts w:hint="eastAsia"/>
              </w:rPr>
              <w:t>属于生产装置风险源，应重点防范废水收集池破裂、泄漏。</w:t>
            </w:r>
          </w:p>
          <w:p>
            <w:pPr>
              <w:autoSpaceDE w:val="0"/>
              <w:autoSpaceDN w:val="0"/>
              <w:adjustRightInd w:val="0"/>
              <w:spacing w:line="400" w:lineRule="exact"/>
              <w:ind w:firstLine="420" w:firstLineChars="200"/>
              <w:rPr>
                <w:kern w:val="0"/>
              </w:rPr>
            </w:pPr>
            <w:r>
              <w:rPr>
                <w:kern w:val="0"/>
              </w:rPr>
              <w:t>综上，本项目风险源主要存在于</w:t>
            </w:r>
            <w:r>
              <w:rPr>
                <w:rFonts w:hint="eastAsia"/>
                <w:kern w:val="0"/>
              </w:rPr>
              <w:t>废水沉淀池的水池等，</w:t>
            </w:r>
            <w:r>
              <w:rPr>
                <w:kern w:val="0"/>
              </w:rPr>
              <w:t>一旦发生泄漏将对区域土壤、地下水和地表水造成污染影响。储煤棚的煤炭如遇火种引发火灾或煤尘爆炸，也属于一个潜在的风险源。</w:t>
            </w:r>
          </w:p>
          <w:p>
            <w:pPr>
              <w:autoSpaceDE w:val="0"/>
              <w:autoSpaceDN w:val="0"/>
              <w:adjustRightInd w:val="0"/>
              <w:spacing w:line="400" w:lineRule="exact"/>
              <w:ind w:firstLine="420" w:firstLineChars="200"/>
              <w:rPr>
                <w:rFonts w:eastAsia="黑体"/>
                <w:kern w:val="0"/>
              </w:rPr>
            </w:pPr>
            <w:r>
              <w:rPr>
                <w:rFonts w:eastAsia="黑体"/>
                <w:kern w:val="0"/>
              </w:rPr>
              <w:t>（</w:t>
            </w:r>
            <w:r>
              <w:rPr>
                <w:rFonts w:hint="eastAsia" w:eastAsia="黑体"/>
                <w:kern w:val="0"/>
              </w:rPr>
              <w:t>3</w:t>
            </w:r>
            <w:r>
              <w:rPr>
                <w:rFonts w:eastAsia="黑体"/>
                <w:kern w:val="0"/>
              </w:rPr>
              <w:t>）风险防范措施</w:t>
            </w:r>
          </w:p>
          <w:p>
            <w:pPr>
              <w:autoSpaceDE w:val="0"/>
              <w:autoSpaceDN w:val="0"/>
              <w:adjustRightInd w:val="0"/>
              <w:spacing w:line="400" w:lineRule="exact"/>
              <w:ind w:firstLine="420" w:firstLineChars="200"/>
              <w:rPr>
                <w:kern w:val="0"/>
              </w:rPr>
            </w:pPr>
            <w:r>
              <w:rPr>
                <w:rFonts w:hint="eastAsia"/>
                <w:kern w:val="0"/>
              </w:rPr>
              <w:t>①采取合适的贮煤场和堆置方式，宜将贮煤场设置在宽敞的区域，周围和堆场下部不得有高温热源，这样可降低煤的氧化速度。</w:t>
            </w:r>
          </w:p>
          <w:p>
            <w:pPr>
              <w:autoSpaceDE w:val="0"/>
              <w:autoSpaceDN w:val="0"/>
              <w:adjustRightInd w:val="0"/>
              <w:spacing w:line="400" w:lineRule="exact"/>
              <w:ind w:firstLine="420" w:firstLineChars="200"/>
              <w:rPr>
                <w:kern w:val="0"/>
              </w:rPr>
            </w:pPr>
            <w:r>
              <w:rPr>
                <w:rFonts w:hint="eastAsia"/>
                <w:kern w:val="0"/>
              </w:rPr>
              <w:t>②为防止煤炭自燃，煤炭贮存时的煤堆形状、堆积角度、堆积高度和堆积时间都要严格选择。煤炭堆积时间不宜过长，无烟煤不要超过4个月，而挥发分高的褐煤，长焰煤、不粘煤等不要超过1个月。</w:t>
            </w:r>
          </w:p>
          <w:p>
            <w:pPr>
              <w:autoSpaceDE w:val="0"/>
              <w:autoSpaceDN w:val="0"/>
              <w:adjustRightInd w:val="0"/>
              <w:spacing w:line="400" w:lineRule="exact"/>
              <w:ind w:firstLine="420" w:firstLineChars="200"/>
              <w:rPr>
                <w:kern w:val="0"/>
              </w:rPr>
            </w:pPr>
            <w:r>
              <w:rPr>
                <w:rFonts w:hint="eastAsia"/>
                <w:kern w:val="0"/>
              </w:rPr>
              <w:t>③堆存时采取分层压实组堆，对防止煤堆的自燃十分有效。适当的喷雾洒水，避免堆煤含水处于自燃的适宜水分含量条件。</w:t>
            </w:r>
          </w:p>
          <w:p>
            <w:pPr>
              <w:autoSpaceDE w:val="0"/>
              <w:autoSpaceDN w:val="0"/>
              <w:adjustRightInd w:val="0"/>
              <w:spacing w:line="400" w:lineRule="exact"/>
              <w:ind w:firstLine="420" w:firstLineChars="200"/>
              <w:rPr>
                <w:kern w:val="0"/>
              </w:rPr>
            </w:pPr>
            <w:r>
              <w:rPr>
                <w:rFonts w:hint="eastAsia"/>
                <w:kern w:val="0"/>
              </w:rPr>
              <w:t>④加强储煤棚管理、巡查，尽早发现自燃征兆并采取处理措施。要加强煤炭贮存监督，主要是监测煤堆内部温度变化，因为煤堆内部温度升高是煤炭自燃放出的热量积聚造成。煤堆内部温度达到60℃时，氧化反应加快，煤炭自燃倾向加大，当温度继续升高到80℃时，煤炭自燃可随时发生。</w:t>
            </w:r>
          </w:p>
          <w:p>
            <w:pPr>
              <w:autoSpaceDE w:val="0"/>
              <w:autoSpaceDN w:val="0"/>
              <w:adjustRightInd w:val="0"/>
              <w:spacing w:line="400" w:lineRule="exact"/>
              <w:ind w:firstLine="420" w:firstLineChars="200"/>
              <w:rPr>
                <w:kern w:val="0"/>
              </w:rPr>
            </w:pPr>
            <w:r>
              <w:rPr>
                <w:rFonts w:hint="eastAsia"/>
                <w:kern w:val="0"/>
              </w:rPr>
              <w:t>⑤煤尘爆炸的风险控制措施主要有：A降低煤尘浓度，在生产过程中应设法减少煤尘的产生量和避免煤尘在空气中悬浮飞扬。主要采取喷雾降尘以及安装通风设备，确保库内空气正常流通，避免造成煤尘积聚。B消除引爆热源，即储煤库内应杜绝各种明火，设置醒目的禁止烟火等标志。加强管理，严禁工作人员在库内吸烟。</w:t>
            </w:r>
          </w:p>
          <w:p>
            <w:pPr>
              <w:autoSpaceDE w:val="0"/>
              <w:autoSpaceDN w:val="0"/>
              <w:adjustRightInd w:val="0"/>
              <w:spacing w:line="400" w:lineRule="exact"/>
              <w:ind w:firstLine="420" w:firstLineChars="200"/>
              <w:rPr>
                <w:kern w:val="0"/>
              </w:rPr>
            </w:pPr>
            <w:r>
              <w:rPr>
                <w:rFonts w:hint="eastAsia"/>
                <w:kern w:val="0"/>
              </w:rPr>
              <w:t>⑥</w:t>
            </w:r>
            <w:r>
              <w:rPr>
                <w:kern w:val="0"/>
              </w:rPr>
              <w:t>按照《建筑灭火器配置设计规范》（GB50140-2005）</w:t>
            </w:r>
            <w:r>
              <w:rPr>
                <w:rFonts w:hint="eastAsia"/>
                <w:kern w:val="0"/>
              </w:rPr>
              <w:t>的</w:t>
            </w:r>
            <w:r>
              <w:rPr>
                <w:kern w:val="0"/>
              </w:rPr>
              <w:t>规定，应配置相应的灭火器，并在火灾危险场所设置报警装置；严禁区内有明火出现。严格执行防火、防爆、防雷击、防毒害等各项要求。</w:t>
            </w:r>
          </w:p>
          <w:p>
            <w:pPr>
              <w:autoSpaceDE w:val="0"/>
              <w:autoSpaceDN w:val="0"/>
              <w:adjustRightInd w:val="0"/>
              <w:spacing w:line="400" w:lineRule="exact"/>
              <w:ind w:firstLine="420" w:firstLineChars="200"/>
              <w:rPr>
                <w:kern w:val="0"/>
              </w:rPr>
            </w:pPr>
            <w:r>
              <w:rPr>
                <w:rFonts w:hint="eastAsia" w:ascii="宋体" w:hAnsi="宋体" w:cs="宋体"/>
                <w:kern w:val="0"/>
              </w:rPr>
              <w:t>⑧废水沉淀池应按照要求，采取水泥防渗措施，避免废水处理池体发生破裂、渗漏。</w:t>
            </w:r>
          </w:p>
          <w:p>
            <w:pPr>
              <w:autoSpaceDE w:val="0"/>
              <w:autoSpaceDN w:val="0"/>
              <w:adjustRightInd w:val="0"/>
              <w:spacing w:line="380" w:lineRule="exact"/>
              <w:ind w:firstLine="420" w:firstLineChars="200"/>
              <w:rPr>
                <w:kern w:val="0"/>
              </w:rPr>
            </w:pPr>
            <w:r>
              <w:rPr>
                <w:rFonts w:hint="eastAsia" w:ascii="宋体" w:hAnsi="宋体" w:cs="宋体"/>
                <w:kern w:val="0"/>
              </w:rPr>
              <w:t>⑨建设单位应</w:t>
            </w:r>
            <w:r>
              <w:rPr>
                <w:kern w:val="0"/>
              </w:rPr>
              <w:t>按照《国家突发环境事件应急预案》（国办函〔2014〕119号）、地方和相关部门的要求，制定符合项目实际需要的应急预案，一旦发生事故，迅速采取有效处理措施进行抢险修复，最大限度降低对周围环境和人民生命财产的危害。</w:t>
            </w:r>
          </w:p>
          <w:p>
            <w:pPr>
              <w:autoSpaceDE w:val="0"/>
              <w:autoSpaceDN w:val="0"/>
              <w:adjustRightInd w:val="0"/>
              <w:spacing w:line="390" w:lineRule="exact"/>
              <w:ind w:firstLine="420" w:firstLineChars="200"/>
              <w:rPr>
                <w:rFonts w:eastAsia="黑体"/>
                <w:kern w:val="0"/>
              </w:rPr>
            </w:pPr>
            <w:r>
              <w:rPr>
                <w:rFonts w:eastAsia="黑体"/>
                <w:kern w:val="0"/>
              </w:rPr>
              <w:t>（5）环境风险评价结论</w:t>
            </w:r>
          </w:p>
          <w:p>
            <w:pPr>
              <w:autoSpaceDE w:val="0"/>
              <w:autoSpaceDN w:val="0"/>
              <w:adjustRightInd w:val="0"/>
              <w:spacing w:line="390" w:lineRule="exact"/>
              <w:ind w:firstLine="420" w:firstLineChars="200"/>
              <w:rPr>
                <w:kern w:val="0"/>
              </w:rPr>
            </w:pPr>
            <w:r>
              <w:rPr>
                <w:kern w:val="0"/>
              </w:rPr>
              <w:t>本项目风险源主要为储存的煤炭和废水沉淀池。通过采取上述风险防范措施，环境风险是可控的。因此，从环境风险角度分析本项目建设可行。</w:t>
            </w:r>
          </w:p>
          <w:p>
            <w:pPr>
              <w:adjustRightInd w:val="0"/>
              <w:snapToGrid w:val="0"/>
              <w:spacing w:line="400" w:lineRule="exact"/>
              <w:ind w:left="-53" w:leftChars="-25" w:right="-53" w:rightChars="-25"/>
              <w:jc w:val="left"/>
              <w:rPr>
                <w:rFonts w:eastAsia="黑体"/>
                <w:bCs/>
                <w:sz w:val="22"/>
                <w:szCs w:val="22"/>
              </w:rPr>
            </w:pPr>
            <w:r>
              <w:rPr>
                <w:rFonts w:eastAsia="黑体"/>
                <w:bCs/>
                <w:sz w:val="22"/>
                <w:szCs w:val="22"/>
              </w:rPr>
              <w:t>6</w:t>
            </w:r>
            <w:r>
              <w:rPr>
                <w:rFonts w:hint="eastAsia" w:eastAsia="黑体" w:cs="黑体"/>
                <w:bCs/>
                <w:sz w:val="22"/>
                <w:szCs w:val="22"/>
              </w:rPr>
              <w:t>、工程项目环保投资估算</w:t>
            </w:r>
          </w:p>
          <w:p>
            <w:pPr>
              <w:autoSpaceDE w:val="0"/>
              <w:autoSpaceDN w:val="0"/>
              <w:adjustRightInd w:val="0"/>
              <w:spacing w:line="400" w:lineRule="exact"/>
              <w:ind w:firstLine="420" w:firstLineChars="200"/>
              <w:rPr>
                <w:kern w:val="0"/>
              </w:rPr>
            </w:pPr>
            <w:r>
              <w:rPr>
                <w:rFonts w:hint="eastAsia"/>
                <w:kern w:val="0"/>
              </w:rPr>
              <w:t>本项目总投资为100.00万元，根据环保治理措施估算，环保投资为30.50万元，占总投资的30.50</w:t>
            </w:r>
            <w:r>
              <w:rPr>
                <w:kern w:val="0"/>
              </w:rPr>
              <w:t>%</w:t>
            </w:r>
            <w:r>
              <w:rPr>
                <w:rFonts w:hint="eastAsia"/>
                <w:kern w:val="0"/>
              </w:rPr>
              <w:t>。处理措施和处理效果从总体上看，能满足环保要求，可有效降低由于工程的建设所带来的环境污染和生态影响，经济合理、技术可行。</w:t>
            </w:r>
          </w:p>
          <w:p>
            <w:pPr>
              <w:autoSpaceDE w:val="0"/>
              <w:autoSpaceDN w:val="0"/>
              <w:adjustRightInd w:val="0"/>
              <w:spacing w:line="400" w:lineRule="exact"/>
              <w:ind w:firstLine="420" w:firstLineChars="200"/>
              <w:rPr>
                <w:rFonts w:ascii="黑体" w:hAnsi="宋体" w:eastAsia="黑体" w:cs="黑体"/>
                <w:sz w:val="18"/>
                <w:szCs w:val="18"/>
              </w:rPr>
            </w:pPr>
            <w:r>
              <w:rPr>
                <w:rFonts w:hint="eastAsia"/>
                <w:kern w:val="0"/>
              </w:rPr>
              <w:t>本项目的环保投资估算见下表。</w:t>
            </w:r>
          </w:p>
          <w:p>
            <w:pPr>
              <w:spacing w:line="400" w:lineRule="exact"/>
              <w:ind w:left="-53" w:leftChars="-25" w:right="-53" w:rightChars="-25"/>
              <w:jc w:val="center"/>
              <w:rPr>
                <w:rFonts w:eastAsia="黑体"/>
                <w:sz w:val="18"/>
                <w:szCs w:val="18"/>
              </w:rPr>
            </w:pPr>
            <w:r>
              <w:rPr>
                <w:rFonts w:hint="eastAsia" w:ascii="黑体" w:hAnsi="宋体" w:eastAsia="黑体" w:cs="黑体"/>
                <w:sz w:val="18"/>
                <w:szCs w:val="18"/>
              </w:rPr>
              <w:t>表4-8   环保投资估算一览表</w:t>
            </w:r>
          </w:p>
          <w:tbl>
            <w:tblPr>
              <w:tblStyle w:val="21"/>
              <w:tblW w:w="78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5443"/>
              <w:gridCol w:w="866"/>
              <w:gridCol w:w="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ind w:left="-53" w:leftChars="-25" w:right="-53" w:rightChars="-25"/>
                    <w:jc w:val="center"/>
                    <w:rPr>
                      <w:b/>
                      <w:bCs/>
                      <w:sz w:val="18"/>
                      <w:szCs w:val="18"/>
                    </w:rPr>
                  </w:pPr>
                  <w:r>
                    <w:rPr>
                      <w:rFonts w:hint="eastAsia" w:cs="宋体"/>
                      <w:b/>
                      <w:bCs/>
                      <w:sz w:val="18"/>
                      <w:szCs w:val="18"/>
                    </w:rPr>
                    <w:t>项目</w:t>
                  </w:r>
                </w:p>
              </w:tc>
              <w:tc>
                <w:tcPr>
                  <w:tcW w:w="5443"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center"/>
                    <w:rPr>
                      <w:b/>
                      <w:bCs/>
                      <w:sz w:val="18"/>
                      <w:szCs w:val="18"/>
                    </w:rPr>
                  </w:pPr>
                  <w:r>
                    <w:rPr>
                      <w:rFonts w:hint="eastAsia" w:cs="宋体"/>
                      <w:b/>
                      <w:bCs/>
                      <w:sz w:val="18"/>
                      <w:szCs w:val="18"/>
                    </w:rPr>
                    <w:t>环保设施（措施）内容</w:t>
                  </w:r>
                </w:p>
              </w:tc>
              <w:tc>
                <w:tcPr>
                  <w:tcW w:w="866"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center"/>
                    <w:rPr>
                      <w:b/>
                      <w:bCs/>
                      <w:sz w:val="18"/>
                      <w:szCs w:val="18"/>
                    </w:rPr>
                  </w:pPr>
                  <w:r>
                    <w:rPr>
                      <w:rFonts w:hint="eastAsia" w:cs="宋体"/>
                      <w:b/>
                      <w:bCs/>
                      <w:sz w:val="18"/>
                      <w:szCs w:val="18"/>
                    </w:rPr>
                    <w:t>投资</w:t>
                  </w:r>
                </w:p>
                <w:p>
                  <w:pPr>
                    <w:spacing w:line="300" w:lineRule="exact"/>
                    <w:ind w:left="-53" w:leftChars="-25" w:right="-53" w:rightChars="-25"/>
                    <w:jc w:val="center"/>
                    <w:rPr>
                      <w:b/>
                      <w:bCs/>
                      <w:sz w:val="18"/>
                      <w:szCs w:val="18"/>
                    </w:rPr>
                  </w:pPr>
                  <w:r>
                    <w:rPr>
                      <w:rFonts w:hint="eastAsia" w:cs="宋体"/>
                      <w:b/>
                      <w:bCs/>
                      <w:sz w:val="18"/>
                      <w:szCs w:val="18"/>
                    </w:rPr>
                    <w:t>（万元）</w:t>
                  </w:r>
                </w:p>
              </w:tc>
              <w:tc>
                <w:tcPr>
                  <w:tcW w:w="867"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center"/>
                    <w:rPr>
                      <w:b/>
                      <w:bCs/>
                      <w:sz w:val="18"/>
                      <w:szCs w:val="18"/>
                    </w:rPr>
                  </w:pPr>
                  <w:r>
                    <w:rPr>
                      <w:rFonts w:hint="eastAsia" w:cs="宋体"/>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9" w:type="dxa"/>
                  <w:vMerge w:val="restart"/>
                  <w:tcBorders>
                    <w:top w:val="nil"/>
                    <w:left w:val="single" w:color="auto" w:sz="4" w:space="0"/>
                    <w:bottom w:val="single" w:color="auto" w:sz="4" w:space="0"/>
                    <w:right w:val="single" w:color="auto" w:sz="4" w:space="0"/>
                  </w:tcBorders>
                  <w:shd w:val="clear" w:color="auto" w:fill="auto"/>
                  <w:vAlign w:val="center"/>
                </w:tcPr>
                <w:p>
                  <w:pPr>
                    <w:spacing w:line="300" w:lineRule="exact"/>
                    <w:ind w:left="-53" w:leftChars="-25" w:right="-53" w:rightChars="-25"/>
                    <w:jc w:val="center"/>
                    <w:rPr>
                      <w:sz w:val="18"/>
                      <w:szCs w:val="18"/>
                    </w:rPr>
                  </w:pPr>
                  <w:bookmarkStart w:id="5" w:name="_Hlk458068448"/>
                  <w:r>
                    <w:rPr>
                      <w:rFonts w:hint="eastAsia" w:cs="宋体"/>
                      <w:sz w:val="18"/>
                      <w:szCs w:val="18"/>
                    </w:rPr>
                    <w:t>废气</w:t>
                  </w:r>
                  <w:bookmarkEnd w:id="5"/>
                </w:p>
                <w:p>
                  <w:pPr>
                    <w:spacing w:line="300" w:lineRule="exact"/>
                    <w:ind w:left="-53" w:leftChars="-25" w:right="-53" w:rightChars="-25"/>
                    <w:jc w:val="center"/>
                    <w:rPr>
                      <w:sz w:val="18"/>
                      <w:szCs w:val="18"/>
                    </w:rPr>
                  </w:pPr>
                  <w:r>
                    <w:rPr>
                      <w:rFonts w:hint="eastAsia" w:cs="宋体"/>
                      <w:sz w:val="18"/>
                      <w:szCs w:val="18"/>
                    </w:rPr>
                    <w:t>处理</w:t>
                  </w:r>
                </w:p>
              </w:tc>
              <w:tc>
                <w:tcPr>
                  <w:tcW w:w="5443"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spacing w:line="300" w:lineRule="exact"/>
                    <w:ind w:left="-53" w:leftChars="-25" w:right="-53" w:rightChars="-25"/>
                    <w:jc w:val="left"/>
                    <w:rPr>
                      <w:kern w:val="0"/>
                      <w:sz w:val="18"/>
                      <w:szCs w:val="18"/>
                    </w:rPr>
                  </w:pPr>
                  <w:r>
                    <w:rPr>
                      <w:kern w:val="0"/>
                      <w:sz w:val="18"/>
                      <w:szCs w:val="18"/>
                    </w:rPr>
                    <w:t>施工期粉尘采取建筑</w:t>
                  </w:r>
                  <w:r>
                    <w:rPr>
                      <w:rFonts w:hint="eastAsia" w:cs="宋体"/>
                      <w:sz w:val="18"/>
                      <w:szCs w:val="18"/>
                    </w:rPr>
                    <w:t>围挡作业、场地喷雾洒水，现场进出车辆冲洗等措施</w:t>
                  </w:r>
                </w:p>
              </w:tc>
              <w:tc>
                <w:tcPr>
                  <w:tcW w:w="866"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center"/>
                    <w:rPr>
                      <w:sz w:val="18"/>
                      <w:szCs w:val="18"/>
                    </w:rPr>
                  </w:pPr>
                  <w:r>
                    <w:rPr>
                      <w:rFonts w:hint="eastAsia"/>
                      <w:sz w:val="18"/>
                      <w:szCs w:val="18"/>
                    </w:rPr>
                    <w:t>/</w:t>
                  </w:r>
                </w:p>
              </w:tc>
              <w:tc>
                <w:tcPr>
                  <w:tcW w:w="867"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center"/>
                    <w:rPr>
                      <w:sz w:val="18"/>
                      <w:szCs w:val="18"/>
                    </w:rPr>
                  </w:pPr>
                  <w:r>
                    <w:rPr>
                      <w:sz w:val="18"/>
                      <w:szCs w:val="18"/>
                    </w:rPr>
                    <w:t>计入工程投资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9" w:type="dxa"/>
                  <w:vMerge w:val="continue"/>
                  <w:tcBorders>
                    <w:top w:val="nil"/>
                    <w:left w:val="single" w:color="auto" w:sz="4" w:space="0"/>
                    <w:bottom w:val="single" w:color="auto" w:sz="4" w:space="0"/>
                    <w:right w:val="single" w:color="auto" w:sz="4" w:space="0"/>
                  </w:tcBorders>
                  <w:shd w:val="clear" w:color="auto" w:fill="auto"/>
                  <w:vAlign w:val="center"/>
                </w:tcPr>
                <w:p>
                  <w:pPr>
                    <w:spacing w:line="300" w:lineRule="exact"/>
                    <w:rPr>
                      <w:sz w:val="18"/>
                      <w:szCs w:val="18"/>
                    </w:rPr>
                  </w:pPr>
                </w:p>
              </w:tc>
              <w:tc>
                <w:tcPr>
                  <w:tcW w:w="5443"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left"/>
                    <w:rPr>
                      <w:rFonts w:ascii="宋体" w:hAnsi="宋体"/>
                      <w:spacing w:val="-4"/>
                      <w:kern w:val="0"/>
                      <w:sz w:val="18"/>
                      <w:szCs w:val="18"/>
                    </w:rPr>
                  </w:pPr>
                  <w:r>
                    <w:rPr>
                      <w:rFonts w:hint="eastAsia" w:ascii="宋体" w:hAnsi="宋体"/>
                      <w:spacing w:val="-4"/>
                      <w:kern w:val="0"/>
                      <w:sz w:val="18"/>
                      <w:szCs w:val="18"/>
                    </w:rPr>
                    <w:t>装卸粉尘：煤炭装卸作业均在封闭式储煤棚内进行，利用棚内喷雾设施降尘及封闭式储棚减少煤尘</w:t>
                  </w:r>
                  <w:r>
                    <w:rPr>
                      <w:rFonts w:hint="eastAsia" w:ascii="宋体" w:hAnsi="宋体"/>
                      <w:spacing w:val="-4"/>
                      <w:kern w:val="0"/>
                      <w:sz w:val="18"/>
                      <w:szCs w:val="18"/>
                      <w:lang w:eastAsia="zh-CN"/>
                    </w:rPr>
                    <w:t>外溢</w:t>
                  </w:r>
                  <w:r>
                    <w:rPr>
                      <w:rFonts w:hint="eastAsia" w:ascii="宋体" w:hAnsi="宋体"/>
                      <w:spacing w:val="-4"/>
                      <w:kern w:val="0"/>
                      <w:sz w:val="18"/>
                      <w:szCs w:val="18"/>
                    </w:rPr>
                    <w:t>；加强装卸作业管理，设雾炮机专用装卸作业降尘</w:t>
                  </w:r>
                  <w:r>
                    <w:rPr>
                      <w:rFonts w:ascii="宋体" w:hAnsi="宋体"/>
                      <w:spacing w:val="-4"/>
                      <w:kern w:val="0"/>
                      <w:sz w:val="18"/>
                      <w:szCs w:val="18"/>
                    </w:rPr>
                    <w:t xml:space="preserve"> </w:t>
                  </w:r>
                </w:p>
              </w:tc>
              <w:tc>
                <w:tcPr>
                  <w:tcW w:w="866"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center"/>
                    <w:rPr>
                      <w:sz w:val="18"/>
                      <w:szCs w:val="18"/>
                    </w:rPr>
                  </w:pPr>
                  <w:r>
                    <w:rPr>
                      <w:rFonts w:hint="eastAsia"/>
                      <w:sz w:val="18"/>
                      <w:szCs w:val="18"/>
                    </w:rPr>
                    <w:t>8</w:t>
                  </w:r>
                </w:p>
              </w:tc>
              <w:tc>
                <w:tcPr>
                  <w:tcW w:w="867"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center"/>
                    <w:rPr>
                      <w:sz w:val="18"/>
                      <w:szCs w:val="18"/>
                    </w:rPr>
                  </w:pPr>
                  <w:r>
                    <w:rPr>
                      <w:rFonts w:hint="eastAsia" w:cs="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9" w:type="dxa"/>
                  <w:vMerge w:val="continue"/>
                  <w:tcBorders>
                    <w:top w:val="nil"/>
                    <w:left w:val="single" w:color="auto" w:sz="4" w:space="0"/>
                    <w:bottom w:val="single" w:color="auto" w:sz="4" w:space="0"/>
                    <w:right w:val="single" w:color="auto" w:sz="4" w:space="0"/>
                  </w:tcBorders>
                  <w:shd w:val="clear" w:color="auto" w:fill="auto"/>
                  <w:vAlign w:val="center"/>
                </w:tcPr>
                <w:p>
                  <w:pPr>
                    <w:spacing w:line="300" w:lineRule="exact"/>
                    <w:rPr>
                      <w:sz w:val="18"/>
                      <w:szCs w:val="18"/>
                    </w:rPr>
                  </w:pPr>
                </w:p>
              </w:tc>
              <w:tc>
                <w:tcPr>
                  <w:tcW w:w="5443"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left"/>
                    <w:rPr>
                      <w:rFonts w:ascii="宋体" w:hAnsi="宋体"/>
                      <w:spacing w:val="-4"/>
                      <w:kern w:val="0"/>
                      <w:sz w:val="18"/>
                      <w:szCs w:val="18"/>
                    </w:rPr>
                  </w:pPr>
                  <w:r>
                    <w:rPr>
                      <w:rFonts w:hint="eastAsia" w:ascii="宋体" w:hAnsi="宋体"/>
                      <w:spacing w:val="-4"/>
                      <w:kern w:val="0"/>
                      <w:sz w:val="18"/>
                      <w:szCs w:val="18"/>
                    </w:rPr>
                    <w:t>储煤粉尘：设封闭式储煤棚，进出口配套电动门帘，棚内设喷雾降尘装置；储棚安装通风换气设备，避免粉尘积聚</w:t>
                  </w:r>
                </w:p>
              </w:tc>
              <w:tc>
                <w:tcPr>
                  <w:tcW w:w="866"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center"/>
                    <w:rPr>
                      <w:sz w:val="18"/>
                      <w:szCs w:val="18"/>
                    </w:rPr>
                  </w:pPr>
                  <w:r>
                    <w:rPr>
                      <w:rFonts w:hint="eastAsia"/>
                      <w:sz w:val="18"/>
                      <w:szCs w:val="18"/>
                    </w:rPr>
                    <w:t>20.5</w:t>
                  </w:r>
                </w:p>
              </w:tc>
              <w:tc>
                <w:tcPr>
                  <w:tcW w:w="867"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center"/>
                    <w:rPr>
                      <w:rFonts w:cs="宋体"/>
                      <w:sz w:val="18"/>
                      <w:szCs w:val="18"/>
                    </w:rPr>
                  </w:pPr>
                  <w:r>
                    <w:rPr>
                      <w:rFonts w:hint="eastAsia" w:cs="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9" w:type="dxa"/>
                  <w:vMerge w:val="continue"/>
                  <w:tcBorders>
                    <w:top w:val="nil"/>
                    <w:left w:val="single" w:color="auto" w:sz="4" w:space="0"/>
                    <w:bottom w:val="single" w:color="auto" w:sz="4" w:space="0"/>
                    <w:right w:val="single" w:color="auto" w:sz="4" w:space="0"/>
                  </w:tcBorders>
                  <w:shd w:val="clear" w:color="auto" w:fill="auto"/>
                  <w:vAlign w:val="center"/>
                </w:tcPr>
                <w:p>
                  <w:pPr>
                    <w:spacing w:line="300" w:lineRule="exact"/>
                    <w:rPr>
                      <w:sz w:val="18"/>
                      <w:szCs w:val="18"/>
                    </w:rPr>
                  </w:pPr>
                </w:p>
              </w:tc>
              <w:tc>
                <w:tcPr>
                  <w:tcW w:w="5443"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left"/>
                    <w:rPr>
                      <w:rFonts w:ascii="宋体" w:hAnsi="宋体"/>
                      <w:spacing w:val="-4"/>
                      <w:kern w:val="0"/>
                      <w:sz w:val="18"/>
                      <w:szCs w:val="18"/>
                    </w:rPr>
                  </w:pPr>
                  <w:r>
                    <w:rPr>
                      <w:rFonts w:hint="eastAsia" w:ascii="宋体" w:hAnsi="宋体"/>
                      <w:bCs/>
                      <w:kern w:val="0"/>
                      <w:sz w:val="18"/>
                      <w:szCs w:val="18"/>
                    </w:rPr>
                    <w:t>道路扬尘：场地地面硬化处理，利用进出口已设的车辆冲洗设施，适时对场区露天场地进行防尘冲洗；煤炭运输车辆加盖篷布，密闭运输</w:t>
                  </w:r>
                </w:p>
              </w:tc>
              <w:tc>
                <w:tcPr>
                  <w:tcW w:w="866"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center"/>
                    <w:rPr>
                      <w:sz w:val="18"/>
                      <w:szCs w:val="18"/>
                    </w:rPr>
                  </w:pPr>
                  <w:r>
                    <w:rPr>
                      <w:rFonts w:hint="eastAsia"/>
                      <w:sz w:val="18"/>
                      <w:szCs w:val="18"/>
                    </w:rPr>
                    <w:t>/</w:t>
                  </w:r>
                </w:p>
              </w:tc>
              <w:tc>
                <w:tcPr>
                  <w:tcW w:w="867"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center"/>
                    <w:rPr>
                      <w:rFonts w:cs="宋体"/>
                      <w:sz w:val="18"/>
                      <w:szCs w:val="18"/>
                    </w:rPr>
                  </w:pPr>
                  <w:r>
                    <w:rPr>
                      <w:rFonts w:cs="宋体"/>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9" w:type="dxa"/>
                  <w:vMerge w:val="restart"/>
                  <w:tcBorders>
                    <w:top w:val="nil"/>
                    <w:left w:val="single" w:color="auto" w:sz="4" w:space="0"/>
                    <w:right w:val="single" w:color="auto" w:sz="4" w:space="0"/>
                  </w:tcBorders>
                  <w:shd w:val="clear" w:color="auto" w:fill="auto"/>
                  <w:vAlign w:val="center"/>
                </w:tcPr>
                <w:p>
                  <w:pPr>
                    <w:spacing w:line="300" w:lineRule="exact"/>
                    <w:ind w:left="-53" w:leftChars="-25" w:right="-53" w:rightChars="-25"/>
                    <w:jc w:val="center"/>
                    <w:rPr>
                      <w:sz w:val="18"/>
                      <w:szCs w:val="18"/>
                    </w:rPr>
                  </w:pPr>
                  <w:r>
                    <w:rPr>
                      <w:rFonts w:hint="eastAsia" w:cs="宋体"/>
                      <w:sz w:val="18"/>
                      <w:szCs w:val="18"/>
                    </w:rPr>
                    <w:t>废水</w:t>
                  </w:r>
                </w:p>
                <w:p>
                  <w:pPr>
                    <w:spacing w:line="300" w:lineRule="exact"/>
                    <w:ind w:left="-53" w:leftChars="-25" w:right="-53" w:rightChars="-25"/>
                    <w:jc w:val="center"/>
                    <w:rPr>
                      <w:sz w:val="18"/>
                      <w:szCs w:val="18"/>
                    </w:rPr>
                  </w:pPr>
                  <w:r>
                    <w:rPr>
                      <w:rFonts w:hint="eastAsia" w:cs="宋体"/>
                      <w:sz w:val="18"/>
                      <w:szCs w:val="18"/>
                    </w:rPr>
                    <w:t>处理</w:t>
                  </w:r>
                </w:p>
              </w:tc>
              <w:tc>
                <w:tcPr>
                  <w:tcW w:w="5443"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rPr>
                      <w:rFonts w:ascii="宋体" w:hAnsi="宋体"/>
                      <w:bCs/>
                      <w:spacing w:val="-4"/>
                      <w:kern w:val="0"/>
                      <w:sz w:val="18"/>
                      <w:szCs w:val="18"/>
                    </w:rPr>
                  </w:pPr>
                  <w:r>
                    <w:rPr>
                      <w:rFonts w:ascii="宋体" w:hAnsi="宋体"/>
                      <w:bCs/>
                      <w:spacing w:val="-4"/>
                      <w:kern w:val="0"/>
                      <w:sz w:val="18"/>
                      <w:szCs w:val="18"/>
                    </w:rPr>
                    <w:t>施工废水：利用场地内现有沉淀池，将施工废水处理后全部回用</w:t>
                  </w:r>
                </w:p>
              </w:tc>
              <w:tc>
                <w:tcPr>
                  <w:tcW w:w="866"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center"/>
                    <w:rPr>
                      <w:sz w:val="18"/>
                      <w:szCs w:val="18"/>
                    </w:rPr>
                  </w:pPr>
                  <w:r>
                    <w:rPr>
                      <w:rFonts w:hint="eastAsia"/>
                      <w:sz w:val="18"/>
                      <w:szCs w:val="18"/>
                    </w:rPr>
                    <w:t>/</w:t>
                  </w:r>
                </w:p>
              </w:tc>
              <w:tc>
                <w:tcPr>
                  <w:tcW w:w="867"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center"/>
                    <w:rPr>
                      <w:rFonts w:cs="宋体"/>
                      <w:sz w:val="18"/>
                      <w:szCs w:val="18"/>
                    </w:rPr>
                  </w:pPr>
                  <w:r>
                    <w:rPr>
                      <w:sz w:val="18"/>
                      <w:szCs w:val="18"/>
                    </w:rPr>
                    <w:t>计入工程投资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699" w:type="dxa"/>
                  <w:vMerge w:val="continue"/>
                  <w:tcBorders>
                    <w:left w:val="single" w:color="auto" w:sz="4" w:space="0"/>
                    <w:right w:val="single" w:color="auto" w:sz="4" w:space="0"/>
                  </w:tcBorders>
                  <w:shd w:val="clear" w:color="auto" w:fill="auto"/>
                  <w:vAlign w:val="center"/>
                </w:tcPr>
                <w:p>
                  <w:pPr>
                    <w:spacing w:line="300" w:lineRule="exact"/>
                    <w:ind w:left="-53" w:leftChars="-25" w:right="-53" w:rightChars="-25"/>
                    <w:jc w:val="center"/>
                    <w:rPr>
                      <w:sz w:val="18"/>
                      <w:szCs w:val="18"/>
                    </w:rPr>
                  </w:pPr>
                </w:p>
              </w:tc>
              <w:tc>
                <w:tcPr>
                  <w:tcW w:w="5443"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42" w:leftChars="-20"/>
                    <w:jc w:val="left"/>
                    <w:rPr>
                      <w:rFonts w:ascii="宋体" w:hAnsi="宋体"/>
                      <w:sz w:val="18"/>
                      <w:szCs w:val="18"/>
                    </w:rPr>
                  </w:pPr>
                  <w:r>
                    <w:rPr>
                      <w:rFonts w:hint="eastAsia" w:ascii="宋体" w:hAnsi="宋体"/>
                      <w:sz w:val="18"/>
                      <w:szCs w:val="18"/>
                    </w:rPr>
                    <w:t>含煤废水：包括露天场地冲洗废水和初期雨水。利用场内已设的地埋式沉淀池3个，总容积约</w:t>
                  </w:r>
                  <w:r>
                    <w:rPr>
                      <w:rFonts w:hint="eastAsia"/>
                      <w:sz w:val="18"/>
                      <w:szCs w:val="18"/>
                    </w:rPr>
                    <w:t>180m</w:t>
                  </w:r>
                  <w:r>
                    <w:rPr>
                      <w:rFonts w:hint="eastAsia"/>
                      <w:sz w:val="18"/>
                      <w:szCs w:val="18"/>
                      <w:vertAlign w:val="superscript"/>
                    </w:rPr>
                    <w:t>3</w:t>
                  </w:r>
                  <w:r>
                    <w:rPr>
                      <w:rFonts w:hint="eastAsia"/>
                      <w:sz w:val="18"/>
                      <w:szCs w:val="18"/>
                    </w:rPr>
                    <w:t>，场地四周补建散水收集沟，接入沉淀池处理后全部回用不外排</w:t>
                  </w:r>
                </w:p>
              </w:tc>
              <w:tc>
                <w:tcPr>
                  <w:tcW w:w="866"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center"/>
                    <w:rPr>
                      <w:sz w:val="18"/>
                      <w:szCs w:val="18"/>
                    </w:rPr>
                  </w:pPr>
                  <w:r>
                    <w:rPr>
                      <w:rFonts w:hint="eastAsia"/>
                      <w:sz w:val="18"/>
                      <w:szCs w:val="18"/>
                    </w:rPr>
                    <w:t>/</w:t>
                  </w:r>
                </w:p>
              </w:tc>
              <w:tc>
                <w:tcPr>
                  <w:tcW w:w="867" w:type="dxa"/>
                  <w:tcBorders>
                    <w:top w:val="single" w:color="auto" w:sz="4" w:space="0"/>
                    <w:left w:val="nil"/>
                    <w:right w:val="single" w:color="auto" w:sz="4" w:space="0"/>
                  </w:tcBorders>
                  <w:shd w:val="clear" w:color="auto" w:fill="auto"/>
                  <w:vAlign w:val="center"/>
                </w:tcPr>
                <w:p>
                  <w:pPr>
                    <w:spacing w:line="300" w:lineRule="exact"/>
                    <w:jc w:val="center"/>
                    <w:rPr>
                      <w:rFonts w:ascii="宋体" w:hAnsi="宋体"/>
                      <w:sz w:val="18"/>
                      <w:szCs w:val="18"/>
                    </w:rPr>
                  </w:pPr>
                  <w:r>
                    <w:rPr>
                      <w:rFonts w:ascii="宋体" w:hAnsi="宋体"/>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699" w:type="dxa"/>
                  <w:vMerge w:val="continue"/>
                  <w:tcBorders>
                    <w:left w:val="single" w:color="auto" w:sz="4" w:space="0"/>
                    <w:right w:val="single" w:color="auto" w:sz="4" w:space="0"/>
                  </w:tcBorders>
                  <w:shd w:val="clear" w:color="auto" w:fill="auto"/>
                  <w:vAlign w:val="center"/>
                </w:tcPr>
                <w:p>
                  <w:pPr>
                    <w:spacing w:line="300" w:lineRule="exact"/>
                    <w:ind w:left="-53" w:leftChars="-25" w:right="-53" w:rightChars="-25"/>
                    <w:jc w:val="center"/>
                    <w:rPr>
                      <w:sz w:val="18"/>
                      <w:szCs w:val="18"/>
                    </w:rPr>
                  </w:pPr>
                </w:p>
              </w:tc>
              <w:tc>
                <w:tcPr>
                  <w:tcW w:w="5443"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42" w:leftChars="-20"/>
                    <w:jc w:val="left"/>
                    <w:rPr>
                      <w:rFonts w:ascii="宋体" w:hAnsi="宋体"/>
                      <w:sz w:val="18"/>
                      <w:szCs w:val="18"/>
                    </w:rPr>
                  </w:pPr>
                  <w:r>
                    <w:rPr>
                      <w:rFonts w:hint="eastAsia" w:ascii="宋体" w:hAnsi="宋体"/>
                      <w:sz w:val="18"/>
                      <w:szCs w:val="18"/>
                    </w:rPr>
                    <w:t>车辆冲洗废水：利用厂区进出口已设废水沉淀池处理后回用不外排</w:t>
                  </w:r>
                </w:p>
              </w:tc>
              <w:tc>
                <w:tcPr>
                  <w:tcW w:w="866"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center"/>
                    <w:rPr>
                      <w:sz w:val="18"/>
                      <w:szCs w:val="18"/>
                    </w:rPr>
                  </w:pPr>
                  <w:r>
                    <w:rPr>
                      <w:rFonts w:hint="eastAsia"/>
                      <w:sz w:val="18"/>
                      <w:szCs w:val="18"/>
                    </w:rPr>
                    <w:t>/</w:t>
                  </w:r>
                </w:p>
              </w:tc>
              <w:tc>
                <w:tcPr>
                  <w:tcW w:w="867" w:type="dxa"/>
                  <w:tcBorders>
                    <w:top w:val="single" w:color="auto" w:sz="4" w:space="0"/>
                    <w:left w:val="nil"/>
                    <w:right w:val="single" w:color="auto" w:sz="4" w:space="0"/>
                  </w:tcBorders>
                  <w:shd w:val="clear" w:color="auto" w:fill="auto"/>
                  <w:vAlign w:val="center"/>
                </w:tcPr>
                <w:p>
                  <w:pPr>
                    <w:spacing w:line="300" w:lineRule="exact"/>
                    <w:jc w:val="center"/>
                    <w:rPr>
                      <w:rFonts w:ascii="宋体" w:hAnsi="宋体"/>
                      <w:sz w:val="18"/>
                      <w:szCs w:val="18"/>
                    </w:rPr>
                  </w:pPr>
                  <w:r>
                    <w:rPr>
                      <w:rFonts w:ascii="宋体" w:hAnsi="宋体"/>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699" w:type="dxa"/>
                  <w:vMerge w:val="continue"/>
                  <w:tcBorders>
                    <w:left w:val="single" w:color="auto" w:sz="4" w:space="0"/>
                    <w:bottom w:val="single" w:color="auto" w:sz="4" w:space="0"/>
                    <w:right w:val="single" w:color="auto" w:sz="4" w:space="0"/>
                  </w:tcBorders>
                  <w:shd w:val="clear" w:color="auto" w:fill="auto"/>
                  <w:vAlign w:val="center"/>
                </w:tcPr>
                <w:p>
                  <w:pPr>
                    <w:spacing w:line="300" w:lineRule="exact"/>
                    <w:rPr>
                      <w:sz w:val="18"/>
                      <w:szCs w:val="18"/>
                    </w:rPr>
                  </w:pPr>
                </w:p>
              </w:tc>
              <w:tc>
                <w:tcPr>
                  <w:tcW w:w="5443"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42" w:leftChars="-20"/>
                    <w:jc w:val="left"/>
                    <w:rPr>
                      <w:rFonts w:ascii="宋体" w:hAnsi="宋体"/>
                      <w:sz w:val="18"/>
                      <w:szCs w:val="18"/>
                    </w:rPr>
                  </w:pPr>
                  <w:r>
                    <w:rPr>
                      <w:rFonts w:hint="eastAsia" w:ascii="宋体" w:hAnsi="宋体"/>
                      <w:sz w:val="18"/>
                      <w:szCs w:val="18"/>
                    </w:rPr>
                    <w:t>生活污水：利用办公室已设的化粪池，收集处理后，通过定期拉运的方式由</w:t>
                  </w:r>
                  <w:r>
                    <w:rPr>
                      <w:rFonts w:ascii="宋体" w:hAnsi="宋体"/>
                      <w:sz w:val="18"/>
                      <w:szCs w:val="18"/>
                    </w:rPr>
                    <w:t>东岳场镇污水处理厂处理后，达标排入双龙河</w:t>
                  </w:r>
                </w:p>
              </w:tc>
              <w:tc>
                <w:tcPr>
                  <w:tcW w:w="866"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center"/>
                    <w:rPr>
                      <w:sz w:val="18"/>
                      <w:szCs w:val="18"/>
                    </w:rPr>
                  </w:pPr>
                  <w:r>
                    <w:rPr>
                      <w:rFonts w:hint="eastAsia"/>
                      <w:sz w:val="18"/>
                      <w:szCs w:val="18"/>
                    </w:rPr>
                    <w:t>/</w:t>
                  </w:r>
                </w:p>
              </w:tc>
              <w:tc>
                <w:tcPr>
                  <w:tcW w:w="867"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center"/>
                    <w:rPr>
                      <w:rFonts w:ascii="宋体" w:hAnsi="宋体"/>
                      <w:sz w:val="18"/>
                      <w:szCs w:val="18"/>
                    </w:rPr>
                  </w:pPr>
                  <w:r>
                    <w:rPr>
                      <w:rFonts w:ascii="宋体" w:hAnsi="宋体"/>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699" w:type="dxa"/>
                  <w:vMerge w:val="restart"/>
                  <w:tcBorders>
                    <w:top w:val="single" w:color="auto" w:sz="4" w:space="0"/>
                    <w:left w:val="single" w:color="auto" w:sz="4" w:space="0"/>
                    <w:right w:val="single" w:color="auto" w:sz="4" w:space="0"/>
                  </w:tcBorders>
                  <w:shd w:val="clear" w:color="auto" w:fill="auto"/>
                  <w:vAlign w:val="center"/>
                </w:tcPr>
                <w:p>
                  <w:pPr>
                    <w:spacing w:line="300" w:lineRule="exact"/>
                    <w:ind w:left="-53" w:leftChars="-25" w:right="-53" w:rightChars="-25"/>
                    <w:jc w:val="center"/>
                    <w:rPr>
                      <w:sz w:val="18"/>
                      <w:szCs w:val="18"/>
                    </w:rPr>
                  </w:pPr>
                  <w:r>
                    <w:rPr>
                      <w:rFonts w:hint="eastAsia" w:cs="宋体"/>
                      <w:sz w:val="18"/>
                      <w:szCs w:val="18"/>
                    </w:rPr>
                    <w:t>噪声</w:t>
                  </w:r>
                </w:p>
                <w:p>
                  <w:pPr>
                    <w:spacing w:line="300" w:lineRule="exact"/>
                    <w:ind w:left="-53" w:leftChars="-25" w:right="-53" w:rightChars="-25"/>
                    <w:jc w:val="center"/>
                    <w:rPr>
                      <w:sz w:val="18"/>
                      <w:szCs w:val="18"/>
                    </w:rPr>
                  </w:pPr>
                  <w:r>
                    <w:rPr>
                      <w:rFonts w:hint="eastAsia" w:cs="宋体"/>
                      <w:sz w:val="18"/>
                      <w:szCs w:val="18"/>
                    </w:rPr>
                    <w:t>治理</w:t>
                  </w:r>
                </w:p>
              </w:tc>
              <w:tc>
                <w:tcPr>
                  <w:tcW w:w="5443"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left"/>
                    <w:rPr>
                      <w:sz w:val="18"/>
                      <w:szCs w:val="18"/>
                    </w:rPr>
                  </w:pPr>
                  <w:r>
                    <w:rPr>
                      <w:rFonts w:eastAsiaTheme="minorEastAsia"/>
                      <w:sz w:val="18"/>
                      <w:szCs w:val="18"/>
                    </w:rPr>
                    <w:t>优选施工设备、合理布局施工机械、加强设备维护保养、合理安排施工时间、文明施工</w:t>
                  </w:r>
                </w:p>
              </w:tc>
              <w:tc>
                <w:tcPr>
                  <w:tcW w:w="866"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center"/>
                    <w:rPr>
                      <w:sz w:val="18"/>
                      <w:szCs w:val="18"/>
                    </w:rPr>
                  </w:pPr>
                  <w:r>
                    <w:rPr>
                      <w:rFonts w:hint="eastAsia"/>
                      <w:sz w:val="18"/>
                      <w:szCs w:val="18"/>
                    </w:rPr>
                    <w:t>/</w:t>
                  </w:r>
                </w:p>
              </w:tc>
              <w:tc>
                <w:tcPr>
                  <w:tcW w:w="867"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center"/>
                    <w:rPr>
                      <w:sz w:val="18"/>
                      <w:szCs w:val="18"/>
                    </w:rPr>
                  </w:pPr>
                  <w:r>
                    <w:rPr>
                      <w:sz w:val="18"/>
                      <w:szCs w:val="18"/>
                    </w:rPr>
                    <w:t>计入工程投资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699" w:type="dxa"/>
                  <w:vMerge w:val="continue"/>
                  <w:tcBorders>
                    <w:left w:val="single" w:color="auto" w:sz="4" w:space="0"/>
                    <w:right w:val="single" w:color="auto" w:sz="4" w:space="0"/>
                  </w:tcBorders>
                  <w:shd w:val="clear" w:color="auto" w:fill="auto"/>
                  <w:vAlign w:val="center"/>
                </w:tcPr>
                <w:p>
                  <w:pPr>
                    <w:spacing w:line="300" w:lineRule="exact"/>
                    <w:ind w:left="-53" w:leftChars="-25" w:right="-53" w:rightChars="-25"/>
                    <w:jc w:val="center"/>
                    <w:rPr>
                      <w:rFonts w:cs="宋体"/>
                      <w:sz w:val="18"/>
                      <w:szCs w:val="18"/>
                    </w:rPr>
                  </w:pPr>
                </w:p>
              </w:tc>
              <w:tc>
                <w:tcPr>
                  <w:tcW w:w="5443"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left"/>
                    <w:rPr>
                      <w:sz w:val="18"/>
                      <w:szCs w:val="18"/>
                    </w:rPr>
                  </w:pPr>
                  <w:r>
                    <w:rPr>
                      <w:sz w:val="18"/>
                      <w:szCs w:val="18"/>
                    </w:rPr>
                    <w:t>选用低噪声设备，采取基础减振措施，利用封闭车间建筑隔声，合理安排生产时间；加强运输车辆引导管理</w:t>
                  </w:r>
                </w:p>
              </w:tc>
              <w:tc>
                <w:tcPr>
                  <w:tcW w:w="866"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center"/>
                    <w:rPr>
                      <w:sz w:val="18"/>
                      <w:szCs w:val="18"/>
                    </w:rPr>
                  </w:pPr>
                  <w:r>
                    <w:rPr>
                      <w:rFonts w:hint="eastAsia"/>
                      <w:sz w:val="18"/>
                      <w:szCs w:val="18"/>
                    </w:rPr>
                    <w:t>2</w:t>
                  </w:r>
                </w:p>
              </w:tc>
              <w:tc>
                <w:tcPr>
                  <w:tcW w:w="867"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center"/>
                    <w:rPr>
                      <w:sz w:val="18"/>
                      <w:szCs w:val="18"/>
                    </w:rPr>
                  </w:pPr>
                  <w:r>
                    <w:rPr>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699" w:type="dxa"/>
                  <w:vMerge w:val="restart"/>
                  <w:tcBorders>
                    <w:top w:val="nil"/>
                    <w:left w:val="single" w:color="auto" w:sz="4" w:space="0"/>
                    <w:bottom w:val="single" w:color="auto" w:sz="4" w:space="0"/>
                    <w:right w:val="single" w:color="auto" w:sz="4" w:space="0"/>
                  </w:tcBorders>
                  <w:shd w:val="clear" w:color="auto" w:fill="auto"/>
                  <w:vAlign w:val="center"/>
                </w:tcPr>
                <w:p>
                  <w:pPr>
                    <w:spacing w:line="300" w:lineRule="exact"/>
                    <w:ind w:left="-53" w:leftChars="-25" w:right="-53" w:rightChars="-25"/>
                    <w:jc w:val="center"/>
                    <w:rPr>
                      <w:sz w:val="18"/>
                      <w:szCs w:val="18"/>
                    </w:rPr>
                  </w:pPr>
                  <w:r>
                    <w:rPr>
                      <w:rFonts w:hint="eastAsia" w:cs="宋体"/>
                      <w:sz w:val="18"/>
                      <w:szCs w:val="18"/>
                    </w:rPr>
                    <w:t>固废</w:t>
                  </w:r>
                </w:p>
                <w:p>
                  <w:pPr>
                    <w:spacing w:line="300" w:lineRule="exact"/>
                    <w:ind w:left="-53" w:leftChars="-25" w:right="-53" w:rightChars="-25"/>
                    <w:jc w:val="center"/>
                    <w:rPr>
                      <w:sz w:val="18"/>
                      <w:szCs w:val="18"/>
                    </w:rPr>
                  </w:pPr>
                  <w:r>
                    <w:rPr>
                      <w:rFonts w:hint="eastAsia" w:cs="宋体"/>
                      <w:sz w:val="18"/>
                      <w:szCs w:val="18"/>
                    </w:rPr>
                    <w:t>处置</w:t>
                  </w:r>
                </w:p>
              </w:tc>
              <w:tc>
                <w:tcPr>
                  <w:tcW w:w="5443" w:type="dxa"/>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spacing w:line="300" w:lineRule="exact"/>
                    <w:jc w:val="left"/>
                    <w:rPr>
                      <w:sz w:val="18"/>
                      <w:szCs w:val="18"/>
                    </w:rPr>
                  </w:pPr>
                  <w:r>
                    <w:rPr>
                      <w:kern w:val="0"/>
                      <w:sz w:val="18"/>
                      <w:szCs w:val="18"/>
                    </w:rPr>
                    <w:t>施工期</w:t>
                  </w:r>
                  <w:r>
                    <w:rPr>
                      <w:sz w:val="18"/>
                      <w:szCs w:val="18"/>
                    </w:rPr>
                    <w:t>可</w:t>
                  </w:r>
                  <w:r>
                    <w:rPr>
                      <w:rFonts w:hint="eastAsia"/>
                      <w:kern w:val="0"/>
                      <w:sz w:val="18"/>
                      <w:szCs w:val="18"/>
                    </w:rPr>
                    <w:t>回收利用的建筑垃圾，集中收集送到废品回收站；不可利用的建筑垃圾，及时外运至当地政府指定的弃土场处置</w:t>
                  </w:r>
                </w:p>
              </w:tc>
              <w:tc>
                <w:tcPr>
                  <w:tcW w:w="866"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center"/>
                    <w:rPr>
                      <w:sz w:val="18"/>
                      <w:szCs w:val="18"/>
                    </w:rPr>
                  </w:pPr>
                  <w:r>
                    <w:rPr>
                      <w:rFonts w:hint="eastAsia"/>
                      <w:sz w:val="18"/>
                      <w:szCs w:val="18"/>
                    </w:rPr>
                    <w:t>/</w:t>
                  </w:r>
                </w:p>
              </w:tc>
              <w:tc>
                <w:tcPr>
                  <w:tcW w:w="867"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center"/>
                    <w:rPr>
                      <w:sz w:val="18"/>
                      <w:szCs w:val="18"/>
                    </w:rPr>
                  </w:pPr>
                  <w:r>
                    <w:rPr>
                      <w:sz w:val="18"/>
                      <w:szCs w:val="18"/>
                    </w:rPr>
                    <w:t>计入工程投资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699" w:type="dxa"/>
                  <w:vMerge w:val="continue"/>
                  <w:tcBorders>
                    <w:top w:val="nil"/>
                    <w:left w:val="single" w:color="auto" w:sz="4" w:space="0"/>
                    <w:bottom w:val="single" w:color="auto" w:sz="4" w:space="0"/>
                    <w:right w:val="single" w:color="auto" w:sz="4" w:space="0"/>
                  </w:tcBorders>
                  <w:shd w:val="clear" w:color="auto" w:fill="auto"/>
                  <w:vAlign w:val="center"/>
                </w:tcPr>
                <w:p>
                  <w:pPr>
                    <w:spacing w:line="300" w:lineRule="exact"/>
                    <w:rPr>
                      <w:sz w:val="18"/>
                      <w:szCs w:val="18"/>
                    </w:rPr>
                  </w:pPr>
                </w:p>
              </w:tc>
              <w:tc>
                <w:tcPr>
                  <w:tcW w:w="5443"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left"/>
                    <w:rPr>
                      <w:sz w:val="18"/>
                      <w:szCs w:val="18"/>
                    </w:rPr>
                  </w:pPr>
                  <w:r>
                    <w:rPr>
                      <w:sz w:val="18"/>
                      <w:szCs w:val="18"/>
                    </w:rPr>
                    <w:t>废水沉淀池的沉渣：沉渣主要为煤泥，定期清理后直接混入煤炭外售</w:t>
                  </w:r>
                </w:p>
              </w:tc>
              <w:tc>
                <w:tcPr>
                  <w:tcW w:w="866"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center"/>
                    <w:rPr>
                      <w:sz w:val="18"/>
                      <w:szCs w:val="18"/>
                    </w:rPr>
                  </w:pPr>
                  <w:r>
                    <w:rPr>
                      <w:rFonts w:hint="eastAsia"/>
                      <w:sz w:val="18"/>
                      <w:szCs w:val="18"/>
                    </w:rPr>
                    <w:t>/</w:t>
                  </w:r>
                </w:p>
              </w:tc>
              <w:tc>
                <w:tcPr>
                  <w:tcW w:w="867" w:type="dxa"/>
                  <w:tcBorders>
                    <w:top w:val="single" w:color="auto" w:sz="4" w:space="0"/>
                    <w:left w:val="nil"/>
                    <w:right w:val="single" w:color="auto" w:sz="4" w:space="0"/>
                  </w:tcBorders>
                  <w:shd w:val="clear" w:color="auto" w:fill="auto"/>
                  <w:vAlign w:val="center"/>
                </w:tcPr>
                <w:p>
                  <w:pPr>
                    <w:spacing w:line="300" w:lineRule="exact"/>
                    <w:ind w:left="-53" w:leftChars="-25" w:right="-53" w:rightChars="-25"/>
                    <w:jc w:val="center"/>
                    <w:rPr>
                      <w:sz w:val="18"/>
                      <w:szCs w:val="18"/>
                    </w:rPr>
                  </w:pPr>
                  <w:r>
                    <w:rPr>
                      <w:sz w:val="18"/>
                      <w:szCs w:val="18"/>
                    </w:rPr>
                    <w:t>计入运行费用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9" w:type="dxa"/>
                  <w:vMerge w:val="continue"/>
                  <w:tcBorders>
                    <w:top w:val="nil"/>
                    <w:left w:val="single" w:color="auto" w:sz="4" w:space="0"/>
                    <w:bottom w:val="single" w:color="auto" w:sz="4" w:space="0"/>
                    <w:right w:val="single" w:color="auto" w:sz="4" w:space="0"/>
                  </w:tcBorders>
                  <w:shd w:val="clear" w:color="auto" w:fill="auto"/>
                  <w:vAlign w:val="center"/>
                </w:tcPr>
                <w:p>
                  <w:pPr>
                    <w:spacing w:line="300" w:lineRule="exact"/>
                    <w:rPr>
                      <w:sz w:val="18"/>
                      <w:szCs w:val="18"/>
                    </w:rPr>
                  </w:pPr>
                </w:p>
              </w:tc>
              <w:tc>
                <w:tcPr>
                  <w:tcW w:w="5443"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left"/>
                    <w:rPr>
                      <w:sz w:val="18"/>
                      <w:szCs w:val="18"/>
                    </w:rPr>
                  </w:pPr>
                  <w:r>
                    <w:rPr>
                      <w:sz w:val="18"/>
                      <w:szCs w:val="18"/>
                    </w:rPr>
                    <w:t>生活垃圾：设垃圾桶收集，每天清运至场镇生活垃圾收集点</w:t>
                  </w:r>
                </w:p>
              </w:tc>
              <w:tc>
                <w:tcPr>
                  <w:tcW w:w="866"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center"/>
                    <w:rPr>
                      <w:sz w:val="18"/>
                      <w:szCs w:val="18"/>
                    </w:rPr>
                  </w:pPr>
                  <w:r>
                    <w:rPr>
                      <w:rFonts w:hint="eastAsia"/>
                      <w:sz w:val="18"/>
                      <w:szCs w:val="18"/>
                    </w:rPr>
                    <w:t>/</w:t>
                  </w:r>
                </w:p>
              </w:tc>
              <w:tc>
                <w:tcPr>
                  <w:tcW w:w="867"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center"/>
                    <w:rPr>
                      <w:sz w:val="18"/>
                      <w:szCs w:val="18"/>
                    </w:rPr>
                  </w:pPr>
                  <w:r>
                    <w:rPr>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614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ind w:left="-53" w:leftChars="-25" w:right="-53" w:rightChars="-25"/>
                    <w:jc w:val="center"/>
                    <w:rPr>
                      <w:sz w:val="18"/>
                      <w:szCs w:val="18"/>
                    </w:rPr>
                  </w:pPr>
                  <w:r>
                    <w:rPr>
                      <w:rFonts w:hint="eastAsia" w:cs="宋体"/>
                      <w:sz w:val="18"/>
                      <w:szCs w:val="18"/>
                    </w:rPr>
                    <w:t>合计（占总投资比例）</w:t>
                  </w:r>
                </w:p>
              </w:tc>
              <w:tc>
                <w:tcPr>
                  <w:tcW w:w="866"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center"/>
                    <w:rPr>
                      <w:sz w:val="18"/>
                      <w:szCs w:val="18"/>
                    </w:rPr>
                  </w:pPr>
                  <w:r>
                    <w:rPr>
                      <w:rFonts w:hint="eastAsia"/>
                      <w:sz w:val="18"/>
                      <w:szCs w:val="18"/>
                    </w:rPr>
                    <w:t>30.50</w:t>
                  </w:r>
                </w:p>
              </w:tc>
              <w:tc>
                <w:tcPr>
                  <w:tcW w:w="867"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center"/>
                    <w:rPr>
                      <w:sz w:val="18"/>
                      <w:szCs w:val="18"/>
                    </w:rPr>
                  </w:pPr>
                  <w:r>
                    <w:rPr>
                      <w:rFonts w:hint="eastAsia"/>
                      <w:sz w:val="18"/>
                      <w:szCs w:val="18"/>
                    </w:rPr>
                    <w:t>30.50%</w:t>
                  </w:r>
                </w:p>
              </w:tc>
            </w:tr>
          </w:tbl>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tc>
      </w:tr>
    </w:tbl>
    <w:p>
      <w:pPr>
        <w:widowControl/>
        <w:spacing w:line="360" w:lineRule="auto"/>
        <w:jc w:val="left"/>
        <w:rPr>
          <w:b/>
          <w:kern w:val="0"/>
          <w:sz w:val="28"/>
          <w:szCs w:val="28"/>
        </w:rPr>
        <w:sectPr>
          <w:pgSz w:w="11907" w:h="16840"/>
          <w:pgMar w:top="1701" w:right="1531" w:bottom="1701" w:left="1531" w:header="851" w:footer="1077" w:gutter="0"/>
          <w:pgNumType w:fmt="numberInDash"/>
          <w:cols w:space="720" w:num="1"/>
          <w:docGrid w:linePitch="286" w:charSpace="0"/>
        </w:sectPr>
      </w:pPr>
    </w:p>
    <w:p>
      <w:pPr>
        <w:pStyle w:val="19"/>
        <w:jc w:val="center"/>
        <w:outlineLvl w:val="0"/>
        <w:rPr>
          <w:rFonts w:ascii="Times New Roman" w:hAnsi="Times New Roman" w:eastAsia="黑体" w:cs="Times New Roman"/>
          <w:snapToGrid w:val="0"/>
          <w:kern w:val="0"/>
          <w:sz w:val="30"/>
          <w:szCs w:val="30"/>
        </w:rPr>
      </w:pPr>
      <w:r>
        <w:rPr>
          <w:rFonts w:ascii="Times New Roman" w:hAnsi="Times New Roman" w:eastAsia="黑体" w:cs="Times New Roman"/>
          <w:snapToGrid w:val="0"/>
          <w:sz w:val="30"/>
          <w:szCs w:val="30"/>
        </w:rPr>
        <w:t>五、</w:t>
      </w:r>
      <w:bookmarkStart w:id="6" w:name="_Hlk54167917"/>
      <w:r>
        <w:rPr>
          <w:rFonts w:ascii="Times New Roman" w:hAnsi="Times New Roman" w:eastAsia="黑体" w:cs="Times New Roman"/>
          <w:snapToGrid w:val="0"/>
          <w:sz w:val="30"/>
          <w:szCs w:val="30"/>
        </w:rPr>
        <w:t>环境保护措施监督检查清单</w:t>
      </w:r>
      <w:bookmarkEnd w:id="6"/>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461"/>
        <w:gridCol w:w="992"/>
        <w:gridCol w:w="2551"/>
        <w:gridCol w:w="201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778" w:type="dxa"/>
            <w:tcBorders>
              <w:top w:val="single" w:color="auto" w:sz="8" w:space="0"/>
              <w:left w:val="single" w:color="auto" w:sz="8" w:space="0"/>
              <w:bottom w:val="single" w:color="auto" w:sz="4" w:space="0"/>
              <w:right w:val="single" w:color="auto" w:sz="4" w:space="0"/>
              <w:tl2br w:val="single" w:color="auto" w:sz="4" w:space="0"/>
            </w:tcBorders>
          </w:tcPr>
          <w:p>
            <w:pPr>
              <w:adjustRightInd w:val="0"/>
              <w:snapToGrid w:val="0"/>
              <w:spacing w:line="400" w:lineRule="exact"/>
              <w:ind w:firstLine="840"/>
              <w:rPr>
                <w:rFonts w:eastAsiaTheme="minorEastAsia"/>
                <w:szCs w:val="21"/>
              </w:rPr>
            </w:pPr>
            <w:r>
              <w:rPr>
                <w:rFonts w:eastAsiaTheme="minorEastAsia"/>
                <w:szCs w:val="21"/>
              </w:rPr>
              <w:t>内容</w:t>
            </w:r>
          </w:p>
          <w:p>
            <w:pPr>
              <w:adjustRightInd w:val="0"/>
              <w:snapToGrid w:val="0"/>
              <w:spacing w:line="400" w:lineRule="exact"/>
              <w:rPr>
                <w:rFonts w:eastAsiaTheme="minorEastAsia"/>
                <w:szCs w:val="21"/>
              </w:rPr>
            </w:pPr>
            <w:r>
              <w:rPr>
                <w:rFonts w:eastAsiaTheme="minorEastAsia"/>
                <w:szCs w:val="21"/>
              </w:rPr>
              <w:t>要素</w:t>
            </w:r>
          </w:p>
        </w:tc>
        <w:tc>
          <w:tcPr>
            <w:tcW w:w="1461" w:type="dxa"/>
            <w:tcBorders>
              <w:top w:val="single" w:color="auto" w:sz="8"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eastAsiaTheme="minorEastAsia"/>
                <w:szCs w:val="21"/>
              </w:rPr>
            </w:pPr>
            <w:r>
              <w:rPr>
                <w:rFonts w:eastAsiaTheme="minorEastAsia"/>
                <w:szCs w:val="21"/>
              </w:rPr>
              <w:t>排放口(编号、</w:t>
            </w:r>
          </w:p>
          <w:p>
            <w:pPr>
              <w:adjustRightInd w:val="0"/>
              <w:snapToGrid w:val="0"/>
              <w:spacing w:line="400" w:lineRule="exact"/>
              <w:jc w:val="center"/>
              <w:rPr>
                <w:rFonts w:eastAsiaTheme="minorEastAsia"/>
                <w:szCs w:val="21"/>
              </w:rPr>
            </w:pPr>
            <w:r>
              <w:rPr>
                <w:rFonts w:eastAsiaTheme="minorEastAsia"/>
                <w:szCs w:val="21"/>
              </w:rPr>
              <w:t>名称)/污染源</w:t>
            </w:r>
          </w:p>
        </w:tc>
        <w:tc>
          <w:tcPr>
            <w:tcW w:w="992" w:type="dxa"/>
            <w:tcBorders>
              <w:top w:val="single" w:color="auto" w:sz="8"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eastAsiaTheme="minorEastAsia"/>
                <w:szCs w:val="21"/>
              </w:rPr>
            </w:pPr>
            <w:r>
              <w:rPr>
                <w:rFonts w:eastAsiaTheme="minorEastAsia"/>
                <w:szCs w:val="21"/>
              </w:rPr>
              <w:t>污染物项目</w:t>
            </w:r>
          </w:p>
        </w:tc>
        <w:tc>
          <w:tcPr>
            <w:tcW w:w="2551" w:type="dxa"/>
            <w:tcBorders>
              <w:top w:val="single" w:color="auto" w:sz="8" w:space="0"/>
              <w:left w:val="single" w:color="auto" w:sz="4" w:space="0"/>
              <w:bottom w:val="single" w:color="auto" w:sz="4" w:space="0"/>
              <w:right w:val="single" w:color="auto" w:sz="4" w:space="0"/>
            </w:tcBorders>
            <w:vAlign w:val="center"/>
          </w:tcPr>
          <w:p>
            <w:pPr>
              <w:adjustRightInd w:val="0"/>
              <w:snapToGrid w:val="0"/>
              <w:spacing w:line="400" w:lineRule="exact"/>
              <w:ind w:left="-53" w:leftChars="-25" w:right="-53" w:rightChars="-25"/>
              <w:jc w:val="center"/>
              <w:rPr>
                <w:rFonts w:eastAsiaTheme="minorEastAsia"/>
                <w:szCs w:val="21"/>
              </w:rPr>
            </w:pPr>
            <w:r>
              <w:rPr>
                <w:rFonts w:eastAsiaTheme="minorEastAsia"/>
                <w:szCs w:val="21"/>
              </w:rPr>
              <w:t>环境保护措施</w:t>
            </w:r>
          </w:p>
        </w:tc>
        <w:tc>
          <w:tcPr>
            <w:tcW w:w="2018" w:type="dxa"/>
            <w:tcBorders>
              <w:top w:val="single" w:color="auto" w:sz="8" w:space="0"/>
              <w:left w:val="single" w:color="auto" w:sz="4" w:space="0"/>
              <w:bottom w:val="single" w:color="auto" w:sz="4" w:space="0"/>
              <w:right w:val="single" w:color="auto" w:sz="8" w:space="0"/>
            </w:tcBorders>
            <w:vAlign w:val="center"/>
          </w:tcPr>
          <w:p>
            <w:pPr>
              <w:adjustRightInd w:val="0"/>
              <w:snapToGrid w:val="0"/>
              <w:spacing w:line="400" w:lineRule="exact"/>
              <w:jc w:val="center"/>
              <w:rPr>
                <w:rFonts w:eastAsiaTheme="minorEastAsia"/>
                <w:szCs w:val="21"/>
              </w:rPr>
            </w:pPr>
            <w:r>
              <w:rPr>
                <w:rFonts w:eastAsiaTheme="minorEastAsia"/>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778" w:type="dxa"/>
            <w:vMerge w:val="restart"/>
            <w:tcBorders>
              <w:top w:val="single" w:color="auto" w:sz="4" w:space="0"/>
              <w:left w:val="single" w:color="auto" w:sz="8" w:space="0"/>
              <w:right w:val="single" w:color="auto" w:sz="4" w:space="0"/>
            </w:tcBorders>
            <w:shd w:val="clear" w:color="auto" w:fill="auto"/>
            <w:vAlign w:val="center"/>
          </w:tcPr>
          <w:p>
            <w:pPr>
              <w:adjustRightInd w:val="0"/>
              <w:snapToGrid w:val="0"/>
              <w:spacing w:line="360" w:lineRule="exact"/>
              <w:jc w:val="center"/>
              <w:rPr>
                <w:rFonts w:eastAsiaTheme="minorEastAsia"/>
                <w:szCs w:val="21"/>
              </w:rPr>
            </w:pPr>
            <w:r>
              <w:rPr>
                <w:rFonts w:eastAsiaTheme="minorEastAsia"/>
                <w:szCs w:val="21"/>
              </w:rPr>
              <w:t>大气环境</w:t>
            </w:r>
          </w:p>
        </w:tc>
        <w:tc>
          <w:tcPr>
            <w:tcW w:w="1461" w:type="dxa"/>
            <w:tcBorders>
              <w:top w:val="single" w:color="auto" w:sz="4" w:space="0"/>
              <w:left w:val="single" w:color="auto" w:sz="4" w:space="0"/>
              <w:right w:val="single" w:color="auto" w:sz="4" w:space="0"/>
            </w:tcBorders>
            <w:vAlign w:val="center"/>
          </w:tcPr>
          <w:p>
            <w:pPr>
              <w:adjustRightInd w:val="0"/>
              <w:snapToGrid w:val="0"/>
              <w:spacing w:line="400" w:lineRule="exact"/>
              <w:jc w:val="center"/>
              <w:rPr>
                <w:rFonts w:eastAsiaTheme="minorEastAsia"/>
                <w:szCs w:val="21"/>
              </w:rPr>
            </w:pPr>
            <w:r>
              <w:rPr>
                <w:rFonts w:eastAsiaTheme="minorEastAsia"/>
                <w:szCs w:val="21"/>
              </w:rPr>
              <w:t>施工现场</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eastAsiaTheme="minorEastAsia"/>
                <w:szCs w:val="21"/>
              </w:rPr>
            </w:pPr>
            <w:r>
              <w:rPr>
                <w:rFonts w:eastAsiaTheme="minorEastAsia"/>
                <w:szCs w:val="21"/>
              </w:rPr>
              <w:t>施工</w:t>
            </w:r>
          </w:p>
          <w:p>
            <w:pPr>
              <w:adjustRightInd w:val="0"/>
              <w:snapToGrid w:val="0"/>
              <w:spacing w:line="400" w:lineRule="exact"/>
              <w:jc w:val="center"/>
              <w:rPr>
                <w:rFonts w:eastAsiaTheme="minorEastAsia"/>
                <w:szCs w:val="21"/>
              </w:rPr>
            </w:pPr>
            <w:r>
              <w:rPr>
                <w:rFonts w:eastAsiaTheme="minorEastAsia"/>
                <w:szCs w:val="21"/>
              </w:rPr>
              <w:t>扬尘</w:t>
            </w:r>
          </w:p>
        </w:tc>
        <w:tc>
          <w:tcPr>
            <w:tcW w:w="25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left="-53" w:leftChars="-25" w:right="-53" w:rightChars="-25"/>
              <w:jc w:val="left"/>
              <w:rPr>
                <w:rFonts w:eastAsiaTheme="minorEastAsia"/>
                <w:szCs w:val="21"/>
              </w:rPr>
            </w:pPr>
            <w:r>
              <w:rPr>
                <w:rFonts w:hint="eastAsia" w:ascii="宋体" w:hAnsi="宋体" w:cs="宋体"/>
                <w:szCs w:val="21"/>
              </w:rPr>
              <w:t>①围挡作业；②喷雾洒水、湿法作业；③车辆冲洗</w:t>
            </w:r>
          </w:p>
        </w:tc>
        <w:tc>
          <w:tcPr>
            <w:tcW w:w="2018" w:type="dxa"/>
            <w:tcBorders>
              <w:top w:val="single" w:color="auto" w:sz="4" w:space="0"/>
              <w:left w:val="single" w:color="auto" w:sz="4" w:space="0"/>
              <w:right w:val="single" w:color="auto" w:sz="8" w:space="0"/>
            </w:tcBorders>
            <w:vAlign w:val="center"/>
          </w:tcPr>
          <w:p>
            <w:pPr>
              <w:adjustRightInd w:val="0"/>
              <w:snapToGrid w:val="0"/>
              <w:spacing w:line="360" w:lineRule="exact"/>
              <w:jc w:val="center"/>
              <w:rPr>
                <w:rFonts w:eastAsiaTheme="minorEastAsia"/>
                <w:szCs w:val="21"/>
              </w:rPr>
            </w:pPr>
            <w:r>
              <w:rPr>
                <w:rFonts w:hint="eastAsia" w:cs="宋体"/>
                <w:spacing w:val="-4"/>
                <w:szCs w:val="21"/>
              </w:rPr>
              <w:t>《四川省施工场地扬尘排放标准》（</w:t>
            </w:r>
            <w:r>
              <w:rPr>
                <w:spacing w:val="-4"/>
                <w:szCs w:val="21"/>
              </w:rPr>
              <w:t>DB512682-2020</w:t>
            </w:r>
            <w:r>
              <w:rPr>
                <w:rFonts w:hint="eastAsia" w:cs="宋体"/>
                <w:spacing w:val="-4"/>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778" w:type="dxa"/>
            <w:vMerge w:val="continue"/>
            <w:tcBorders>
              <w:left w:val="single" w:color="auto" w:sz="8" w:space="0"/>
              <w:right w:val="single" w:color="auto" w:sz="4" w:space="0"/>
            </w:tcBorders>
            <w:shd w:val="clear" w:color="auto" w:fill="auto"/>
            <w:vAlign w:val="center"/>
          </w:tcPr>
          <w:p>
            <w:pPr>
              <w:adjustRightInd w:val="0"/>
              <w:snapToGrid w:val="0"/>
              <w:spacing w:line="360" w:lineRule="exact"/>
              <w:jc w:val="center"/>
              <w:rPr>
                <w:rFonts w:eastAsiaTheme="minorEastAsia"/>
                <w:szCs w:val="21"/>
              </w:rPr>
            </w:pPr>
          </w:p>
        </w:tc>
        <w:tc>
          <w:tcPr>
            <w:tcW w:w="14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exact"/>
              <w:jc w:val="center"/>
              <w:rPr>
                <w:szCs w:val="21"/>
              </w:rPr>
            </w:pPr>
            <w:r>
              <w:rPr>
                <w:szCs w:val="21"/>
              </w:rPr>
              <w:t>储煤棚</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exact"/>
              <w:ind w:left="-53" w:leftChars="-25" w:right="-53" w:rightChars="-25"/>
              <w:jc w:val="center"/>
              <w:rPr>
                <w:rFonts w:ascii="宋体" w:hAnsi="宋体" w:cs="宋体"/>
                <w:szCs w:val="21"/>
              </w:rPr>
            </w:pPr>
            <w:r>
              <w:rPr>
                <w:rFonts w:ascii="宋体" w:hAnsi="宋体" w:cs="宋体"/>
                <w:szCs w:val="21"/>
              </w:rPr>
              <w:t>装卸扬尘</w:t>
            </w:r>
          </w:p>
        </w:tc>
        <w:tc>
          <w:tcPr>
            <w:tcW w:w="2551"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宋体" w:hAnsi="宋体"/>
                <w:spacing w:val="-4"/>
                <w:kern w:val="0"/>
                <w:szCs w:val="21"/>
              </w:rPr>
            </w:pPr>
            <w:r>
              <w:rPr>
                <w:rFonts w:hint="eastAsia" w:ascii="宋体" w:hAnsi="宋体"/>
                <w:spacing w:val="-4"/>
                <w:kern w:val="0"/>
                <w:szCs w:val="21"/>
              </w:rPr>
              <w:t>煤炭装卸作业均在封闭式储煤棚内进行，利用棚内喷雾设施降尘及封闭式储棚减少煤尘</w:t>
            </w:r>
            <w:r>
              <w:rPr>
                <w:rFonts w:hint="eastAsia" w:ascii="宋体" w:hAnsi="宋体"/>
                <w:spacing w:val="-4"/>
                <w:kern w:val="0"/>
                <w:szCs w:val="21"/>
                <w:lang w:eastAsia="zh-CN"/>
              </w:rPr>
              <w:t>外溢</w:t>
            </w:r>
            <w:r>
              <w:rPr>
                <w:rFonts w:hint="eastAsia" w:ascii="宋体" w:hAnsi="宋体"/>
                <w:spacing w:val="-4"/>
                <w:kern w:val="0"/>
                <w:szCs w:val="21"/>
              </w:rPr>
              <w:t>；加强装卸作业管理，设雾炮机专用装卸作业降尘</w:t>
            </w:r>
            <w:r>
              <w:rPr>
                <w:rFonts w:ascii="宋体" w:hAnsi="宋体"/>
                <w:spacing w:val="-4"/>
                <w:kern w:val="0"/>
                <w:szCs w:val="21"/>
              </w:rPr>
              <w:t xml:space="preserve"> </w:t>
            </w:r>
          </w:p>
        </w:tc>
        <w:tc>
          <w:tcPr>
            <w:tcW w:w="2018" w:type="dxa"/>
            <w:vMerge w:val="restart"/>
            <w:tcBorders>
              <w:top w:val="single" w:color="auto" w:sz="6" w:space="0"/>
              <w:left w:val="single" w:color="auto" w:sz="4" w:space="0"/>
              <w:right w:val="single" w:color="auto" w:sz="8" w:space="0"/>
            </w:tcBorders>
            <w:vAlign w:val="center"/>
          </w:tcPr>
          <w:p>
            <w:pPr>
              <w:adjustRightInd w:val="0"/>
              <w:snapToGrid w:val="0"/>
              <w:spacing w:line="360" w:lineRule="exact"/>
              <w:ind w:left="-53" w:leftChars="-25" w:right="-53" w:rightChars="-25"/>
              <w:jc w:val="center"/>
              <w:rPr>
                <w:rFonts w:eastAsiaTheme="minorEastAsia"/>
                <w:szCs w:val="21"/>
              </w:rPr>
            </w:pPr>
            <w:r>
              <w:rPr>
                <w:rFonts w:eastAsiaTheme="minorEastAsia"/>
                <w:szCs w:val="21"/>
              </w:rPr>
              <w:t>《煤炭工业污染物排放标准》(GB</w:t>
            </w:r>
            <w:r>
              <w:rPr>
                <w:rFonts w:hint="eastAsia" w:eastAsiaTheme="minorEastAsia"/>
                <w:szCs w:val="21"/>
              </w:rPr>
              <w:t>20426</w:t>
            </w:r>
            <w:r>
              <w:rPr>
                <w:rFonts w:eastAsiaTheme="minorEastAsia"/>
                <w:szCs w:val="21"/>
              </w:rPr>
              <w:t>-</w:t>
            </w:r>
            <w:r>
              <w:rPr>
                <w:rFonts w:hint="eastAsia" w:eastAsiaTheme="minorEastAsia"/>
                <w:szCs w:val="21"/>
              </w:rPr>
              <w:t>200</w:t>
            </w:r>
            <w:r>
              <w:rPr>
                <w:rFonts w:eastAsiaTheme="minorEastAsia"/>
                <w:szCs w:val="21"/>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778" w:type="dxa"/>
            <w:vMerge w:val="continue"/>
            <w:tcBorders>
              <w:left w:val="single" w:color="auto" w:sz="8" w:space="0"/>
              <w:right w:val="single" w:color="auto" w:sz="4" w:space="0"/>
            </w:tcBorders>
            <w:shd w:val="clear" w:color="auto" w:fill="auto"/>
            <w:vAlign w:val="center"/>
          </w:tcPr>
          <w:p>
            <w:pPr>
              <w:adjustRightInd w:val="0"/>
              <w:snapToGrid w:val="0"/>
              <w:spacing w:line="360" w:lineRule="exact"/>
              <w:jc w:val="center"/>
              <w:rPr>
                <w:rFonts w:eastAsiaTheme="minorEastAsia"/>
                <w:szCs w:val="21"/>
              </w:rPr>
            </w:pPr>
          </w:p>
        </w:tc>
        <w:tc>
          <w:tcPr>
            <w:tcW w:w="14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exact"/>
              <w:jc w:val="center"/>
              <w:rPr>
                <w:szCs w:val="21"/>
              </w:rPr>
            </w:pPr>
            <w:r>
              <w:rPr>
                <w:szCs w:val="21"/>
              </w:rPr>
              <w:t>储煤棚</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exact"/>
              <w:ind w:left="-53" w:leftChars="-25" w:right="-53" w:rightChars="-25"/>
              <w:jc w:val="center"/>
              <w:rPr>
                <w:rFonts w:ascii="宋体" w:hAnsi="宋体" w:cs="宋体"/>
                <w:szCs w:val="21"/>
              </w:rPr>
            </w:pPr>
            <w:r>
              <w:rPr>
                <w:rFonts w:ascii="宋体" w:hAnsi="宋体" w:cs="宋体"/>
                <w:szCs w:val="21"/>
              </w:rPr>
              <w:t>储煤粉尘</w:t>
            </w:r>
          </w:p>
        </w:tc>
        <w:tc>
          <w:tcPr>
            <w:tcW w:w="2551"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宋体" w:hAnsi="宋体"/>
                <w:spacing w:val="-4"/>
                <w:kern w:val="0"/>
                <w:szCs w:val="21"/>
              </w:rPr>
            </w:pPr>
            <w:r>
              <w:rPr>
                <w:rFonts w:hint="eastAsia" w:ascii="宋体" w:hAnsi="宋体"/>
                <w:spacing w:val="-4"/>
                <w:kern w:val="0"/>
                <w:szCs w:val="21"/>
              </w:rPr>
              <w:t>设封闭式储煤棚，进出口配套电动门帘，棚内设喷雾降尘装置；储棚安装通风换气设备，避免粉尘积聚</w:t>
            </w:r>
          </w:p>
        </w:tc>
        <w:tc>
          <w:tcPr>
            <w:tcW w:w="2018" w:type="dxa"/>
            <w:vMerge w:val="continue"/>
            <w:tcBorders>
              <w:top w:val="single" w:color="auto" w:sz="6" w:space="0"/>
              <w:left w:val="single" w:color="auto" w:sz="4" w:space="0"/>
              <w:right w:val="single" w:color="auto" w:sz="8" w:space="0"/>
            </w:tcBorders>
            <w:vAlign w:val="center"/>
          </w:tcPr>
          <w:p>
            <w:pPr>
              <w:adjustRightInd w:val="0"/>
              <w:snapToGrid w:val="0"/>
              <w:spacing w:line="360" w:lineRule="exact"/>
              <w:ind w:left="-53" w:leftChars="-25" w:right="-53" w:rightChars="-25"/>
              <w:jc w:val="center"/>
              <w:rPr>
                <w:rFonts w:eastAsiaTheme="minorEastAsia"/>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778" w:type="dxa"/>
            <w:vMerge w:val="continue"/>
            <w:tcBorders>
              <w:left w:val="single" w:color="auto" w:sz="8" w:space="0"/>
              <w:right w:val="single" w:color="auto" w:sz="4" w:space="0"/>
            </w:tcBorders>
            <w:shd w:val="clear" w:color="auto" w:fill="auto"/>
            <w:vAlign w:val="center"/>
          </w:tcPr>
          <w:p>
            <w:pPr>
              <w:adjustRightInd w:val="0"/>
              <w:snapToGrid w:val="0"/>
              <w:spacing w:line="360" w:lineRule="exact"/>
              <w:jc w:val="center"/>
              <w:rPr>
                <w:rFonts w:eastAsiaTheme="minorEastAsia"/>
                <w:szCs w:val="21"/>
              </w:rPr>
            </w:pPr>
          </w:p>
        </w:tc>
        <w:tc>
          <w:tcPr>
            <w:tcW w:w="14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exact"/>
              <w:jc w:val="center"/>
              <w:rPr>
                <w:szCs w:val="21"/>
              </w:rPr>
            </w:pPr>
            <w:r>
              <w:rPr>
                <w:szCs w:val="21"/>
              </w:rPr>
              <w:t>场内运输</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exact"/>
              <w:jc w:val="center"/>
              <w:rPr>
                <w:rFonts w:eastAsiaTheme="minorEastAsia"/>
                <w:szCs w:val="21"/>
              </w:rPr>
            </w:pPr>
            <w:r>
              <w:rPr>
                <w:rFonts w:eastAsiaTheme="minorEastAsia"/>
                <w:szCs w:val="21"/>
              </w:rPr>
              <w:t>道路</w:t>
            </w:r>
          </w:p>
          <w:p>
            <w:pPr>
              <w:adjustRightInd w:val="0"/>
              <w:snapToGrid w:val="0"/>
              <w:spacing w:line="340" w:lineRule="exact"/>
              <w:jc w:val="center"/>
              <w:rPr>
                <w:rFonts w:eastAsiaTheme="minorEastAsia"/>
                <w:szCs w:val="21"/>
              </w:rPr>
            </w:pPr>
            <w:r>
              <w:rPr>
                <w:rFonts w:eastAsiaTheme="minorEastAsia"/>
                <w:szCs w:val="21"/>
              </w:rPr>
              <w:t>扬尘</w:t>
            </w:r>
          </w:p>
        </w:tc>
        <w:tc>
          <w:tcPr>
            <w:tcW w:w="2551"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宋体" w:hAnsi="宋体"/>
                <w:spacing w:val="-4"/>
                <w:kern w:val="0"/>
                <w:szCs w:val="21"/>
              </w:rPr>
            </w:pPr>
            <w:r>
              <w:rPr>
                <w:rFonts w:hint="eastAsia" w:ascii="宋体" w:hAnsi="宋体"/>
                <w:bCs/>
                <w:kern w:val="0"/>
                <w:szCs w:val="21"/>
              </w:rPr>
              <w:t>场地地面硬化处理，利用进出口已设的车辆冲洗设施，适时对场区露天场地进行防尘冲洗；煤炭运输车辆加盖篷布，密闭运输</w:t>
            </w:r>
          </w:p>
        </w:tc>
        <w:tc>
          <w:tcPr>
            <w:tcW w:w="2018" w:type="dxa"/>
            <w:vMerge w:val="continue"/>
            <w:tcBorders>
              <w:top w:val="single" w:color="auto" w:sz="6" w:space="0"/>
              <w:left w:val="single" w:color="auto" w:sz="4" w:space="0"/>
              <w:right w:val="single" w:color="auto" w:sz="8" w:space="0"/>
            </w:tcBorders>
            <w:vAlign w:val="center"/>
          </w:tcPr>
          <w:p>
            <w:pPr>
              <w:adjustRightInd w:val="0"/>
              <w:snapToGrid w:val="0"/>
              <w:spacing w:line="360" w:lineRule="exact"/>
              <w:ind w:left="-53" w:leftChars="-25" w:right="-53" w:rightChars="-25"/>
              <w:jc w:val="center"/>
              <w:rPr>
                <w:rFonts w:eastAsiaTheme="minorEastAsia"/>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1778" w:type="dxa"/>
            <w:vMerge w:val="restart"/>
            <w:tcBorders>
              <w:left w:val="single" w:color="auto" w:sz="8" w:space="0"/>
              <w:right w:val="single" w:color="auto" w:sz="4" w:space="0"/>
            </w:tcBorders>
            <w:vAlign w:val="center"/>
          </w:tcPr>
          <w:p>
            <w:pPr>
              <w:adjustRightInd w:val="0"/>
              <w:snapToGrid w:val="0"/>
              <w:spacing w:line="360" w:lineRule="exact"/>
              <w:jc w:val="center"/>
              <w:rPr>
                <w:rFonts w:eastAsiaTheme="minorEastAsia"/>
                <w:szCs w:val="21"/>
              </w:rPr>
            </w:pPr>
            <w:r>
              <w:rPr>
                <w:rFonts w:eastAsiaTheme="minorEastAsia"/>
                <w:szCs w:val="21"/>
              </w:rPr>
              <w:t>地表水环境</w:t>
            </w:r>
          </w:p>
        </w:tc>
        <w:tc>
          <w:tcPr>
            <w:tcW w:w="1461" w:type="dxa"/>
            <w:tcBorders>
              <w:top w:val="single" w:color="auto" w:sz="4" w:space="0"/>
              <w:left w:val="single" w:color="auto" w:sz="4" w:space="0"/>
              <w:right w:val="single" w:color="auto" w:sz="4" w:space="0"/>
            </w:tcBorders>
            <w:vAlign w:val="center"/>
          </w:tcPr>
          <w:p>
            <w:pPr>
              <w:adjustRightInd w:val="0"/>
              <w:snapToGrid w:val="0"/>
              <w:spacing w:line="340" w:lineRule="exact"/>
              <w:jc w:val="center"/>
              <w:rPr>
                <w:szCs w:val="21"/>
              </w:rPr>
            </w:pPr>
            <w:r>
              <w:rPr>
                <w:rFonts w:hint="eastAsia"/>
                <w:szCs w:val="21"/>
              </w:rPr>
              <w:t>施工现场</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exact"/>
              <w:jc w:val="center"/>
              <w:rPr>
                <w:rFonts w:eastAsiaTheme="minorEastAsia"/>
                <w:szCs w:val="21"/>
              </w:rPr>
            </w:pPr>
            <w:r>
              <w:rPr>
                <w:rFonts w:eastAsiaTheme="minorEastAsia"/>
                <w:szCs w:val="21"/>
              </w:rPr>
              <w:t>施工</w:t>
            </w:r>
          </w:p>
          <w:p>
            <w:pPr>
              <w:adjustRightInd w:val="0"/>
              <w:snapToGrid w:val="0"/>
              <w:spacing w:line="340" w:lineRule="exact"/>
              <w:jc w:val="center"/>
              <w:rPr>
                <w:rFonts w:eastAsiaTheme="minorEastAsia"/>
                <w:szCs w:val="21"/>
              </w:rPr>
            </w:pPr>
            <w:r>
              <w:rPr>
                <w:rFonts w:eastAsiaTheme="minorEastAsia"/>
                <w:szCs w:val="21"/>
              </w:rPr>
              <w:t>废水</w:t>
            </w:r>
          </w:p>
        </w:tc>
        <w:tc>
          <w:tcPr>
            <w:tcW w:w="25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exact"/>
              <w:jc w:val="left"/>
              <w:rPr>
                <w:szCs w:val="21"/>
              </w:rPr>
            </w:pPr>
            <w:r>
              <w:rPr>
                <w:szCs w:val="21"/>
              </w:rPr>
              <w:t>设临时</w:t>
            </w:r>
            <w:r>
              <w:rPr>
                <w:rFonts w:hint="eastAsia"/>
                <w:szCs w:val="21"/>
                <w:lang w:eastAsia="zh-CN"/>
              </w:rPr>
              <w:t>沉沙池</w:t>
            </w:r>
            <w:r>
              <w:rPr>
                <w:szCs w:val="21"/>
              </w:rPr>
              <w:t>收集处理后回用</w:t>
            </w:r>
          </w:p>
        </w:tc>
        <w:tc>
          <w:tcPr>
            <w:tcW w:w="2018" w:type="dxa"/>
            <w:tcBorders>
              <w:left w:val="single" w:color="auto" w:sz="4" w:space="0"/>
              <w:bottom w:val="single" w:color="auto" w:sz="4" w:space="0"/>
              <w:right w:val="single" w:color="auto" w:sz="8" w:space="0"/>
            </w:tcBorders>
            <w:vAlign w:val="center"/>
          </w:tcPr>
          <w:p>
            <w:pPr>
              <w:adjustRightInd w:val="0"/>
              <w:snapToGrid w:val="0"/>
              <w:spacing w:line="360" w:lineRule="exact"/>
              <w:jc w:val="center"/>
              <w:rPr>
                <w:spacing w:val="-4"/>
                <w:szCs w:val="21"/>
              </w:rPr>
            </w:pPr>
            <w:r>
              <w:rPr>
                <w:spacing w:val="-4"/>
                <w:szCs w:val="21"/>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1778" w:type="dxa"/>
            <w:vMerge w:val="continue"/>
            <w:tcBorders>
              <w:left w:val="single" w:color="auto" w:sz="8" w:space="0"/>
              <w:right w:val="single" w:color="auto" w:sz="4" w:space="0"/>
            </w:tcBorders>
            <w:vAlign w:val="center"/>
          </w:tcPr>
          <w:p>
            <w:pPr>
              <w:adjustRightInd w:val="0"/>
              <w:snapToGrid w:val="0"/>
              <w:spacing w:line="360" w:lineRule="exact"/>
              <w:jc w:val="center"/>
              <w:rPr>
                <w:rFonts w:eastAsiaTheme="minorEastAsia"/>
                <w:szCs w:val="21"/>
              </w:rPr>
            </w:pPr>
          </w:p>
        </w:tc>
        <w:tc>
          <w:tcPr>
            <w:tcW w:w="1461" w:type="dxa"/>
            <w:tcBorders>
              <w:top w:val="single" w:color="auto" w:sz="4" w:space="0"/>
              <w:left w:val="single" w:color="auto" w:sz="4" w:space="0"/>
              <w:bottom w:val="single" w:color="auto" w:sz="4" w:space="0"/>
              <w:right w:val="single" w:color="auto" w:sz="4" w:space="0"/>
            </w:tcBorders>
            <w:vAlign w:val="center"/>
          </w:tcPr>
          <w:p>
            <w:pPr>
              <w:pStyle w:val="38"/>
              <w:spacing w:line="340" w:lineRule="exact"/>
              <w:jc w:val="center"/>
              <w:rPr>
                <w:rFonts w:eastAsiaTheme="minorEastAsia"/>
                <w:sz w:val="21"/>
                <w:szCs w:val="21"/>
              </w:rPr>
            </w:pPr>
            <w:r>
              <w:rPr>
                <w:rFonts w:eastAsiaTheme="minorEastAsia"/>
                <w:sz w:val="21"/>
                <w:szCs w:val="21"/>
              </w:rPr>
              <w:t>生活污水</w:t>
            </w:r>
          </w:p>
        </w:tc>
        <w:tc>
          <w:tcPr>
            <w:tcW w:w="99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eastAsiaTheme="minorEastAsia"/>
                <w:szCs w:val="21"/>
              </w:rPr>
            </w:pPr>
            <w:r>
              <w:rPr>
                <w:rFonts w:eastAsiaTheme="minorEastAsia"/>
                <w:szCs w:val="21"/>
              </w:rPr>
              <w:t>COD</w:t>
            </w:r>
            <w:r>
              <w:rPr>
                <w:rFonts w:eastAsiaTheme="minorEastAsia"/>
                <w:szCs w:val="21"/>
                <w:vertAlign w:val="subscript"/>
              </w:rPr>
              <w:t>cr</w:t>
            </w:r>
            <w:r>
              <w:rPr>
                <w:rFonts w:eastAsiaTheme="minorEastAsia"/>
                <w:szCs w:val="21"/>
              </w:rPr>
              <w:t>、BOD</w:t>
            </w:r>
            <w:r>
              <w:rPr>
                <w:rFonts w:eastAsiaTheme="minorEastAsia"/>
                <w:szCs w:val="21"/>
                <w:vertAlign w:val="subscript"/>
              </w:rPr>
              <w:t>5</w:t>
            </w:r>
            <w:r>
              <w:rPr>
                <w:rFonts w:eastAsiaTheme="minorEastAsia"/>
                <w:szCs w:val="21"/>
              </w:rPr>
              <w:t>、SS等</w:t>
            </w:r>
          </w:p>
        </w:tc>
        <w:tc>
          <w:tcPr>
            <w:tcW w:w="2551" w:type="dxa"/>
            <w:tcBorders>
              <w:top w:val="single" w:color="auto" w:sz="4" w:space="0"/>
              <w:left w:val="single" w:color="auto" w:sz="4" w:space="0"/>
              <w:bottom w:val="single" w:color="auto" w:sz="4" w:space="0"/>
              <w:right w:val="single" w:color="auto" w:sz="4" w:space="0"/>
            </w:tcBorders>
            <w:vAlign w:val="center"/>
          </w:tcPr>
          <w:p>
            <w:pPr>
              <w:spacing w:line="340" w:lineRule="exact"/>
              <w:ind w:left="-42" w:leftChars="-20"/>
              <w:jc w:val="left"/>
              <w:rPr>
                <w:rFonts w:ascii="宋体" w:hAnsi="宋体"/>
                <w:szCs w:val="18"/>
              </w:rPr>
            </w:pPr>
            <w:r>
              <w:rPr>
                <w:rFonts w:hint="eastAsia" w:ascii="宋体" w:hAnsi="宋体"/>
                <w:szCs w:val="18"/>
              </w:rPr>
              <w:t>利用办公室已设的化粪池，收集处理后，通过定期拉运的方式由</w:t>
            </w:r>
            <w:r>
              <w:rPr>
                <w:rFonts w:ascii="宋体" w:hAnsi="宋体"/>
                <w:szCs w:val="18"/>
              </w:rPr>
              <w:t>东岳场镇污水处理厂处理后，达标排入双龙河</w:t>
            </w:r>
          </w:p>
        </w:tc>
        <w:tc>
          <w:tcPr>
            <w:tcW w:w="2018"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360" w:lineRule="exact"/>
              <w:jc w:val="center"/>
              <w:rPr>
                <w:rFonts w:eastAsiaTheme="minorEastAsia"/>
                <w:szCs w:val="21"/>
              </w:rPr>
            </w:pPr>
            <w:r>
              <w:rPr>
                <w:rFonts w:eastAsiaTheme="minorEastAsia"/>
                <w:szCs w:val="21"/>
              </w:rPr>
              <w:t>《污水综合排放标准》（</w:t>
            </w:r>
            <w:r>
              <w:rPr>
                <w:rFonts w:hint="eastAsia" w:eastAsiaTheme="minorEastAsia"/>
                <w:szCs w:val="21"/>
              </w:rPr>
              <w:t>GB</w:t>
            </w:r>
            <w:r>
              <w:rPr>
                <w:rFonts w:ascii="Arial" w:hAnsi="Arial" w:cs="Arial"/>
                <w:sz w:val="20"/>
                <w:szCs w:val="20"/>
              </w:rPr>
              <w:t xml:space="preserve"> GB8978-1996</w:t>
            </w:r>
            <w:r>
              <w:rPr>
                <w:rFonts w:eastAsiaTheme="minorEastAsia"/>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778" w:type="dxa"/>
            <w:vMerge w:val="continue"/>
            <w:tcBorders>
              <w:left w:val="single" w:color="auto" w:sz="8" w:space="0"/>
              <w:right w:val="single" w:color="auto" w:sz="4" w:space="0"/>
            </w:tcBorders>
            <w:vAlign w:val="center"/>
          </w:tcPr>
          <w:p>
            <w:pPr>
              <w:adjustRightInd w:val="0"/>
              <w:snapToGrid w:val="0"/>
              <w:spacing w:line="360" w:lineRule="exact"/>
              <w:jc w:val="center"/>
              <w:rPr>
                <w:rFonts w:eastAsiaTheme="minorEastAsia"/>
                <w:szCs w:val="21"/>
              </w:rPr>
            </w:pPr>
          </w:p>
        </w:tc>
        <w:tc>
          <w:tcPr>
            <w:tcW w:w="1461" w:type="dxa"/>
            <w:tcBorders>
              <w:top w:val="single" w:color="auto" w:sz="4" w:space="0"/>
              <w:left w:val="single" w:color="auto" w:sz="4" w:space="0"/>
              <w:bottom w:val="single" w:color="auto" w:sz="4" w:space="0"/>
              <w:right w:val="single" w:color="auto" w:sz="4" w:space="0"/>
            </w:tcBorders>
            <w:vAlign w:val="center"/>
          </w:tcPr>
          <w:p>
            <w:pPr>
              <w:pStyle w:val="38"/>
              <w:spacing w:line="340" w:lineRule="exact"/>
              <w:jc w:val="center"/>
              <w:rPr>
                <w:rFonts w:eastAsiaTheme="minorEastAsia"/>
                <w:sz w:val="21"/>
                <w:szCs w:val="21"/>
              </w:rPr>
            </w:pPr>
            <w:r>
              <w:rPr>
                <w:rFonts w:hint="eastAsia" w:ascii="宋体" w:hAnsi="宋体"/>
                <w:sz w:val="21"/>
                <w:szCs w:val="21"/>
              </w:rPr>
              <w:t>车辆冲洗废水</w:t>
            </w:r>
          </w:p>
        </w:tc>
        <w:tc>
          <w:tcPr>
            <w:tcW w:w="99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eastAsiaTheme="minorEastAsia"/>
                <w:szCs w:val="21"/>
              </w:rPr>
            </w:pPr>
            <w:r>
              <w:rPr>
                <w:rFonts w:eastAsiaTheme="minorEastAsia"/>
                <w:szCs w:val="21"/>
              </w:rPr>
              <w:t>SS</w:t>
            </w:r>
          </w:p>
        </w:tc>
        <w:tc>
          <w:tcPr>
            <w:tcW w:w="2551" w:type="dxa"/>
            <w:tcBorders>
              <w:top w:val="single" w:color="auto" w:sz="4" w:space="0"/>
              <w:left w:val="single" w:color="auto" w:sz="4" w:space="0"/>
              <w:bottom w:val="single" w:color="auto" w:sz="4" w:space="0"/>
              <w:right w:val="single" w:color="auto" w:sz="4" w:space="0"/>
            </w:tcBorders>
            <w:vAlign w:val="center"/>
          </w:tcPr>
          <w:p>
            <w:pPr>
              <w:spacing w:line="340" w:lineRule="exact"/>
              <w:ind w:left="-42" w:leftChars="-20"/>
              <w:jc w:val="left"/>
              <w:rPr>
                <w:rFonts w:ascii="宋体" w:hAnsi="宋体"/>
                <w:szCs w:val="21"/>
              </w:rPr>
            </w:pPr>
            <w:r>
              <w:rPr>
                <w:rFonts w:hint="eastAsia" w:ascii="宋体" w:hAnsi="宋体"/>
                <w:szCs w:val="21"/>
              </w:rPr>
              <w:t>利用厂区进出口已设废水沉淀池处理后回用不外排</w:t>
            </w:r>
          </w:p>
        </w:tc>
        <w:tc>
          <w:tcPr>
            <w:tcW w:w="2018"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360" w:lineRule="exact"/>
              <w:jc w:val="center"/>
              <w:rPr>
                <w:rFonts w:eastAsiaTheme="minorEastAsia"/>
                <w:szCs w:val="21"/>
              </w:rPr>
            </w:pPr>
            <w:r>
              <w:rPr>
                <w:szCs w:val="21"/>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778" w:type="dxa"/>
            <w:vMerge w:val="continue"/>
            <w:tcBorders>
              <w:left w:val="single" w:color="auto" w:sz="8" w:space="0"/>
              <w:right w:val="single" w:color="auto" w:sz="4" w:space="0"/>
            </w:tcBorders>
            <w:vAlign w:val="center"/>
          </w:tcPr>
          <w:p>
            <w:pPr>
              <w:adjustRightInd w:val="0"/>
              <w:snapToGrid w:val="0"/>
              <w:spacing w:line="360" w:lineRule="exact"/>
              <w:jc w:val="center"/>
              <w:rPr>
                <w:rFonts w:eastAsiaTheme="minorEastAsia"/>
                <w:szCs w:val="21"/>
              </w:rPr>
            </w:pPr>
          </w:p>
        </w:tc>
        <w:tc>
          <w:tcPr>
            <w:tcW w:w="1461" w:type="dxa"/>
            <w:tcBorders>
              <w:top w:val="single" w:color="auto" w:sz="4" w:space="0"/>
              <w:left w:val="single" w:color="auto" w:sz="4" w:space="0"/>
              <w:right w:val="single" w:color="auto" w:sz="4" w:space="0"/>
            </w:tcBorders>
            <w:vAlign w:val="center"/>
          </w:tcPr>
          <w:p>
            <w:pPr>
              <w:pStyle w:val="38"/>
              <w:spacing w:line="340" w:lineRule="exact"/>
              <w:jc w:val="center"/>
              <w:rPr>
                <w:rFonts w:eastAsiaTheme="minorEastAsia"/>
                <w:sz w:val="21"/>
                <w:szCs w:val="21"/>
              </w:rPr>
            </w:pPr>
            <w:r>
              <w:rPr>
                <w:rFonts w:eastAsiaTheme="minorEastAsia"/>
                <w:sz w:val="21"/>
                <w:szCs w:val="21"/>
              </w:rPr>
              <w:t>含煤废水</w:t>
            </w:r>
          </w:p>
        </w:tc>
        <w:tc>
          <w:tcPr>
            <w:tcW w:w="99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Theme="minorEastAsia"/>
                <w:szCs w:val="21"/>
              </w:rPr>
            </w:pPr>
            <w:r>
              <w:rPr>
                <w:rFonts w:eastAsiaTheme="minorEastAsia"/>
                <w:szCs w:val="21"/>
              </w:rPr>
              <w:t>COD</w:t>
            </w:r>
            <w:r>
              <w:rPr>
                <w:rFonts w:eastAsiaTheme="minorEastAsia"/>
                <w:szCs w:val="21"/>
                <w:vertAlign w:val="subscript"/>
              </w:rPr>
              <w:t>cr</w:t>
            </w:r>
            <w:r>
              <w:rPr>
                <w:rFonts w:eastAsiaTheme="minorEastAsia"/>
                <w:szCs w:val="21"/>
              </w:rPr>
              <w:t>、</w:t>
            </w:r>
            <w:r>
              <w:rPr>
                <w:rFonts w:hint="eastAsia" w:eastAsiaTheme="minorEastAsia"/>
                <w:szCs w:val="21"/>
              </w:rPr>
              <w:t>S</w:t>
            </w:r>
            <w:r>
              <w:rPr>
                <w:rFonts w:eastAsiaTheme="minorEastAsia"/>
                <w:szCs w:val="21"/>
              </w:rPr>
              <w:t>S等</w:t>
            </w:r>
          </w:p>
        </w:tc>
        <w:tc>
          <w:tcPr>
            <w:tcW w:w="2551" w:type="dxa"/>
            <w:tcBorders>
              <w:top w:val="single" w:color="auto" w:sz="4" w:space="0"/>
              <w:left w:val="single" w:color="auto" w:sz="4" w:space="0"/>
              <w:bottom w:val="single" w:color="auto" w:sz="4" w:space="0"/>
              <w:right w:val="single" w:color="auto" w:sz="4" w:space="0"/>
            </w:tcBorders>
            <w:vAlign w:val="center"/>
          </w:tcPr>
          <w:p>
            <w:pPr>
              <w:spacing w:line="320" w:lineRule="exact"/>
              <w:ind w:left="-42" w:leftChars="-20"/>
              <w:jc w:val="left"/>
              <w:rPr>
                <w:rFonts w:ascii="宋体" w:hAnsi="宋体"/>
                <w:szCs w:val="21"/>
              </w:rPr>
            </w:pPr>
            <w:r>
              <w:rPr>
                <w:rFonts w:hint="eastAsia" w:ascii="宋体" w:hAnsi="宋体"/>
                <w:szCs w:val="21"/>
              </w:rPr>
              <w:t>包括露天场地冲洗废水和初期雨水。利用场内已设的地埋式沉淀池3个，总容积约</w:t>
            </w:r>
            <w:r>
              <w:rPr>
                <w:rFonts w:hint="eastAsia"/>
                <w:szCs w:val="21"/>
              </w:rPr>
              <w:t>180m</w:t>
            </w:r>
            <w:r>
              <w:rPr>
                <w:rFonts w:hint="eastAsia"/>
                <w:szCs w:val="21"/>
                <w:vertAlign w:val="superscript"/>
              </w:rPr>
              <w:t>3</w:t>
            </w:r>
            <w:r>
              <w:rPr>
                <w:rFonts w:hint="eastAsia"/>
                <w:szCs w:val="21"/>
              </w:rPr>
              <w:t>，场地四周补建散水收集沟，接入沉淀池处理后全部回用不外排</w:t>
            </w:r>
          </w:p>
        </w:tc>
        <w:tc>
          <w:tcPr>
            <w:tcW w:w="2018"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360" w:lineRule="exact"/>
              <w:jc w:val="center"/>
              <w:rPr>
                <w:szCs w:val="21"/>
              </w:rPr>
            </w:pPr>
            <w:r>
              <w:rPr>
                <w:szCs w:val="21"/>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0" w:hRule="atLeast"/>
          <w:jc w:val="center"/>
        </w:trPr>
        <w:tc>
          <w:tcPr>
            <w:tcW w:w="1778" w:type="dxa"/>
            <w:vMerge w:val="restart"/>
            <w:tcBorders>
              <w:left w:val="single" w:color="auto" w:sz="8" w:space="0"/>
              <w:right w:val="single" w:color="auto" w:sz="4" w:space="0"/>
            </w:tcBorders>
            <w:vAlign w:val="center"/>
          </w:tcPr>
          <w:p>
            <w:pPr>
              <w:adjustRightInd w:val="0"/>
              <w:snapToGrid w:val="0"/>
              <w:spacing w:line="360" w:lineRule="exact"/>
              <w:jc w:val="center"/>
              <w:rPr>
                <w:rFonts w:eastAsiaTheme="minorEastAsia"/>
                <w:szCs w:val="21"/>
              </w:rPr>
            </w:pPr>
            <w:r>
              <w:rPr>
                <w:rFonts w:eastAsiaTheme="minorEastAsia"/>
                <w:szCs w:val="21"/>
              </w:rPr>
              <w:t>声环境</w:t>
            </w:r>
          </w:p>
        </w:tc>
        <w:tc>
          <w:tcPr>
            <w:tcW w:w="14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Theme="minorEastAsia"/>
                <w:szCs w:val="21"/>
              </w:rPr>
            </w:pPr>
            <w:r>
              <w:rPr>
                <w:rFonts w:eastAsiaTheme="minorEastAsia"/>
                <w:szCs w:val="21"/>
              </w:rPr>
              <w:t>施工现场</w:t>
            </w:r>
          </w:p>
        </w:tc>
        <w:tc>
          <w:tcPr>
            <w:tcW w:w="99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Theme="minorEastAsia"/>
                <w:szCs w:val="21"/>
              </w:rPr>
            </w:pPr>
            <w:r>
              <w:rPr>
                <w:rFonts w:eastAsiaTheme="minorEastAsia"/>
                <w:szCs w:val="21"/>
              </w:rPr>
              <w:t>施工</w:t>
            </w:r>
          </w:p>
          <w:p>
            <w:pPr>
              <w:spacing w:line="400" w:lineRule="exact"/>
              <w:jc w:val="center"/>
              <w:rPr>
                <w:rFonts w:eastAsiaTheme="minorEastAsia"/>
                <w:szCs w:val="21"/>
              </w:rPr>
            </w:pPr>
            <w:r>
              <w:rPr>
                <w:rFonts w:eastAsiaTheme="minorEastAsia"/>
                <w:szCs w:val="21"/>
              </w:rPr>
              <w:t>噪声</w:t>
            </w:r>
          </w:p>
        </w:tc>
        <w:tc>
          <w:tcPr>
            <w:tcW w:w="2551" w:type="dxa"/>
            <w:tcBorders>
              <w:top w:val="single" w:color="auto" w:sz="4" w:space="0"/>
              <w:left w:val="single" w:color="auto" w:sz="4" w:space="0"/>
              <w:bottom w:val="single" w:color="auto" w:sz="4" w:space="0"/>
              <w:right w:val="single" w:color="auto" w:sz="4" w:space="0"/>
            </w:tcBorders>
            <w:vAlign w:val="center"/>
          </w:tcPr>
          <w:p>
            <w:pPr>
              <w:spacing w:line="400" w:lineRule="exact"/>
              <w:ind w:left="-53" w:leftChars="-25" w:right="-53" w:rightChars="-25"/>
              <w:jc w:val="left"/>
              <w:rPr>
                <w:rFonts w:eastAsiaTheme="minorEastAsia"/>
                <w:szCs w:val="21"/>
              </w:rPr>
            </w:pPr>
            <w:r>
              <w:rPr>
                <w:rFonts w:eastAsiaTheme="minorEastAsia"/>
                <w:szCs w:val="21"/>
              </w:rPr>
              <w:t>优选施工设备、合理布局施工机械、加强设备维护保养、合理安排施工时间、文明施工</w:t>
            </w:r>
          </w:p>
        </w:tc>
        <w:tc>
          <w:tcPr>
            <w:tcW w:w="2018"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400" w:lineRule="exact"/>
              <w:jc w:val="center"/>
              <w:rPr>
                <w:rFonts w:eastAsiaTheme="minorEastAsia"/>
                <w:szCs w:val="21"/>
              </w:rPr>
            </w:pPr>
            <w:r>
              <w:rPr>
                <w:rFonts w:eastAsiaTheme="minorEastAsia"/>
                <w:szCs w:val="21"/>
              </w:rPr>
              <w:t>《建筑施工场界环境噪声排放限值》（GB12523-2011）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5" w:hRule="atLeast"/>
          <w:jc w:val="center"/>
        </w:trPr>
        <w:tc>
          <w:tcPr>
            <w:tcW w:w="1778" w:type="dxa"/>
            <w:vMerge w:val="continue"/>
            <w:tcBorders>
              <w:left w:val="single" w:color="auto" w:sz="8" w:space="0"/>
              <w:right w:val="single" w:color="auto" w:sz="4" w:space="0"/>
            </w:tcBorders>
            <w:vAlign w:val="center"/>
          </w:tcPr>
          <w:p>
            <w:pPr>
              <w:adjustRightInd w:val="0"/>
              <w:snapToGrid w:val="0"/>
              <w:spacing w:line="360" w:lineRule="exact"/>
              <w:jc w:val="center"/>
              <w:rPr>
                <w:rFonts w:eastAsiaTheme="minorEastAsia"/>
                <w:szCs w:val="21"/>
              </w:rPr>
            </w:pPr>
          </w:p>
        </w:tc>
        <w:tc>
          <w:tcPr>
            <w:tcW w:w="1461" w:type="dxa"/>
            <w:tcBorders>
              <w:top w:val="single" w:color="auto" w:sz="4" w:space="0"/>
              <w:left w:val="single" w:color="auto" w:sz="4" w:space="0"/>
              <w:bottom w:val="single" w:color="auto" w:sz="4" w:space="0"/>
              <w:right w:val="single" w:color="auto" w:sz="4" w:space="0"/>
            </w:tcBorders>
            <w:vAlign w:val="center"/>
          </w:tcPr>
          <w:p>
            <w:pPr>
              <w:spacing w:line="400" w:lineRule="exact"/>
              <w:ind w:left="-53" w:leftChars="-25" w:right="-53" w:rightChars="-25"/>
              <w:jc w:val="center"/>
              <w:rPr>
                <w:rFonts w:eastAsiaTheme="minorEastAsia"/>
                <w:szCs w:val="21"/>
              </w:rPr>
            </w:pPr>
            <w:r>
              <w:rPr>
                <w:rFonts w:eastAsiaTheme="minorEastAsia"/>
                <w:szCs w:val="21"/>
              </w:rPr>
              <w:t>装载机、水泵等</w:t>
            </w:r>
          </w:p>
        </w:tc>
        <w:tc>
          <w:tcPr>
            <w:tcW w:w="99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Theme="minorEastAsia"/>
                <w:szCs w:val="21"/>
              </w:rPr>
            </w:pPr>
            <w:r>
              <w:rPr>
                <w:rFonts w:eastAsiaTheme="minorEastAsia"/>
                <w:szCs w:val="21"/>
              </w:rPr>
              <w:t>设备</w:t>
            </w:r>
          </w:p>
          <w:p>
            <w:pPr>
              <w:spacing w:line="400" w:lineRule="exact"/>
              <w:jc w:val="center"/>
              <w:rPr>
                <w:rFonts w:eastAsiaTheme="minorEastAsia"/>
                <w:szCs w:val="21"/>
              </w:rPr>
            </w:pPr>
            <w:r>
              <w:rPr>
                <w:rFonts w:eastAsiaTheme="minorEastAsia"/>
                <w:szCs w:val="21"/>
              </w:rPr>
              <w:t>噪声</w:t>
            </w:r>
          </w:p>
        </w:tc>
        <w:tc>
          <w:tcPr>
            <w:tcW w:w="2551" w:type="dxa"/>
            <w:tcBorders>
              <w:top w:val="single" w:color="auto" w:sz="4" w:space="0"/>
              <w:left w:val="single" w:color="auto" w:sz="4" w:space="0"/>
              <w:bottom w:val="single" w:color="auto" w:sz="4" w:space="0"/>
              <w:right w:val="single" w:color="auto" w:sz="4" w:space="0"/>
            </w:tcBorders>
            <w:vAlign w:val="center"/>
          </w:tcPr>
          <w:p>
            <w:pPr>
              <w:spacing w:line="400" w:lineRule="exact"/>
              <w:ind w:left="-53" w:leftChars="-25" w:right="-53" w:rightChars="-25"/>
              <w:jc w:val="left"/>
              <w:rPr>
                <w:rFonts w:eastAsiaTheme="minorEastAsia"/>
                <w:szCs w:val="21"/>
              </w:rPr>
            </w:pPr>
            <w:r>
              <w:rPr>
                <w:rFonts w:hint="eastAsia" w:ascii="宋体" w:hAnsi="宋体" w:cs="宋体"/>
                <w:szCs w:val="21"/>
              </w:rPr>
              <w:t>①</w:t>
            </w:r>
            <w:r>
              <w:rPr>
                <w:rFonts w:eastAsiaTheme="minorEastAsia"/>
                <w:szCs w:val="21"/>
              </w:rPr>
              <w:t>优选低噪声设备；</w:t>
            </w:r>
            <w:r>
              <w:rPr>
                <w:rFonts w:hint="eastAsia" w:eastAsiaTheme="minorEastAsia"/>
                <w:szCs w:val="21"/>
              </w:rPr>
              <w:t>②</w:t>
            </w:r>
            <w:r>
              <w:rPr>
                <w:rFonts w:eastAsiaTheme="minorEastAsia"/>
                <w:szCs w:val="21"/>
              </w:rPr>
              <w:t>基础减振、建筑隔声；</w:t>
            </w:r>
            <w:r>
              <w:rPr>
                <w:rFonts w:hint="eastAsia" w:ascii="宋体" w:hAnsi="宋体" w:cs="宋体"/>
                <w:szCs w:val="21"/>
              </w:rPr>
              <w:t>③</w:t>
            </w:r>
            <w:r>
              <w:rPr>
                <w:rFonts w:eastAsiaTheme="minorEastAsia"/>
                <w:szCs w:val="21"/>
              </w:rPr>
              <w:t>加强维护管理、合理安排生产时间</w:t>
            </w:r>
          </w:p>
        </w:tc>
        <w:tc>
          <w:tcPr>
            <w:tcW w:w="2018"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400" w:lineRule="exact"/>
              <w:jc w:val="center"/>
              <w:rPr>
                <w:rFonts w:eastAsiaTheme="minorEastAsia"/>
                <w:szCs w:val="21"/>
              </w:rPr>
            </w:pPr>
            <w:r>
              <w:rPr>
                <w:rFonts w:eastAsiaTheme="minorEastAsia"/>
                <w:szCs w:val="21"/>
              </w:rPr>
              <w:t>《工业企业厂界环境噪声排放标准》（GB12348-2008）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778" w:type="dxa"/>
            <w:tcBorders>
              <w:top w:val="single" w:color="auto" w:sz="4" w:space="0"/>
              <w:left w:val="single" w:color="auto" w:sz="8" w:space="0"/>
              <w:bottom w:val="single" w:color="auto" w:sz="4" w:space="0"/>
              <w:right w:val="single" w:color="auto" w:sz="4" w:space="0"/>
            </w:tcBorders>
            <w:vAlign w:val="center"/>
          </w:tcPr>
          <w:p>
            <w:pPr>
              <w:adjustRightInd w:val="0"/>
              <w:snapToGrid w:val="0"/>
              <w:spacing w:line="360" w:lineRule="exact"/>
              <w:jc w:val="center"/>
              <w:rPr>
                <w:rFonts w:eastAsiaTheme="minorEastAsia"/>
                <w:szCs w:val="21"/>
              </w:rPr>
            </w:pPr>
            <w:r>
              <w:rPr>
                <w:rFonts w:eastAsiaTheme="minorEastAsia"/>
                <w:szCs w:val="21"/>
              </w:rPr>
              <w:t>电磁辐射</w:t>
            </w:r>
          </w:p>
        </w:tc>
        <w:tc>
          <w:tcPr>
            <w:tcW w:w="14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rFonts w:eastAsiaTheme="minorEastAsia"/>
                <w:szCs w:val="21"/>
              </w:rPr>
            </w:pPr>
            <w:r>
              <w:rPr>
                <w:rFonts w:eastAsiaTheme="minorEastAsia"/>
                <w:szCs w:val="21"/>
              </w:rPr>
              <w:t>/</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rFonts w:eastAsiaTheme="minorEastAsia"/>
                <w:szCs w:val="21"/>
              </w:rPr>
            </w:pPr>
            <w:r>
              <w:rPr>
                <w:rFonts w:eastAsiaTheme="minorEastAsia"/>
                <w:szCs w:val="21"/>
              </w:rPr>
              <w:t>/</w:t>
            </w:r>
          </w:p>
        </w:tc>
        <w:tc>
          <w:tcPr>
            <w:tcW w:w="25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ind w:left="-53" w:leftChars="-25" w:right="-53" w:rightChars="-25"/>
              <w:jc w:val="center"/>
              <w:rPr>
                <w:rFonts w:eastAsiaTheme="minorEastAsia"/>
                <w:szCs w:val="21"/>
              </w:rPr>
            </w:pPr>
            <w:r>
              <w:rPr>
                <w:rFonts w:eastAsiaTheme="minorEastAsia"/>
                <w:szCs w:val="21"/>
              </w:rPr>
              <w:t>/</w:t>
            </w:r>
          </w:p>
        </w:tc>
        <w:tc>
          <w:tcPr>
            <w:tcW w:w="2018"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360" w:lineRule="exact"/>
              <w:jc w:val="center"/>
              <w:rPr>
                <w:rFonts w:eastAsiaTheme="minorEastAsia"/>
                <w:szCs w:val="21"/>
              </w:rPr>
            </w:pPr>
            <w:r>
              <w:rPr>
                <w:rFonts w:eastAsiaTheme="minorEastAsia"/>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4" w:hRule="atLeast"/>
          <w:jc w:val="center"/>
        </w:trPr>
        <w:tc>
          <w:tcPr>
            <w:tcW w:w="1778" w:type="dxa"/>
            <w:tcBorders>
              <w:top w:val="single" w:color="auto" w:sz="4" w:space="0"/>
              <w:left w:val="single" w:color="auto" w:sz="8" w:space="0"/>
              <w:bottom w:val="single" w:color="auto" w:sz="4" w:space="0"/>
              <w:right w:val="single" w:color="auto" w:sz="4" w:space="0"/>
            </w:tcBorders>
            <w:vAlign w:val="center"/>
          </w:tcPr>
          <w:p>
            <w:pPr>
              <w:adjustRightInd w:val="0"/>
              <w:snapToGrid w:val="0"/>
              <w:spacing w:line="340" w:lineRule="exact"/>
              <w:jc w:val="center"/>
              <w:rPr>
                <w:rFonts w:eastAsiaTheme="minorEastAsia"/>
                <w:szCs w:val="21"/>
              </w:rPr>
            </w:pPr>
            <w:r>
              <w:rPr>
                <w:rFonts w:eastAsiaTheme="minorEastAsia"/>
                <w:szCs w:val="21"/>
              </w:rPr>
              <w:t>固体废物</w:t>
            </w:r>
          </w:p>
        </w:tc>
        <w:tc>
          <w:tcPr>
            <w:tcW w:w="7022" w:type="dxa"/>
            <w:gridSpan w:val="4"/>
            <w:tcBorders>
              <w:top w:val="single" w:color="auto" w:sz="4" w:space="0"/>
              <w:left w:val="single" w:color="auto" w:sz="4" w:space="0"/>
              <w:bottom w:val="single" w:color="auto" w:sz="4" w:space="0"/>
              <w:right w:val="single" w:color="auto" w:sz="8" w:space="0"/>
            </w:tcBorders>
            <w:vAlign w:val="center"/>
          </w:tcPr>
          <w:p>
            <w:pPr>
              <w:adjustRightInd w:val="0"/>
              <w:snapToGrid w:val="0"/>
              <w:spacing w:line="340" w:lineRule="exact"/>
              <w:ind w:left="-53" w:leftChars="-25" w:right="-53" w:rightChars="-25"/>
              <w:jc w:val="left"/>
              <w:rPr>
                <w:rFonts w:eastAsia="黑体"/>
                <w:bCs/>
                <w:szCs w:val="21"/>
              </w:rPr>
            </w:pPr>
            <w:r>
              <w:rPr>
                <w:rFonts w:eastAsia="黑体"/>
                <w:bCs/>
                <w:szCs w:val="21"/>
              </w:rPr>
              <w:t>1、施工期</w:t>
            </w:r>
          </w:p>
          <w:p>
            <w:pPr>
              <w:autoSpaceDE w:val="0"/>
              <w:autoSpaceDN w:val="0"/>
              <w:adjustRightInd w:val="0"/>
              <w:spacing w:line="340" w:lineRule="exact"/>
              <w:ind w:firstLine="422" w:firstLineChars="201"/>
              <w:jc w:val="left"/>
              <w:rPr>
                <w:szCs w:val="21"/>
              </w:rPr>
            </w:pPr>
            <w:r>
              <w:rPr>
                <w:kern w:val="0"/>
                <w:szCs w:val="21"/>
              </w:rPr>
              <w:t>（</w:t>
            </w:r>
            <w:r>
              <w:rPr>
                <w:rFonts w:hint="eastAsia"/>
                <w:kern w:val="0"/>
                <w:szCs w:val="21"/>
              </w:rPr>
              <w:t>1</w:t>
            </w:r>
            <w:r>
              <w:rPr>
                <w:kern w:val="0"/>
                <w:szCs w:val="21"/>
              </w:rPr>
              <w:t>）</w:t>
            </w:r>
            <w:r>
              <w:rPr>
                <w:szCs w:val="21"/>
              </w:rPr>
              <w:t>可以</w:t>
            </w:r>
            <w:r>
              <w:rPr>
                <w:rFonts w:hint="eastAsia"/>
                <w:kern w:val="0"/>
                <w:szCs w:val="21"/>
              </w:rPr>
              <w:t>回收利用的部分建筑垃圾，采取集中收集，送到废品回收站</w:t>
            </w:r>
            <w:r>
              <w:rPr>
                <w:szCs w:val="21"/>
              </w:rPr>
              <w:t>。</w:t>
            </w:r>
          </w:p>
          <w:p>
            <w:pPr>
              <w:autoSpaceDE w:val="0"/>
              <w:autoSpaceDN w:val="0"/>
              <w:adjustRightInd w:val="0"/>
              <w:spacing w:line="340" w:lineRule="exact"/>
              <w:ind w:firstLine="422" w:firstLineChars="201"/>
              <w:jc w:val="left"/>
              <w:rPr>
                <w:szCs w:val="21"/>
              </w:rPr>
            </w:pPr>
            <w:r>
              <w:rPr>
                <w:szCs w:val="21"/>
              </w:rPr>
              <w:t>（</w:t>
            </w:r>
            <w:r>
              <w:rPr>
                <w:rFonts w:hint="eastAsia"/>
                <w:szCs w:val="21"/>
              </w:rPr>
              <w:t>2</w:t>
            </w:r>
            <w:r>
              <w:rPr>
                <w:szCs w:val="21"/>
              </w:rPr>
              <w:t>）</w:t>
            </w:r>
            <w:r>
              <w:rPr>
                <w:rFonts w:hint="eastAsia"/>
                <w:kern w:val="0"/>
                <w:szCs w:val="21"/>
              </w:rPr>
              <w:t>不可利用的建筑垃圾，及时外运至当地政府指定的弃土场处置</w:t>
            </w:r>
            <w:r>
              <w:rPr>
                <w:szCs w:val="21"/>
              </w:rPr>
              <w:t>。</w:t>
            </w:r>
          </w:p>
          <w:p>
            <w:pPr>
              <w:adjustRightInd w:val="0"/>
              <w:snapToGrid w:val="0"/>
              <w:spacing w:line="340" w:lineRule="exact"/>
              <w:ind w:left="-53" w:leftChars="-25" w:right="-53" w:rightChars="-25"/>
              <w:jc w:val="left"/>
              <w:rPr>
                <w:rFonts w:eastAsia="黑体"/>
                <w:bCs/>
                <w:szCs w:val="21"/>
              </w:rPr>
            </w:pPr>
            <w:r>
              <w:rPr>
                <w:rFonts w:eastAsia="黑体"/>
                <w:bCs/>
                <w:szCs w:val="21"/>
              </w:rPr>
              <w:t>2、营运期</w:t>
            </w:r>
          </w:p>
          <w:p>
            <w:pPr>
              <w:autoSpaceDE w:val="0"/>
              <w:autoSpaceDN w:val="0"/>
              <w:adjustRightInd w:val="0"/>
              <w:spacing w:line="340" w:lineRule="exact"/>
              <w:ind w:firstLine="422" w:firstLineChars="201"/>
              <w:jc w:val="left"/>
              <w:rPr>
                <w:kern w:val="0"/>
                <w:szCs w:val="21"/>
              </w:rPr>
            </w:pPr>
            <w:r>
              <w:rPr>
                <w:kern w:val="0"/>
                <w:szCs w:val="21"/>
              </w:rPr>
              <w:t>（</w:t>
            </w:r>
            <w:r>
              <w:rPr>
                <w:rFonts w:hint="eastAsia"/>
                <w:kern w:val="0"/>
                <w:szCs w:val="21"/>
              </w:rPr>
              <w:t>1</w:t>
            </w:r>
            <w:r>
              <w:rPr>
                <w:kern w:val="0"/>
                <w:szCs w:val="21"/>
              </w:rPr>
              <w:t>）</w:t>
            </w:r>
            <w:r>
              <w:rPr>
                <w:rFonts w:hint="eastAsia"/>
                <w:kern w:val="0"/>
                <w:szCs w:val="21"/>
              </w:rPr>
              <w:t>废水处理产生的煤泥沉渣，定期清理后混入煤炭产品外售</w:t>
            </w:r>
            <w:r>
              <w:rPr>
                <w:kern w:val="0"/>
                <w:szCs w:val="21"/>
              </w:rPr>
              <w:t>。</w:t>
            </w:r>
          </w:p>
          <w:p>
            <w:pPr>
              <w:autoSpaceDE w:val="0"/>
              <w:autoSpaceDN w:val="0"/>
              <w:adjustRightInd w:val="0"/>
              <w:spacing w:line="340" w:lineRule="exact"/>
              <w:ind w:firstLine="422" w:firstLineChars="201"/>
              <w:jc w:val="left"/>
              <w:rPr>
                <w:kern w:val="0"/>
                <w:szCs w:val="21"/>
              </w:rPr>
            </w:pPr>
            <w:r>
              <w:rPr>
                <w:rFonts w:hint="eastAsia"/>
                <w:kern w:val="0"/>
                <w:szCs w:val="21"/>
              </w:rPr>
              <w:t>（2）</w:t>
            </w:r>
            <w:r>
              <w:rPr>
                <w:kern w:val="0"/>
                <w:szCs w:val="21"/>
              </w:rPr>
              <w:t>生活垃圾设垃圾桶收集，及时送至场镇生活垃圾集中收集点。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0" w:hRule="atLeast"/>
          <w:jc w:val="center"/>
        </w:trPr>
        <w:tc>
          <w:tcPr>
            <w:tcW w:w="1778" w:type="dxa"/>
            <w:tcBorders>
              <w:top w:val="single" w:color="auto" w:sz="4" w:space="0"/>
              <w:left w:val="single" w:color="auto" w:sz="8" w:space="0"/>
              <w:bottom w:val="single" w:color="auto" w:sz="4" w:space="0"/>
              <w:right w:val="single" w:color="auto" w:sz="4" w:space="0"/>
            </w:tcBorders>
            <w:vAlign w:val="center"/>
          </w:tcPr>
          <w:p>
            <w:pPr>
              <w:adjustRightInd w:val="0"/>
              <w:snapToGrid w:val="0"/>
              <w:spacing w:line="340" w:lineRule="exact"/>
              <w:jc w:val="center"/>
              <w:rPr>
                <w:szCs w:val="21"/>
              </w:rPr>
            </w:pPr>
            <w:r>
              <w:rPr>
                <w:szCs w:val="21"/>
              </w:rPr>
              <w:t>土壤及地下水</w:t>
            </w:r>
          </w:p>
          <w:p>
            <w:pPr>
              <w:adjustRightInd w:val="0"/>
              <w:snapToGrid w:val="0"/>
              <w:spacing w:line="340" w:lineRule="exact"/>
              <w:jc w:val="center"/>
              <w:rPr>
                <w:szCs w:val="21"/>
              </w:rPr>
            </w:pPr>
            <w:r>
              <w:rPr>
                <w:szCs w:val="21"/>
              </w:rPr>
              <w:t>污染防治措施</w:t>
            </w:r>
          </w:p>
        </w:tc>
        <w:tc>
          <w:tcPr>
            <w:tcW w:w="7022" w:type="dxa"/>
            <w:gridSpan w:val="4"/>
            <w:tcBorders>
              <w:top w:val="single" w:color="auto" w:sz="4" w:space="0"/>
              <w:left w:val="single" w:color="auto" w:sz="4" w:space="0"/>
              <w:bottom w:val="single" w:color="auto" w:sz="4" w:space="0"/>
              <w:right w:val="single" w:color="auto" w:sz="8" w:space="0"/>
            </w:tcBorders>
            <w:vAlign w:val="center"/>
          </w:tcPr>
          <w:p>
            <w:pPr>
              <w:autoSpaceDE w:val="0"/>
              <w:autoSpaceDN w:val="0"/>
              <w:adjustRightInd w:val="0"/>
              <w:snapToGrid w:val="0"/>
              <w:spacing w:line="340" w:lineRule="exact"/>
              <w:ind w:firstLine="420" w:firstLineChars="200"/>
              <w:jc w:val="left"/>
              <w:rPr>
                <w:szCs w:val="21"/>
              </w:rPr>
            </w:pPr>
            <w:r>
              <w:rPr>
                <w:kern w:val="0"/>
                <w:szCs w:val="21"/>
              </w:rPr>
              <w:t>本项目储煤棚为全封闭煤棚，地面采取一般防渗处理；废水沉淀池采取水泥防渗层防渗。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1778" w:type="dxa"/>
            <w:tcBorders>
              <w:top w:val="single" w:color="auto" w:sz="4" w:space="0"/>
              <w:left w:val="single" w:color="auto" w:sz="8" w:space="0"/>
              <w:bottom w:val="single" w:color="auto" w:sz="4" w:space="0"/>
              <w:right w:val="single" w:color="auto" w:sz="4" w:space="0"/>
            </w:tcBorders>
            <w:vAlign w:val="center"/>
          </w:tcPr>
          <w:p>
            <w:pPr>
              <w:adjustRightInd w:val="0"/>
              <w:snapToGrid w:val="0"/>
              <w:spacing w:line="380" w:lineRule="exact"/>
              <w:jc w:val="center"/>
              <w:rPr>
                <w:szCs w:val="21"/>
              </w:rPr>
            </w:pPr>
            <w:r>
              <w:rPr>
                <w:szCs w:val="21"/>
              </w:rPr>
              <w:t>生态保护措施</w:t>
            </w:r>
          </w:p>
        </w:tc>
        <w:tc>
          <w:tcPr>
            <w:tcW w:w="7022" w:type="dxa"/>
            <w:gridSpan w:val="4"/>
            <w:tcBorders>
              <w:top w:val="single" w:color="auto" w:sz="4" w:space="0"/>
              <w:left w:val="single" w:color="auto" w:sz="4" w:space="0"/>
              <w:bottom w:val="single" w:color="auto" w:sz="4" w:space="0"/>
              <w:right w:val="single" w:color="auto" w:sz="8" w:space="0"/>
            </w:tcBorders>
            <w:vAlign w:val="center"/>
          </w:tcPr>
          <w:p>
            <w:pPr>
              <w:adjustRightInd w:val="0"/>
              <w:snapToGrid w:val="0"/>
              <w:spacing w:line="380" w:lineRule="exact"/>
              <w:ind w:left="-53" w:leftChars="-25" w:right="-53" w:rightChars="-25"/>
              <w:jc w:val="center"/>
              <w:rPr>
                <w:szCs w:val="21"/>
              </w:rPr>
            </w:pPr>
            <w:r>
              <w:rPr>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98" w:hRule="atLeast"/>
          <w:jc w:val="center"/>
        </w:trPr>
        <w:tc>
          <w:tcPr>
            <w:tcW w:w="1778" w:type="dxa"/>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spacing w:val="-8"/>
                <w:szCs w:val="21"/>
              </w:rPr>
            </w:pPr>
            <w:r>
              <w:rPr>
                <w:spacing w:val="-8"/>
                <w:szCs w:val="21"/>
              </w:rPr>
              <w:t>环境风险</w:t>
            </w:r>
          </w:p>
          <w:p>
            <w:pPr>
              <w:adjustRightInd w:val="0"/>
              <w:snapToGrid w:val="0"/>
              <w:jc w:val="center"/>
              <w:rPr>
                <w:spacing w:val="-8"/>
                <w:szCs w:val="21"/>
              </w:rPr>
            </w:pPr>
            <w:r>
              <w:rPr>
                <w:spacing w:val="-8"/>
                <w:szCs w:val="21"/>
              </w:rPr>
              <w:t>防范措施</w:t>
            </w:r>
          </w:p>
        </w:tc>
        <w:tc>
          <w:tcPr>
            <w:tcW w:w="7022" w:type="dxa"/>
            <w:gridSpan w:val="4"/>
            <w:tcBorders>
              <w:top w:val="single" w:color="auto" w:sz="4" w:space="0"/>
              <w:left w:val="single" w:color="auto" w:sz="4" w:space="0"/>
              <w:bottom w:val="single" w:color="auto" w:sz="4" w:space="0"/>
              <w:right w:val="single" w:color="auto" w:sz="8" w:space="0"/>
            </w:tcBorders>
            <w:vAlign w:val="center"/>
          </w:tcPr>
          <w:p>
            <w:pPr>
              <w:autoSpaceDE w:val="0"/>
              <w:autoSpaceDN w:val="0"/>
              <w:adjustRightInd w:val="0"/>
              <w:spacing w:line="400" w:lineRule="exact"/>
              <w:ind w:firstLine="420" w:firstLineChars="200"/>
              <w:rPr>
                <w:kern w:val="0"/>
              </w:rPr>
            </w:pPr>
            <w:r>
              <w:rPr>
                <w:rFonts w:hint="eastAsia"/>
                <w:kern w:val="0"/>
              </w:rPr>
              <w:t>①采取合适的贮煤场和堆置方式，宜将贮煤场设置在宽敞的区域，周围和堆场下部不得有高温热源，这样可降低煤的氧化速度。</w:t>
            </w:r>
          </w:p>
          <w:p>
            <w:pPr>
              <w:autoSpaceDE w:val="0"/>
              <w:autoSpaceDN w:val="0"/>
              <w:adjustRightInd w:val="0"/>
              <w:spacing w:line="400" w:lineRule="exact"/>
              <w:ind w:firstLine="420" w:firstLineChars="200"/>
              <w:rPr>
                <w:kern w:val="0"/>
              </w:rPr>
            </w:pPr>
            <w:r>
              <w:rPr>
                <w:rFonts w:hint="eastAsia"/>
                <w:kern w:val="0"/>
              </w:rPr>
              <w:t>②为防止煤炭自燃，煤炭贮存时的煤堆形状、堆积角度、堆积高度和堆积时间都要严格选择。煤炭堆积时间不宜过长，无烟煤不要超过4个月，而挥发分高的褐煤，长焰煤、不粘煤等不要超过1个月。</w:t>
            </w:r>
          </w:p>
          <w:p>
            <w:pPr>
              <w:autoSpaceDE w:val="0"/>
              <w:autoSpaceDN w:val="0"/>
              <w:adjustRightInd w:val="0"/>
              <w:spacing w:line="400" w:lineRule="exact"/>
              <w:ind w:firstLine="420" w:firstLineChars="200"/>
              <w:rPr>
                <w:kern w:val="0"/>
              </w:rPr>
            </w:pPr>
            <w:r>
              <w:rPr>
                <w:rFonts w:hint="eastAsia"/>
                <w:kern w:val="0"/>
              </w:rPr>
              <w:t>③堆存时采取分层压实组堆，对防止煤堆的自燃十分有效。适当的喷雾洒水，避免堆煤含水处于自燃的适宜水分含量条件。</w:t>
            </w:r>
          </w:p>
          <w:p>
            <w:pPr>
              <w:autoSpaceDE w:val="0"/>
              <w:autoSpaceDN w:val="0"/>
              <w:adjustRightInd w:val="0"/>
              <w:spacing w:line="400" w:lineRule="exact"/>
              <w:ind w:firstLine="420" w:firstLineChars="200"/>
              <w:rPr>
                <w:kern w:val="0"/>
              </w:rPr>
            </w:pPr>
            <w:r>
              <w:rPr>
                <w:rFonts w:hint="eastAsia"/>
                <w:kern w:val="0"/>
              </w:rPr>
              <w:t>④加强储煤棚管理、巡查，尽早发现自燃征兆并采取处理措施。要加强煤炭贮存监督，主要是监测煤堆内部温度变化，因为煤堆内部温度升高是煤炭自燃放出的热量积聚造成。煤堆内部温度达到60℃时，氧化反应加快，煤炭自燃倾向加大，当温度继续升高到80℃时，煤炭自燃可随时发生。</w:t>
            </w:r>
          </w:p>
          <w:p>
            <w:pPr>
              <w:autoSpaceDE w:val="0"/>
              <w:autoSpaceDN w:val="0"/>
              <w:adjustRightInd w:val="0"/>
              <w:spacing w:line="400" w:lineRule="exact"/>
              <w:ind w:firstLine="420" w:firstLineChars="200"/>
              <w:rPr>
                <w:kern w:val="0"/>
              </w:rPr>
            </w:pPr>
            <w:r>
              <w:rPr>
                <w:rFonts w:hint="eastAsia"/>
                <w:kern w:val="0"/>
              </w:rPr>
              <w:t>⑤煤尘爆炸的风险控制措施主要有：A降低煤尘浓度，在生产过程中应设法减少煤尘的产生量和避免煤尘在空气中悬浮飞扬。主要采取喷雾降尘以及安装通风设备，确保库内空气正常流通，避免造成煤尘积聚。B消除引爆热源，即储煤库内应杜绝各种明火，设置醒目的禁止烟火等标志。加强管理，严禁工作人员在库内吸烟。</w:t>
            </w:r>
          </w:p>
          <w:p>
            <w:pPr>
              <w:autoSpaceDE w:val="0"/>
              <w:autoSpaceDN w:val="0"/>
              <w:adjustRightInd w:val="0"/>
              <w:spacing w:line="400" w:lineRule="exact"/>
              <w:ind w:firstLine="420" w:firstLineChars="200"/>
              <w:rPr>
                <w:kern w:val="0"/>
              </w:rPr>
            </w:pPr>
            <w:r>
              <w:rPr>
                <w:rFonts w:hint="eastAsia"/>
                <w:kern w:val="0"/>
              </w:rPr>
              <w:t>⑥</w:t>
            </w:r>
            <w:r>
              <w:rPr>
                <w:kern w:val="0"/>
              </w:rPr>
              <w:t>按照《建筑灭火器配置设计规范》（GB50140-2005）</w:t>
            </w:r>
            <w:r>
              <w:rPr>
                <w:rFonts w:hint="eastAsia"/>
                <w:kern w:val="0"/>
              </w:rPr>
              <w:t>的</w:t>
            </w:r>
            <w:r>
              <w:rPr>
                <w:kern w:val="0"/>
              </w:rPr>
              <w:t>规定，应配置相应的灭火器，并在火灾危险场所设置报警装置；严禁区内有明火出现。严格执行防火、防爆、防雷击、防毒害等各项要求。</w:t>
            </w:r>
          </w:p>
          <w:p>
            <w:pPr>
              <w:autoSpaceDE w:val="0"/>
              <w:autoSpaceDN w:val="0"/>
              <w:adjustRightInd w:val="0"/>
              <w:spacing w:line="400" w:lineRule="exact"/>
              <w:ind w:firstLine="420" w:firstLineChars="200"/>
              <w:rPr>
                <w:kern w:val="0"/>
              </w:rPr>
            </w:pPr>
            <w:r>
              <w:rPr>
                <w:rFonts w:hint="eastAsia" w:ascii="宋体" w:hAnsi="宋体" w:cs="宋体"/>
                <w:kern w:val="0"/>
              </w:rPr>
              <w:t>⑧废水沉淀池应按照要求，采取水泥防渗措施，避免废水处理池体发生破裂、渗漏。</w:t>
            </w:r>
          </w:p>
          <w:p>
            <w:pPr>
              <w:autoSpaceDE w:val="0"/>
              <w:autoSpaceDN w:val="0"/>
              <w:adjustRightInd w:val="0"/>
              <w:spacing w:line="400" w:lineRule="exact"/>
              <w:ind w:firstLine="420" w:firstLineChars="200"/>
              <w:rPr>
                <w:szCs w:val="21"/>
              </w:rPr>
            </w:pPr>
            <w:r>
              <w:rPr>
                <w:rFonts w:hint="eastAsia"/>
                <w:kern w:val="0"/>
              </w:rPr>
              <w:t>⑨建设单位应</w:t>
            </w:r>
            <w:r>
              <w:rPr>
                <w:kern w:val="0"/>
              </w:rPr>
              <w:t>按照《国家突发环境事件应急预案》（国办函〔2014〕119号）、地方和相关部门的要求，制定符合项目实际需要的应急预案，一旦发生事故，迅速采取有效处理措施进行抢险修复，最大限度降低对周围环境和人民生命财产的危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04" w:hRule="atLeast"/>
          <w:jc w:val="center"/>
        </w:trPr>
        <w:tc>
          <w:tcPr>
            <w:tcW w:w="1778" w:type="dxa"/>
            <w:tcBorders>
              <w:top w:val="single" w:color="auto" w:sz="4" w:space="0"/>
              <w:left w:val="single" w:color="auto" w:sz="8" w:space="0"/>
              <w:bottom w:val="single" w:color="auto" w:sz="8" w:space="0"/>
              <w:right w:val="single" w:color="auto" w:sz="4" w:space="0"/>
            </w:tcBorders>
            <w:vAlign w:val="center"/>
          </w:tcPr>
          <w:p>
            <w:pPr>
              <w:adjustRightInd w:val="0"/>
              <w:snapToGrid w:val="0"/>
              <w:jc w:val="center"/>
              <w:rPr>
                <w:spacing w:val="-8"/>
                <w:szCs w:val="21"/>
              </w:rPr>
            </w:pPr>
            <w:r>
              <w:rPr>
                <w:spacing w:val="-8"/>
                <w:szCs w:val="21"/>
              </w:rPr>
              <w:t>其他环境</w:t>
            </w:r>
          </w:p>
          <w:p>
            <w:pPr>
              <w:adjustRightInd w:val="0"/>
              <w:snapToGrid w:val="0"/>
              <w:jc w:val="center"/>
              <w:rPr>
                <w:spacing w:val="-8"/>
                <w:szCs w:val="21"/>
              </w:rPr>
            </w:pPr>
            <w:r>
              <w:rPr>
                <w:spacing w:val="-8"/>
                <w:szCs w:val="21"/>
              </w:rPr>
              <w:t>管理要求</w:t>
            </w:r>
          </w:p>
        </w:tc>
        <w:tc>
          <w:tcPr>
            <w:tcW w:w="7022" w:type="dxa"/>
            <w:gridSpan w:val="4"/>
            <w:tcBorders>
              <w:top w:val="single" w:color="auto" w:sz="4" w:space="0"/>
              <w:left w:val="single" w:color="auto" w:sz="4" w:space="0"/>
              <w:bottom w:val="single" w:color="auto" w:sz="8" w:space="0"/>
              <w:right w:val="single" w:color="auto" w:sz="8" w:space="0"/>
            </w:tcBorders>
            <w:vAlign w:val="center"/>
          </w:tcPr>
          <w:p>
            <w:pPr>
              <w:adjustRightInd w:val="0"/>
              <w:snapToGrid w:val="0"/>
              <w:ind w:left="-53" w:leftChars="-25" w:right="-53" w:rightChars="-25"/>
              <w:jc w:val="center"/>
              <w:rPr>
                <w:szCs w:val="21"/>
              </w:rPr>
            </w:pPr>
            <w:r>
              <w:rPr>
                <w:szCs w:val="21"/>
              </w:rPr>
              <w:t>无</w:t>
            </w:r>
          </w:p>
          <w:p>
            <w:pPr>
              <w:pStyle w:val="15"/>
              <w:spacing w:after="0" w:line="100" w:lineRule="exact"/>
              <w:jc w:val="left"/>
            </w:pPr>
          </w:p>
          <w:p>
            <w:pPr>
              <w:pStyle w:val="15"/>
              <w:spacing w:after="0" w:line="100" w:lineRule="exact"/>
              <w:jc w:val="left"/>
            </w:pPr>
          </w:p>
        </w:tc>
      </w:tr>
    </w:tbl>
    <w:p>
      <w:pPr>
        <w:pStyle w:val="19"/>
        <w:jc w:val="center"/>
        <w:outlineLvl w:val="0"/>
        <w:rPr>
          <w:rFonts w:ascii="Times New Roman" w:hAnsi="Times New Roman" w:eastAsia="黑体" w:cs="Times New Roman"/>
          <w:snapToGrid w:val="0"/>
          <w:kern w:val="0"/>
          <w:sz w:val="30"/>
          <w:szCs w:val="30"/>
        </w:rPr>
      </w:pPr>
      <w:r>
        <w:rPr>
          <w:rFonts w:ascii="Times New Roman" w:hAnsi="Times New Roman" w:cs="Times New Roman"/>
          <w:snapToGrid w:val="0"/>
          <w:kern w:val="0"/>
          <w:szCs w:val="20"/>
        </w:rPr>
        <w:br w:type="page"/>
      </w:r>
      <w:r>
        <w:rPr>
          <w:rFonts w:ascii="Times New Roman" w:hAnsi="Times New Roman" w:eastAsia="黑体" w:cs="Times New Roman"/>
          <w:snapToGrid w:val="0"/>
          <w:sz w:val="30"/>
          <w:szCs w:val="30"/>
        </w:rPr>
        <w:t>六、结论</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Borders>
              <w:top w:val="single" w:color="auto" w:sz="8" w:space="0"/>
              <w:left w:val="single" w:color="auto" w:sz="8" w:space="0"/>
              <w:bottom w:val="single" w:color="auto" w:sz="8" w:space="0"/>
              <w:right w:val="single" w:color="auto" w:sz="8" w:space="0"/>
            </w:tcBorders>
          </w:tcPr>
          <w:p>
            <w:pPr>
              <w:autoSpaceDE w:val="0"/>
              <w:autoSpaceDN w:val="0"/>
              <w:adjustRightInd w:val="0"/>
              <w:snapToGrid w:val="0"/>
              <w:spacing w:before="120" w:beforeLines="50" w:after="120" w:afterLines="50" w:line="460" w:lineRule="exact"/>
              <w:ind w:firstLine="422" w:firstLineChars="200"/>
              <w:jc w:val="left"/>
              <w:rPr>
                <w:b/>
                <w:kern w:val="0"/>
                <w:szCs w:val="21"/>
              </w:rPr>
            </w:pPr>
            <w:r>
              <w:rPr>
                <w:rFonts w:hint="eastAsia"/>
                <w:b/>
                <w:kern w:val="0"/>
                <w:szCs w:val="21"/>
              </w:rPr>
              <w:t>四川川煤华荣开源贸易有限责任公司</w:t>
            </w:r>
            <w:r>
              <w:rPr>
                <w:b/>
                <w:kern w:val="0"/>
                <w:szCs w:val="21"/>
              </w:rPr>
              <w:t>“川煤开源</w:t>
            </w:r>
            <w:r>
              <w:rPr>
                <w:rFonts w:hint="eastAsia"/>
                <w:b/>
                <w:kern w:val="0"/>
                <w:szCs w:val="21"/>
              </w:rPr>
              <w:t>东岳储煤棚建设项目</w:t>
            </w:r>
            <w:r>
              <w:rPr>
                <w:b/>
                <w:kern w:val="0"/>
                <w:szCs w:val="21"/>
              </w:rPr>
              <w:t>”符合国家产业政策，选址符合园区规划，满足环境准入条件，周围无明显的环境制约因素，平面布置合理可行。本项目拟采取的各项污染防治措施可使污染物达综合利用或达标排放。建设单位只要严格落实本环境影响报告表提出的环保措施，严格执行“三同时”制度，能够最大限度地减轻项目建设对周围环境造成的影响。从环保角度论证，本项目在所选地址建设是可行的。</w:t>
            </w:r>
          </w:p>
          <w:p>
            <w:pPr>
              <w:spacing w:line="360" w:lineRule="auto"/>
              <w:jc w:val="left"/>
              <w:rPr>
                <w:sz w:val="24"/>
              </w:rPr>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tc>
      </w:tr>
    </w:tbl>
    <w:p>
      <w:pPr>
        <w:widowControl/>
        <w:jc w:val="left"/>
        <w:sectPr>
          <w:pgSz w:w="11906" w:h="16838"/>
          <w:pgMar w:top="1701" w:right="1531" w:bottom="1701" w:left="1531" w:header="851" w:footer="1077" w:gutter="0"/>
          <w:pgNumType w:fmt="numberInDash"/>
          <w:cols w:space="720" w:num="1"/>
          <w:docGrid w:linePitch="286" w:charSpace="0"/>
        </w:sectPr>
      </w:pPr>
    </w:p>
    <w:p>
      <w:pPr>
        <w:pStyle w:val="19"/>
        <w:adjustRightInd w:val="0"/>
        <w:snapToGrid w:val="0"/>
        <w:spacing w:before="0" w:beforeAutospacing="0" w:after="0" w:afterAutospacing="0" w:line="480" w:lineRule="auto"/>
        <w:outlineLvl w:val="0"/>
        <w:rPr>
          <w:rFonts w:ascii="Times New Roman" w:hAnsi="Times New Roman" w:eastAsia="黑体" w:cs="Times New Roman"/>
          <w:snapToGrid w:val="0"/>
          <w:kern w:val="0"/>
          <w:sz w:val="32"/>
          <w:szCs w:val="32"/>
        </w:rPr>
      </w:pPr>
      <w:r>
        <w:rPr>
          <w:rFonts w:ascii="Times New Roman" w:hAnsi="Times New Roman" w:eastAsia="黑体" w:cs="Times New Roman"/>
          <w:snapToGrid w:val="0"/>
          <w:sz w:val="32"/>
          <w:szCs w:val="32"/>
        </w:rPr>
        <w:t>附表</w:t>
      </w:r>
    </w:p>
    <w:p>
      <w:pPr>
        <w:pStyle w:val="19"/>
        <w:adjustRightInd w:val="0"/>
        <w:snapToGrid w:val="0"/>
        <w:spacing w:before="0" w:beforeAutospacing="0" w:after="0" w:afterAutospacing="0" w:line="360" w:lineRule="auto"/>
        <w:jc w:val="center"/>
        <w:outlineLvl w:val="0"/>
        <w:rPr>
          <w:rFonts w:ascii="Times New Roman" w:hAnsi="Times New Roman" w:eastAsia="方正小标宋_GBK" w:cs="Times New Roman"/>
          <w:snapToGrid w:val="0"/>
          <w:sz w:val="38"/>
          <w:szCs w:val="38"/>
        </w:rPr>
      </w:pPr>
      <w:r>
        <w:rPr>
          <w:rFonts w:ascii="Times New Roman" w:hAnsi="Times New Roman" w:eastAsia="方正小标宋_GBK" w:cs="Times New Roman"/>
          <w:snapToGrid w:val="0"/>
          <w:sz w:val="38"/>
          <w:szCs w:val="38"/>
        </w:rPr>
        <w:t>建设项目污染物排放量汇总表</w:t>
      </w:r>
    </w:p>
    <w:tbl>
      <w:tblPr>
        <w:tblStyle w:val="21"/>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1415"/>
        <w:gridCol w:w="1698"/>
        <w:gridCol w:w="1274"/>
        <w:gridCol w:w="1698"/>
        <w:gridCol w:w="1556"/>
        <w:gridCol w:w="1758"/>
        <w:gridCol w:w="1496"/>
        <w:gridCol w:w="128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1585" w:type="dxa"/>
            <w:tcBorders>
              <w:top w:val="single" w:color="auto" w:sz="8" w:space="0"/>
              <w:left w:val="single" w:color="auto" w:sz="8" w:space="0"/>
              <w:bottom w:val="single" w:color="auto" w:sz="4" w:space="0"/>
              <w:right w:val="single" w:color="auto" w:sz="4" w:space="0"/>
              <w:tl2br w:val="single" w:color="auto" w:sz="4" w:space="0"/>
            </w:tcBorders>
            <w:tcMar>
              <w:top w:w="0" w:type="dxa"/>
              <w:left w:w="28" w:type="dxa"/>
              <w:bottom w:w="0" w:type="dxa"/>
              <w:right w:w="28" w:type="dxa"/>
            </w:tcMar>
            <w:vAlign w:val="center"/>
          </w:tcPr>
          <w:p>
            <w:pPr>
              <w:pStyle w:val="30"/>
              <w:spacing w:before="31" w:line="360" w:lineRule="exact"/>
              <w:jc w:val="righ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项目</w:t>
            </w:r>
          </w:p>
          <w:p>
            <w:pPr>
              <w:pStyle w:val="30"/>
              <w:spacing w:before="31" w:line="360" w:lineRule="exact"/>
              <w:jc w:val="lef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分类</w:t>
            </w:r>
          </w:p>
        </w:tc>
        <w:tc>
          <w:tcPr>
            <w:tcW w:w="1415"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0"/>
              <w:spacing w:before="31" w:line="360" w:lineRule="exac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污染物名称</w:t>
            </w:r>
          </w:p>
        </w:tc>
        <w:tc>
          <w:tcPr>
            <w:tcW w:w="1698"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0"/>
              <w:spacing w:before="31" w:line="360" w:lineRule="exac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现有工程</w:t>
            </w:r>
          </w:p>
          <w:p>
            <w:pPr>
              <w:pStyle w:val="30"/>
              <w:spacing w:before="31" w:line="360" w:lineRule="exac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排放量（固体废物产生量）</w:t>
            </w:r>
            <w:r>
              <w:rPr>
                <w:rFonts w:ascii="Times New Roman" w:hAnsi="Times New Roman" w:eastAsia="黑体" w:cs="Times New Roman"/>
                <w:snapToGrid w:val="0"/>
                <w:spacing w:val="-6"/>
                <w:kern w:val="21"/>
                <w:szCs w:val="21"/>
              </w:rPr>
              <w:fldChar w:fldCharType="begin"/>
            </w:r>
            <w:r>
              <w:rPr>
                <w:rFonts w:ascii="Times New Roman" w:hAnsi="Times New Roman" w:eastAsia="黑体" w:cs="Times New Roman"/>
                <w:snapToGrid w:val="0"/>
                <w:spacing w:val="-6"/>
                <w:kern w:val="21"/>
                <w:szCs w:val="21"/>
              </w:rPr>
              <w:instrText xml:space="preserve"> = 1 \* GB3 \* MERGEFORMAT </w:instrText>
            </w:r>
            <w:r>
              <w:rPr>
                <w:rFonts w:ascii="Times New Roman" w:hAnsi="Times New Roman" w:eastAsia="黑体" w:cs="Times New Roman"/>
                <w:snapToGrid w:val="0"/>
                <w:spacing w:val="-6"/>
                <w:kern w:val="21"/>
                <w:szCs w:val="21"/>
              </w:rPr>
              <w:fldChar w:fldCharType="separate"/>
            </w:r>
            <w:r>
              <w:rPr>
                <w:rFonts w:hint="eastAsia" w:cs="宋体"/>
                <w:szCs w:val="21"/>
              </w:rPr>
              <w:t>①</w:t>
            </w:r>
            <w:r>
              <w:rPr>
                <w:rFonts w:ascii="Times New Roman" w:hAnsi="Times New Roman" w:eastAsia="黑体" w:cs="Times New Roman"/>
                <w:snapToGrid w:val="0"/>
                <w:spacing w:val="-6"/>
                <w:kern w:val="21"/>
                <w:szCs w:val="21"/>
              </w:rPr>
              <w:fldChar w:fldCharType="end"/>
            </w:r>
          </w:p>
        </w:tc>
        <w:tc>
          <w:tcPr>
            <w:tcW w:w="1274"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0"/>
              <w:spacing w:before="31" w:line="360" w:lineRule="exac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现有工程</w:t>
            </w:r>
          </w:p>
          <w:p>
            <w:pPr>
              <w:pStyle w:val="30"/>
              <w:spacing w:before="31" w:line="360" w:lineRule="exac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许可排放量</w:t>
            </w:r>
          </w:p>
          <w:p>
            <w:pPr>
              <w:pStyle w:val="30"/>
              <w:spacing w:before="31" w:line="360" w:lineRule="exac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fldChar w:fldCharType="begin"/>
            </w:r>
            <w:r>
              <w:rPr>
                <w:rFonts w:ascii="Times New Roman" w:hAnsi="Times New Roman" w:eastAsia="黑体" w:cs="Times New Roman"/>
                <w:snapToGrid w:val="0"/>
                <w:spacing w:val="-6"/>
                <w:kern w:val="21"/>
                <w:szCs w:val="21"/>
              </w:rPr>
              <w:instrText xml:space="preserve"> = 2 \* GB3 \* MERGEFORMAT </w:instrText>
            </w:r>
            <w:r>
              <w:rPr>
                <w:rFonts w:ascii="Times New Roman" w:hAnsi="Times New Roman" w:eastAsia="黑体" w:cs="Times New Roman"/>
                <w:snapToGrid w:val="0"/>
                <w:spacing w:val="-6"/>
                <w:kern w:val="21"/>
                <w:szCs w:val="21"/>
              </w:rPr>
              <w:fldChar w:fldCharType="separate"/>
            </w:r>
            <w:r>
              <w:rPr>
                <w:rFonts w:hint="eastAsia" w:cs="宋体"/>
                <w:snapToGrid w:val="0"/>
                <w:spacing w:val="-6"/>
                <w:kern w:val="21"/>
                <w:szCs w:val="21"/>
              </w:rPr>
              <w:t>②</w:t>
            </w:r>
            <w:r>
              <w:rPr>
                <w:rFonts w:ascii="Times New Roman" w:hAnsi="Times New Roman" w:eastAsia="黑体" w:cs="Times New Roman"/>
                <w:snapToGrid w:val="0"/>
                <w:spacing w:val="-6"/>
                <w:kern w:val="21"/>
                <w:szCs w:val="21"/>
              </w:rPr>
              <w:fldChar w:fldCharType="end"/>
            </w:r>
          </w:p>
        </w:tc>
        <w:tc>
          <w:tcPr>
            <w:tcW w:w="1698"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0"/>
              <w:spacing w:before="31" w:line="360" w:lineRule="exac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在建工程</w:t>
            </w:r>
          </w:p>
          <w:p>
            <w:pPr>
              <w:pStyle w:val="30"/>
              <w:spacing w:before="31" w:line="360" w:lineRule="exac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排放量（固体废物产生量）</w:t>
            </w:r>
            <w:r>
              <w:rPr>
                <w:rFonts w:ascii="Times New Roman" w:hAnsi="Times New Roman" w:eastAsia="黑体" w:cs="Times New Roman"/>
                <w:snapToGrid w:val="0"/>
                <w:spacing w:val="-6"/>
                <w:kern w:val="21"/>
                <w:szCs w:val="21"/>
              </w:rPr>
              <w:fldChar w:fldCharType="begin"/>
            </w:r>
            <w:r>
              <w:rPr>
                <w:rFonts w:ascii="Times New Roman" w:hAnsi="Times New Roman" w:eastAsia="黑体" w:cs="Times New Roman"/>
                <w:snapToGrid w:val="0"/>
                <w:spacing w:val="-6"/>
                <w:kern w:val="21"/>
                <w:szCs w:val="21"/>
              </w:rPr>
              <w:instrText xml:space="preserve"> = 3 \* GB3 \* MERGEFORMAT </w:instrText>
            </w:r>
            <w:r>
              <w:rPr>
                <w:rFonts w:ascii="Times New Roman" w:hAnsi="Times New Roman" w:eastAsia="黑体" w:cs="Times New Roman"/>
                <w:snapToGrid w:val="0"/>
                <w:spacing w:val="-6"/>
                <w:kern w:val="21"/>
                <w:szCs w:val="21"/>
              </w:rPr>
              <w:fldChar w:fldCharType="separate"/>
            </w:r>
            <w:r>
              <w:rPr>
                <w:rFonts w:hint="eastAsia" w:cs="宋体"/>
                <w:szCs w:val="21"/>
              </w:rPr>
              <w:t>③</w:t>
            </w:r>
            <w:r>
              <w:rPr>
                <w:rFonts w:ascii="Times New Roman" w:hAnsi="Times New Roman" w:eastAsia="黑体" w:cs="Times New Roman"/>
                <w:snapToGrid w:val="0"/>
                <w:spacing w:val="-6"/>
                <w:kern w:val="21"/>
                <w:szCs w:val="21"/>
              </w:rPr>
              <w:fldChar w:fldCharType="end"/>
            </w:r>
          </w:p>
        </w:tc>
        <w:tc>
          <w:tcPr>
            <w:tcW w:w="1556"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0"/>
              <w:spacing w:before="31" w:line="360" w:lineRule="exac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本项目</w:t>
            </w:r>
          </w:p>
          <w:p>
            <w:pPr>
              <w:pStyle w:val="30"/>
              <w:spacing w:before="31" w:line="360" w:lineRule="exac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排放量（固体废物产生量）</w:t>
            </w:r>
            <w:r>
              <w:rPr>
                <w:rFonts w:ascii="Times New Roman" w:hAnsi="Times New Roman" w:eastAsia="黑体" w:cs="Times New Roman"/>
                <w:snapToGrid w:val="0"/>
                <w:spacing w:val="-6"/>
                <w:kern w:val="21"/>
                <w:szCs w:val="21"/>
              </w:rPr>
              <w:fldChar w:fldCharType="begin"/>
            </w:r>
            <w:r>
              <w:rPr>
                <w:rFonts w:ascii="Times New Roman" w:hAnsi="Times New Roman" w:eastAsia="黑体" w:cs="Times New Roman"/>
                <w:snapToGrid w:val="0"/>
                <w:spacing w:val="-6"/>
                <w:kern w:val="21"/>
                <w:szCs w:val="21"/>
              </w:rPr>
              <w:instrText xml:space="preserve"> = 4 \* GB3 \* MERGEFORMAT </w:instrText>
            </w:r>
            <w:r>
              <w:rPr>
                <w:rFonts w:ascii="Times New Roman" w:hAnsi="Times New Roman" w:eastAsia="黑体" w:cs="Times New Roman"/>
                <w:snapToGrid w:val="0"/>
                <w:spacing w:val="-6"/>
                <w:kern w:val="21"/>
                <w:szCs w:val="21"/>
              </w:rPr>
              <w:fldChar w:fldCharType="separate"/>
            </w:r>
            <w:r>
              <w:rPr>
                <w:rFonts w:hint="eastAsia" w:cs="宋体"/>
                <w:szCs w:val="21"/>
              </w:rPr>
              <w:t>④</w:t>
            </w:r>
            <w:r>
              <w:rPr>
                <w:rFonts w:ascii="Times New Roman" w:hAnsi="Times New Roman" w:eastAsia="黑体" w:cs="Times New Roman"/>
                <w:snapToGrid w:val="0"/>
                <w:spacing w:val="-6"/>
                <w:kern w:val="21"/>
                <w:szCs w:val="21"/>
              </w:rPr>
              <w:fldChar w:fldCharType="end"/>
            </w:r>
          </w:p>
        </w:tc>
        <w:tc>
          <w:tcPr>
            <w:tcW w:w="1758"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0"/>
              <w:spacing w:before="31" w:line="360" w:lineRule="exact"/>
              <w:rPr>
                <w:rFonts w:ascii="Times New Roman" w:hAnsi="Times New Roman" w:eastAsia="黑体" w:cs="Times New Roman"/>
                <w:snapToGrid w:val="0"/>
                <w:spacing w:val="-16"/>
                <w:kern w:val="21"/>
                <w:szCs w:val="21"/>
              </w:rPr>
            </w:pPr>
            <w:r>
              <w:rPr>
                <w:rFonts w:ascii="Times New Roman" w:hAnsi="Times New Roman" w:eastAsia="黑体" w:cs="Times New Roman"/>
                <w:snapToGrid w:val="0"/>
                <w:spacing w:val="-16"/>
                <w:kern w:val="21"/>
                <w:szCs w:val="21"/>
              </w:rPr>
              <w:t>以新带老削减量</w:t>
            </w:r>
          </w:p>
          <w:p>
            <w:pPr>
              <w:pStyle w:val="30"/>
              <w:spacing w:before="31" w:line="360" w:lineRule="exact"/>
              <w:rPr>
                <w:rFonts w:ascii="Times New Roman" w:hAnsi="Times New Roman" w:eastAsia="黑体" w:cs="Times New Roman"/>
                <w:snapToGrid w:val="0"/>
                <w:spacing w:val="-16"/>
                <w:kern w:val="21"/>
                <w:szCs w:val="21"/>
              </w:rPr>
            </w:pPr>
            <w:r>
              <w:rPr>
                <w:rFonts w:ascii="Times New Roman" w:hAnsi="Times New Roman" w:eastAsia="黑体" w:cs="Times New Roman"/>
                <w:snapToGrid w:val="0"/>
                <w:spacing w:val="-16"/>
                <w:kern w:val="21"/>
                <w:szCs w:val="21"/>
              </w:rPr>
              <w:t>（新建项目不填）</w:t>
            </w:r>
            <w:r>
              <w:rPr>
                <w:rFonts w:ascii="Times New Roman" w:hAnsi="Times New Roman" w:eastAsia="黑体" w:cs="Times New Roman"/>
                <w:snapToGrid w:val="0"/>
                <w:spacing w:val="-16"/>
                <w:kern w:val="21"/>
                <w:szCs w:val="21"/>
              </w:rPr>
              <w:fldChar w:fldCharType="begin"/>
            </w:r>
            <w:r>
              <w:rPr>
                <w:rFonts w:ascii="Times New Roman" w:hAnsi="Times New Roman" w:eastAsia="黑体" w:cs="Times New Roman"/>
                <w:snapToGrid w:val="0"/>
                <w:spacing w:val="-16"/>
                <w:kern w:val="21"/>
                <w:szCs w:val="21"/>
              </w:rPr>
              <w:instrText xml:space="preserve"> = 5 \* GB3 \* MERGEFORMAT </w:instrText>
            </w:r>
            <w:r>
              <w:rPr>
                <w:rFonts w:ascii="Times New Roman" w:hAnsi="Times New Roman" w:eastAsia="黑体" w:cs="Times New Roman"/>
                <w:snapToGrid w:val="0"/>
                <w:spacing w:val="-16"/>
                <w:kern w:val="21"/>
                <w:szCs w:val="21"/>
              </w:rPr>
              <w:fldChar w:fldCharType="separate"/>
            </w:r>
            <w:r>
              <w:rPr>
                <w:rFonts w:hint="eastAsia" w:cs="宋体"/>
                <w:szCs w:val="21"/>
              </w:rPr>
              <w:t>⑤</w:t>
            </w:r>
            <w:r>
              <w:rPr>
                <w:rFonts w:ascii="Times New Roman" w:hAnsi="Times New Roman" w:eastAsia="黑体" w:cs="Times New Roman"/>
                <w:snapToGrid w:val="0"/>
                <w:spacing w:val="-16"/>
                <w:kern w:val="21"/>
                <w:szCs w:val="21"/>
              </w:rPr>
              <w:fldChar w:fldCharType="end"/>
            </w:r>
          </w:p>
        </w:tc>
        <w:tc>
          <w:tcPr>
            <w:tcW w:w="1496"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0"/>
              <w:spacing w:before="31" w:line="360" w:lineRule="exact"/>
              <w:rPr>
                <w:rFonts w:ascii="Times New Roman" w:hAnsi="Times New Roman" w:eastAsia="黑体" w:cs="Times New Roman"/>
                <w:snapToGrid w:val="0"/>
                <w:spacing w:val="-16"/>
                <w:kern w:val="21"/>
                <w:szCs w:val="21"/>
              </w:rPr>
            </w:pPr>
            <w:r>
              <w:rPr>
                <w:rFonts w:ascii="Times New Roman" w:hAnsi="Times New Roman" w:eastAsia="黑体" w:cs="Times New Roman"/>
                <w:snapToGrid w:val="0"/>
                <w:spacing w:val="-16"/>
                <w:kern w:val="21"/>
                <w:szCs w:val="21"/>
              </w:rPr>
              <w:t>本项目建成后</w:t>
            </w:r>
          </w:p>
          <w:p>
            <w:pPr>
              <w:pStyle w:val="30"/>
              <w:spacing w:before="31" w:line="360" w:lineRule="exact"/>
              <w:rPr>
                <w:rFonts w:ascii="Times New Roman" w:hAnsi="Times New Roman" w:eastAsia="黑体" w:cs="Times New Roman"/>
                <w:snapToGrid w:val="0"/>
                <w:spacing w:val="-16"/>
                <w:kern w:val="21"/>
                <w:szCs w:val="21"/>
              </w:rPr>
            </w:pPr>
            <w:r>
              <w:rPr>
                <w:rFonts w:ascii="Times New Roman" w:hAnsi="Times New Roman" w:eastAsia="黑体" w:cs="Times New Roman"/>
                <w:snapToGrid w:val="0"/>
                <w:spacing w:val="-16"/>
                <w:kern w:val="21"/>
                <w:szCs w:val="21"/>
              </w:rPr>
              <w:t>全厂排放量（固体废物产生量）</w:t>
            </w:r>
            <w:r>
              <w:rPr>
                <w:rFonts w:ascii="Times New Roman" w:hAnsi="Times New Roman" w:eastAsia="黑体" w:cs="Times New Roman"/>
                <w:snapToGrid w:val="0"/>
                <w:spacing w:val="-16"/>
                <w:kern w:val="21"/>
                <w:szCs w:val="21"/>
              </w:rPr>
              <w:fldChar w:fldCharType="begin"/>
            </w:r>
            <w:r>
              <w:rPr>
                <w:rFonts w:ascii="Times New Roman" w:hAnsi="Times New Roman" w:eastAsia="黑体" w:cs="Times New Roman"/>
                <w:snapToGrid w:val="0"/>
                <w:spacing w:val="-16"/>
                <w:kern w:val="21"/>
                <w:szCs w:val="21"/>
              </w:rPr>
              <w:instrText xml:space="preserve"> = 6 \* GB3 \* MERGEFORMAT </w:instrText>
            </w:r>
            <w:r>
              <w:rPr>
                <w:rFonts w:ascii="Times New Roman" w:hAnsi="Times New Roman" w:eastAsia="黑体" w:cs="Times New Roman"/>
                <w:snapToGrid w:val="0"/>
                <w:spacing w:val="-16"/>
                <w:kern w:val="21"/>
                <w:szCs w:val="21"/>
              </w:rPr>
              <w:fldChar w:fldCharType="separate"/>
            </w:r>
            <w:r>
              <w:rPr>
                <w:rFonts w:hint="eastAsia" w:cs="宋体"/>
                <w:szCs w:val="21"/>
              </w:rPr>
              <w:t>⑥</w:t>
            </w:r>
            <w:r>
              <w:rPr>
                <w:rFonts w:ascii="Times New Roman" w:hAnsi="Times New Roman" w:eastAsia="黑体" w:cs="Times New Roman"/>
                <w:snapToGrid w:val="0"/>
                <w:spacing w:val="-16"/>
                <w:kern w:val="21"/>
                <w:szCs w:val="21"/>
              </w:rPr>
              <w:fldChar w:fldCharType="end"/>
            </w:r>
          </w:p>
        </w:tc>
        <w:tc>
          <w:tcPr>
            <w:tcW w:w="1284" w:type="dxa"/>
            <w:tcBorders>
              <w:top w:val="single" w:color="auto" w:sz="8" w:space="0"/>
              <w:left w:val="single" w:color="auto" w:sz="4" w:space="0"/>
              <w:bottom w:val="single" w:color="auto" w:sz="4" w:space="0"/>
              <w:right w:val="single" w:color="auto" w:sz="8" w:space="0"/>
            </w:tcBorders>
            <w:tcMar>
              <w:top w:w="0" w:type="dxa"/>
              <w:left w:w="28" w:type="dxa"/>
              <w:bottom w:w="0" w:type="dxa"/>
              <w:right w:w="28" w:type="dxa"/>
            </w:tcMar>
            <w:vAlign w:val="center"/>
          </w:tcPr>
          <w:p>
            <w:pPr>
              <w:pStyle w:val="30"/>
              <w:spacing w:before="31" w:line="360" w:lineRule="exac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变化量</w:t>
            </w:r>
          </w:p>
          <w:p>
            <w:pPr>
              <w:pStyle w:val="30"/>
              <w:spacing w:before="31" w:line="360" w:lineRule="exac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fldChar w:fldCharType="begin"/>
            </w:r>
            <w:r>
              <w:rPr>
                <w:rFonts w:ascii="Times New Roman" w:hAnsi="Times New Roman" w:eastAsia="黑体" w:cs="Times New Roman"/>
                <w:snapToGrid w:val="0"/>
                <w:spacing w:val="-6"/>
                <w:kern w:val="21"/>
                <w:szCs w:val="21"/>
              </w:rPr>
              <w:instrText xml:space="preserve"> = 7 \* GB3 \* MERGEFORMAT </w:instrText>
            </w:r>
            <w:r>
              <w:rPr>
                <w:rFonts w:ascii="Times New Roman" w:hAnsi="Times New Roman" w:eastAsia="黑体" w:cs="Times New Roman"/>
                <w:snapToGrid w:val="0"/>
                <w:spacing w:val="-6"/>
                <w:kern w:val="21"/>
                <w:szCs w:val="21"/>
              </w:rPr>
              <w:fldChar w:fldCharType="separate"/>
            </w:r>
            <w:r>
              <w:rPr>
                <w:rFonts w:hint="eastAsia" w:cs="宋体"/>
                <w:szCs w:val="21"/>
              </w:rPr>
              <w:t>⑦</w:t>
            </w:r>
            <w:r>
              <w:rPr>
                <w:rFonts w:ascii="Times New Roman" w:hAnsi="Times New Roman" w:eastAsia="黑体" w:cs="Times New Roman"/>
                <w:snapToGrid w:val="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 w:hRule="atLeast"/>
        </w:trPr>
        <w:tc>
          <w:tcPr>
            <w:tcW w:w="1585" w:type="dxa"/>
            <w:vMerge w:val="restart"/>
            <w:tcBorders>
              <w:top w:val="single" w:color="auto" w:sz="4" w:space="0"/>
              <w:left w:val="single" w:color="auto" w:sz="8"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r>
              <w:rPr>
                <w:rFonts w:ascii="Times New Roman" w:hAnsi="Times New Roman" w:cs="Times New Roman"/>
                <w:snapToGrid w:val="0"/>
                <w:kern w:val="21"/>
                <w:szCs w:val="21"/>
              </w:rPr>
              <w:t>废气</w:t>
            </w:r>
          </w:p>
        </w:tc>
        <w:tc>
          <w:tcPr>
            <w:tcW w:w="1415"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 w:val="18"/>
                <w:szCs w:val="18"/>
              </w:rPr>
            </w:pPr>
            <w:r>
              <w:rPr>
                <w:rFonts w:ascii="Times New Roman" w:hAnsi="Times New Roman" w:cs="Times New Roman"/>
                <w:snapToGrid w:val="0"/>
                <w:kern w:val="21"/>
                <w:sz w:val="18"/>
                <w:szCs w:val="18"/>
              </w:rPr>
              <w:t>粉尘</w:t>
            </w: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274"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55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r>
              <w:rPr>
                <w:rFonts w:hint="eastAsia"/>
                <w:sz w:val="18"/>
                <w:szCs w:val="18"/>
              </w:rPr>
              <w:t>0.25</w:t>
            </w:r>
            <w:r>
              <w:rPr>
                <w:sz w:val="18"/>
                <w:szCs w:val="18"/>
              </w:rPr>
              <w:t>t/a</w:t>
            </w:r>
          </w:p>
        </w:tc>
        <w:tc>
          <w:tcPr>
            <w:tcW w:w="1758"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p>
        </w:tc>
        <w:tc>
          <w:tcPr>
            <w:tcW w:w="149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r>
              <w:rPr>
                <w:rFonts w:hint="eastAsia"/>
                <w:sz w:val="18"/>
                <w:szCs w:val="18"/>
              </w:rPr>
              <w:t>0.25</w:t>
            </w:r>
            <w:r>
              <w:rPr>
                <w:sz w:val="18"/>
                <w:szCs w:val="18"/>
              </w:rPr>
              <w:t>t/a</w:t>
            </w:r>
          </w:p>
        </w:tc>
        <w:tc>
          <w:tcPr>
            <w:tcW w:w="1284" w:type="dxa"/>
            <w:tcBorders>
              <w:top w:val="single" w:color="auto" w:sz="4" w:space="0"/>
              <w:left w:val="single" w:color="auto" w:sz="4" w:space="0"/>
              <w:bottom w:val="single" w:color="auto" w:sz="4" w:space="0"/>
              <w:right w:val="single" w:color="auto" w:sz="8" w:space="0"/>
            </w:tcBorders>
            <w:vAlign w:val="center"/>
          </w:tcPr>
          <w:p>
            <w:pPr>
              <w:pStyle w:val="30"/>
              <w:spacing w:before="31" w:line="360" w:lineRule="exact"/>
              <w:rPr>
                <w:rFonts w:ascii="Times New Roman" w:hAnsi="Times New Roman" w:cs="Times New Roman"/>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 w:hRule="atLeast"/>
        </w:trPr>
        <w:tc>
          <w:tcPr>
            <w:tcW w:w="1585" w:type="dxa"/>
            <w:vMerge w:val="continue"/>
            <w:tcBorders>
              <w:left w:val="single" w:color="auto" w:sz="8"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415"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 w:val="18"/>
                <w:szCs w:val="18"/>
              </w:rPr>
            </w:pP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274"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55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p>
        </w:tc>
        <w:tc>
          <w:tcPr>
            <w:tcW w:w="1758"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p>
        </w:tc>
        <w:tc>
          <w:tcPr>
            <w:tcW w:w="149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p>
        </w:tc>
        <w:tc>
          <w:tcPr>
            <w:tcW w:w="1284" w:type="dxa"/>
            <w:tcBorders>
              <w:top w:val="single" w:color="auto" w:sz="4" w:space="0"/>
              <w:left w:val="single" w:color="auto" w:sz="4" w:space="0"/>
              <w:bottom w:val="single" w:color="auto" w:sz="4" w:space="0"/>
              <w:right w:val="single" w:color="auto" w:sz="8" w:space="0"/>
            </w:tcBorders>
            <w:vAlign w:val="center"/>
          </w:tcPr>
          <w:p>
            <w:pPr>
              <w:pStyle w:val="30"/>
              <w:spacing w:before="31" w:line="360" w:lineRule="exact"/>
              <w:rPr>
                <w:rFonts w:ascii="Times New Roman" w:hAnsi="Times New Roman" w:cs="Times New Roman"/>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 w:hRule="atLeast"/>
        </w:trPr>
        <w:tc>
          <w:tcPr>
            <w:tcW w:w="1585" w:type="dxa"/>
            <w:vMerge w:val="restart"/>
            <w:tcBorders>
              <w:top w:val="single" w:color="auto" w:sz="4" w:space="0"/>
              <w:left w:val="single" w:color="auto" w:sz="8"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r>
              <w:rPr>
                <w:rFonts w:ascii="Times New Roman" w:hAnsi="Times New Roman" w:cs="Times New Roman"/>
                <w:snapToGrid w:val="0"/>
                <w:kern w:val="21"/>
                <w:szCs w:val="21"/>
              </w:rPr>
              <w:t>废水</w:t>
            </w:r>
          </w:p>
        </w:tc>
        <w:tc>
          <w:tcPr>
            <w:tcW w:w="1415"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 w:val="18"/>
                <w:szCs w:val="18"/>
                <w:vertAlign w:val="subscript"/>
              </w:rPr>
            </w:pPr>
            <w:r>
              <w:rPr>
                <w:rFonts w:ascii="Times New Roman" w:hAnsi="Times New Roman" w:cs="Times New Roman"/>
                <w:snapToGrid w:val="0"/>
                <w:kern w:val="21"/>
                <w:sz w:val="18"/>
                <w:szCs w:val="18"/>
              </w:rPr>
              <w:t>CODcr</w:t>
            </w: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274"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55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r>
              <w:rPr>
                <w:sz w:val="18"/>
                <w:szCs w:val="18"/>
              </w:rPr>
              <w:t>0.</w:t>
            </w:r>
            <w:r>
              <w:rPr>
                <w:rFonts w:hint="eastAsia"/>
                <w:sz w:val="18"/>
                <w:szCs w:val="18"/>
              </w:rPr>
              <w:t>028</w:t>
            </w:r>
            <w:r>
              <w:rPr>
                <w:sz w:val="18"/>
                <w:szCs w:val="18"/>
              </w:rPr>
              <w:t>t/a</w:t>
            </w:r>
          </w:p>
        </w:tc>
        <w:tc>
          <w:tcPr>
            <w:tcW w:w="1758"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p>
        </w:tc>
        <w:tc>
          <w:tcPr>
            <w:tcW w:w="149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r>
              <w:rPr>
                <w:sz w:val="18"/>
                <w:szCs w:val="18"/>
              </w:rPr>
              <w:t>0.</w:t>
            </w:r>
            <w:r>
              <w:rPr>
                <w:rFonts w:hint="eastAsia"/>
                <w:sz w:val="18"/>
                <w:szCs w:val="18"/>
              </w:rPr>
              <w:t>028</w:t>
            </w:r>
            <w:r>
              <w:rPr>
                <w:sz w:val="18"/>
                <w:szCs w:val="18"/>
              </w:rPr>
              <w:t>t/a</w:t>
            </w:r>
          </w:p>
        </w:tc>
        <w:tc>
          <w:tcPr>
            <w:tcW w:w="1284" w:type="dxa"/>
            <w:tcBorders>
              <w:top w:val="single" w:color="auto" w:sz="4" w:space="0"/>
              <w:left w:val="single" w:color="auto" w:sz="4" w:space="0"/>
              <w:bottom w:val="single" w:color="auto" w:sz="4" w:space="0"/>
              <w:right w:val="single" w:color="auto" w:sz="8" w:space="0"/>
            </w:tcBorders>
            <w:vAlign w:val="center"/>
          </w:tcPr>
          <w:p>
            <w:pPr>
              <w:pStyle w:val="30"/>
              <w:spacing w:before="31" w:line="360" w:lineRule="exact"/>
              <w:rPr>
                <w:rFonts w:ascii="Times New Roman" w:hAnsi="Times New Roman" w:cs="Times New Roman"/>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 w:hRule="atLeast"/>
        </w:trPr>
        <w:tc>
          <w:tcPr>
            <w:tcW w:w="1585" w:type="dxa"/>
            <w:vMerge w:val="continue"/>
            <w:tcBorders>
              <w:top w:val="single" w:color="auto" w:sz="4" w:space="0"/>
              <w:left w:val="single" w:color="auto" w:sz="8" w:space="0"/>
              <w:bottom w:val="single" w:color="auto" w:sz="4" w:space="0"/>
              <w:right w:val="single" w:color="auto" w:sz="4" w:space="0"/>
            </w:tcBorders>
            <w:vAlign w:val="center"/>
          </w:tcPr>
          <w:p>
            <w:pPr>
              <w:widowControl/>
              <w:spacing w:line="360" w:lineRule="exact"/>
              <w:jc w:val="left"/>
              <w:rPr>
                <w:snapToGrid w:val="0"/>
                <w:kern w:val="21"/>
                <w:szCs w:val="21"/>
              </w:rPr>
            </w:pPr>
          </w:p>
        </w:tc>
        <w:tc>
          <w:tcPr>
            <w:tcW w:w="1415"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 w:val="18"/>
                <w:szCs w:val="18"/>
              </w:rPr>
            </w:pPr>
            <w:r>
              <w:rPr>
                <w:rFonts w:ascii="Times New Roman" w:hAnsi="Times New Roman" w:cs="Times New Roman"/>
                <w:snapToGrid w:val="0"/>
                <w:kern w:val="21"/>
                <w:sz w:val="18"/>
                <w:szCs w:val="18"/>
              </w:rPr>
              <w:t>NH</w:t>
            </w:r>
            <w:r>
              <w:rPr>
                <w:rFonts w:ascii="Times New Roman" w:hAnsi="Times New Roman" w:cs="Times New Roman"/>
                <w:snapToGrid w:val="0"/>
                <w:kern w:val="21"/>
                <w:sz w:val="18"/>
                <w:szCs w:val="18"/>
                <w:vertAlign w:val="subscript"/>
              </w:rPr>
              <w:t>3</w:t>
            </w:r>
            <w:r>
              <w:rPr>
                <w:rFonts w:ascii="Times New Roman" w:hAnsi="Times New Roman" w:cs="Times New Roman"/>
                <w:snapToGrid w:val="0"/>
                <w:kern w:val="21"/>
                <w:sz w:val="18"/>
                <w:szCs w:val="18"/>
              </w:rPr>
              <w:t>-N</w:t>
            </w: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274"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55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r>
              <w:rPr>
                <w:sz w:val="18"/>
                <w:szCs w:val="18"/>
              </w:rPr>
              <w:t>0.0</w:t>
            </w:r>
            <w:r>
              <w:rPr>
                <w:rFonts w:hint="eastAsia"/>
                <w:sz w:val="18"/>
                <w:szCs w:val="18"/>
              </w:rPr>
              <w:t>028</w:t>
            </w:r>
            <w:r>
              <w:rPr>
                <w:sz w:val="18"/>
                <w:szCs w:val="18"/>
              </w:rPr>
              <w:t>t/a</w:t>
            </w:r>
          </w:p>
        </w:tc>
        <w:tc>
          <w:tcPr>
            <w:tcW w:w="1758"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p>
        </w:tc>
        <w:tc>
          <w:tcPr>
            <w:tcW w:w="149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r>
              <w:rPr>
                <w:sz w:val="18"/>
                <w:szCs w:val="18"/>
              </w:rPr>
              <w:t>0.0</w:t>
            </w:r>
            <w:r>
              <w:rPr>
                <w:rFonts w:hint="eastAsia"/>
                <w:sz w:val="18"/>
                <w:szCs w:val="18"/>
              </w:rPr>
              <w:t>028</w:t>
            </w:r>
            <w:r>
              <w:rPr>
                <w:sz w:val="18"/>
                <w:szCs w:val="18"/>
              </w:rPr>
              <w:t>t/a</w:t>
            </w:r>
          </w:p>
        </w:tc>
        <w:tc>
          <w:tcPr>
            <w:tcW w:w="1284" w:type="dxa"/>
            <w:tcBorders>
              <w:top w:val="single" w:color="auto" w:sz="4" w:space="0"/>
              <w:left w:val="single" w:color="auto" w:sz="4" w:space="0"/>
              <w:bottom w:val="single" w:color="auto" w:sz="4" w:space="0"/>
              <w:right w:val="single" w:color="auto" w:sz="8" w:space="0"/>
            </w:tcBorders>
            <w:vAlign w:val="center"/>
          </w:tcPr>
          <w:p>
            <w:pPr>
              <w:pStyle w:val="30"/>
              <w:spacing w:before="31" w:line="360" w:lineRule="exact"/>
              <w:rPr>
                <w:rFonts w:ascii="Times New Roman" w:hAnsi="Times New Roman" w:cs="Times New Roman"/>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 w:hRule="atLeast"/>
        </w:trPr>
        <w:tc>
          <w:tcPr>
            <w:tcW w:w="1585" w:type="dxa"/>
            <w:vMerge w:val="restart"/>
            <w:tcBorders>
              <w:top w:val="single" w:color="auto" w:sz="4" w:space="0"/>
              <w:left w:val="single" w:color="auto" w:sz="8"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r>
              <w:rPr>
                <w:rFonts w:ascii="Times New Roman" w:hAnsi="Times New Roman" w:cs="Times New Roman"/>
                <w:snapToGrid w:val="0"/>
                <w:kern w:val="21"/>
                <w:szCs w:val="21"/>
              </w:rPr>
              <w:t>一般工业</w:t>
            </w:r>
          </w:p>
          <w:p>
            <w:pPr>
              <w:pStyle w:val="30"/>
              <w:spacing w:before="31" w:line="360" w:lineRule="exact"/>
              <w:rPr>
                <w:rFonts w:ascii="Times New Roman" w:hAnsi="Times New Roman" w:cs="Times New Roman"/>
                <w:snapToGrid w:val="0"/>
                <w:kern w:val="21"/>
                <w:szCs w:val="21"/>
              </w:rPr>
            </w:pPr>
            <w:r>
              <w:rPr>
                <w:rFonts w:ascii="Times New Roman" w:hAnsi="Times New Roman" w:cs="Times New Roman"/>
                <w:snapToGrid w:val="0"/>
                <w:kern w:val="21"/>
                <w:szCs w:val="21"/>
              </w:rPr>
              <w:t>固体废物</w:t>
            </w:r>
          </w:p>
        </w:tc>
        <w:tc>
          <w:tcPr>
            <w:tcW w:w="1415"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r>
              <w:rPr>
                <w:sz w:val="18"/>
                <w:szCs w:val="18"/>
              </w:rPr>
              <w:t>沉渣（煤泥）</w:t>
            </w: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274"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55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r>
              <w:rPr>
                <w:rFonts w:hint="eastAsia"/>
                <w:sz w:val="18"/>
                <w:szCs w:val="18"/>
              </w:rPr>
              <w:t>1.8t/a</w:t>
            </w:r>
          </w:p>
        </w:tc>
        <w:tc>
          <w:tcPr>
            <w:tcW w:w="175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49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r>
              <w:rPr>
                <w:rFonts w:hint="eastAsia"/>
                <w:sz w:val="18"/>
                <w:szCs w:val="18"/>
              </w:rPr>
              <w:t>1.8t/a</w:t>
            </w:r>
          </w:p>
        </w:tc>
        <w:tc>
          <w:tcPr>
            <w:tcW w:w="1284" w:type="dxa"/>
            <w:tcBorders>
              <w:top w:val="single" w:color="auto" w:sz="4" w:space="0"/>
              <w:left w:val="single" w:color="auto" w:sz="4" w:space="0"/>
              <w:bottom w:val="single" w:color="auto" w:sz="4" w:space="0"/>
              <w:right w:val="single" w:color="auto" w:sz="8" w:space="0"/>
            </w:tcBorders>
            <w:vAlign w:val="center"/>
          </w:tcPr>
          <w:p>
            <w:pPr>
              <w:pStyle w:val="30"/>
              <w:spacing w:before="31" w:line="360" w:lineRule="exact"/>
              <w:rPr>
                <w:rFonts w:ascii="Times New Roman" w:hAnsi="Times New Roman" w:cs="Times New Roman"/>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 w:hRule="atLeast"/>
        </w:trPr>
        <w:tc>
          <w:tcPr>
            <w:tcW w:w="1585" w:type="dxa"/>
            <w:vMerge w:val="continue"/>
            <w:tcBorders>
              <w:top w:val="single" w:color="auto" w:sz="4" w:space="0"/>
              <w:left w:val="single" w:color="auto" w:sz="8"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274"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55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p>
        </w:tc>
        <w:tc>
          <w:tcPr>
            <w:tcW w:w="175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49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p>
        </w:tc>
        <w:tc>
          <w:tcPr>
            <w:tcW w:w="1284" w:type="dxa"/>
            <w:tcBorders>
              <w:top w:val="single" w:color="auto" w:sz="4" w:space="0"/>
              <w:left w:val="single" w:color="auto" w:sz="4" w:space="0"/>
              <w:bottom w:val="single" w:color="auto" w:sz="4" w:space="0"/>
              <w:right w:val="single" w:color="auto" w:sz="8" w:space="0"/>
            </w:tcBorders>
            <w:vAlign w:val="center"/>
          </w:tcPr>
          <w:p>
            <w:pPr>
              <w:pStyle w:val="30"/>
              <w:spacing w:before="31" w:line="360" w:lineRule="exact"/>
              <w:rPr>
                <w:rFonts w:ascii="Times New Roman" w:hAnsi="Times New Roman" w:cs="Times New Roman"/>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 w:hRule="atLeast"/>
        </w:trPr>
        <w:tc>
          <w:tcPr>
            <w:tcW w:w="1585" w:type="dxa"/>
            <w:vMerge w:val="continue"/>
            <w:tcBorders>
              <w:top w:val="single" w:color="auto" w:sz="4" w:space="0"/>
              <w:left w:val="single" w:color="auto" w:sz="8"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274"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55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p>
        </w:tc>
        <w:tc>
          <w:tcPr>
            <w:tcW w:w="175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49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p>
        </w:tc>
        <w:tc>
          <w:tcPr>
            <w:tcW w:w="1284" w:type="dxa"/>
            <w:tcBorders>
              <w:top w:val="single" w:color="auto" w:sz="4" w:space="0"/>
              <w:left w:val="single" w:color="auto" w:sz="4" w:space="0"/>
              <w:bottom w:val="single" w:color="auto" w:sz="4" w:space="0"/>
              <w:right w:val="single" w:color="auto" w:sz="8" w:space="0"/>
            </w:tcBorders>
            <w:vAlign w:val="center"/>
          </w:tcPr>
          <w:p>
            <w:pPr>
              <w:pStyle w:val="30"/>
              <w:spacing w:before="31" w:line="360" w:lineRule="exact"/>
              <w:rPr>
                <w:rFonts w:ascii="Times New Roman" w:hAnsi="Times New Roman" w:cs="Times New Roman"/>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 w:hRule="atLeast"/>
        </w:trPr>
        <w:tc>
          <w:tcPr>
            <w:tcW w:w="1585" w:type="dxa"/>
            <w:vMerge w:val="continue"/>
            <w:tcBorders>
              <w:top w:val="single" w:color="auto" w:sz="4" w:space="0"/>
              <w:left w:val="single" w:color="auto" w:sz="8"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274"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55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p>
        </w:tc>
        <w:tc>
          <w:tcPr>
            <w:tcW w:w="175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49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p>
        </w:tc>
        <w:tc>
          <w:tcPr>
            <w:tcW w:w="1284" w:type="dxa"/>
            <w:tcBorders>
              <w:top w:val="single" w:color="auto" w:sz="4" w:space="0"/>
              <w:left w:val="single" w:color="auto" w:sz="4" w:space="0"/>
              <w:bottom w:val="single" w:color="auto" w:sz="4" w:space="0"/>
              <w:right w:val="single" w:color="auto" w:sz="8" w:space="0"/>
            </w:tcBorders>
            <w:vAlign w:val="center"/>
          </w:tcPr>
          <w:p>
            <w:pPr>
              <w:pStyle w:val="30"/>
              <w:spacing w:before="31" w:line="360" w:lineRule="exact"/>
              <w:rPr>
                <w:rFonts w:ascii="Times New Roman" w:hAnsi="Times New Roman" w:cs="Times New Roman"/>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 w:hRule="atLeast"/>
        </w:trPr>
        <w:tc>
          <w:tcPr>
            <w:tcW w:w="1585" w:type="dxa"/>
            <w:vMerge w:val="restart"/>
            <w:tcBorders>
              <w:top w:val="single" w:color="auto" w:sz="4" w:space="0"/>
              <w:left w:val="single" w:color="auto" w:sz="8" w:space="0"/>
              <w:bottom w:val="single" w:color="auto" w:sz="8"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r>
              <w:rPr>
                <w:rFonts w:ascii="Times New Roman" w:hAnsi="Times New Roman" w:cs="Times New Roman"/>
                <w:snapToGrid w:val="0"/>
                <w:kern w:val="21"/>
                <w:szCs w:val="21"/>
              </w:rPr>
              <w:t>危险废物</w:t>
            </w:r>
          </w:p>
        </w:tc>
        <w:tc>
          <w:tcPr>
            <w:tcW w:w="1415" w:type="dxa"/>
            <w:tcBorders>
              <w:top w:val="single" w:color="auto" w:sz="4" w:space="0"/>
              <w:left w:val="single" w:color="auto" w:sz="4" w:space="0"/>
              <w:bottom w:val="single" w:color="auto" w:sz="4" w:space="0"/>
              <w:right w:val="single" w:color="auto" w:sz="4" w:space="0"/>
            </w:tcBorders>
          </w:tcPr>
          <w:p>
            <w:pPr>
              <w:spacing w:line="360" w:lineRule="exact"/>
              <w:ind w:left="-105" w:leftChars="-50" w:right="-105" w:rightChars="-50"/>
              <w:jc w:val="center"/>
              <w:rPr>
                <w:sz w:val="18"/>
                <w:szCs w:val="18"/>
              </w:rPr>
            </w:pP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274"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556" w:type="dxa"/>
            <w:tcBorders>
              <w:top w:val="single" w:color="auto" w:sz="4" w:space="0"/>
              <w:left w:val="single" w:color="auto" w:sz="4" w:space="0"/>
              <w:bottom w:val="single" w:color="auto" w:sz="4" w:space="0"/>
              <w:right w:val="single" w:color="auto" w:sz="4" w:space="0"/>
            </w:tcBorders>
          </w:tcPr>
          <w:p>
            <w:pPr>
              <w:spacing w:line="360" w:lineRule="exact"/>
              <w:ind w:right="-105" w:rightChars="-50"/>
              <w:jc w:val="center"/>
              <w:rPr>
                <w:sz w:val="18"/>
                <w:szCs w:val="18"/>
              </w:rPr>
            </w:pPr>
          </w:p>
        </w:tc>
        <w:tc>
          <w:tcPr>
            <w:tcW w:w="175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496" w:type="dxa"/>
            <w:tcBorders>
              <w:top w:val="single" w:color="auto" w:sz="4" w:space="0"/>
              <w:left w:val="single" w:color="auto" w:sz="4" w:space="0"/>
              <w:bottom w:val="single" w:color="auto" w:sz="4" w:space="0"/>
              <w:right w:val="single" w:color="auto" w:sz="4" w:space="0"/>
            </w:tcBorders>
          </w:tcPr>
          <w:p>
            <w:pPr>
              <w:spacing w:line="360" w:lineRule="exact"/>
              <w:ind w:right="-105" w:rightChars="-50"/>
              <w:jc w:val="center"/>
              <w:rPr>
                <w:sz w:val="18"/>
                <w:szCs w:val="18"/>
              </w:rPr>
            </w:pPr>
          </w:p>
        </w:tc>
        <w:tc>
          <w:tcPr>
            <w:tcW w:w="1284" w:type="dxa"/>
            <w:tcBorders>
              <w:top w:val="single" w:color="auto" w:sz="4" w:space="0"/>
              <w:left w:val="single" w:color="auto" w:sz="4" w:space="0"/>
              <w:bottom w:val="single" w:color="auto" w:sz="4" w:space="0"/>
              <w:right w:val="single" w:color="auto" w:sz="8" w:space="0"/>
            </w:tcBorders>
            <w:vAlign w:val="center"/>
          </w:tcPr>
          <w:p>
            <w:pPr>
              <w:pStyle w:val="30"/>
              <w:spacing w:before="31" w:line="360" w:lineRule="exact"/>
              <w:rPr>
                <w:rFonts w:ascii="Times New Roman" w:hAnsi="Times New Roman" w:cs="Times New Roman"/>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1585" w:type="dxa"/>
            <w:vMerge w:val="continue"/>
            <w:tcBorders>
              <w:top w:val="single" w:color="auto" w:sz="4" w:space="0"/>
              <w:left w:val="single" w:color="auto" w:sz="8" w:space="0"/>
              <w:bottom w:val="single" w:color="auto" w:sz="8" w:space="0"/>
              <w:right w:val="single" w:color="auto" w:sz="4" w:space="0"/>
            </w:tcBorders>
            <w:vAlign w:val="center"/>
          </w:tcPr>
          <w:p>
            <w:pPr>
              <w:widowControl/>
              <w:spacing w:line="360" w:lineRule="exact"/>
              <w:jc w:val="left"/>
              <w:rPr>
                <w:snapToGrid w:val="0"/>
                <w:kern w:val="21"/>
                <w:szCs w:val="21"/>
              </w:rPr>
            </w:pPr>
          </w:p>
        </w:tc>
        <w:tc>
          <w:tcPr>
            <w:tcW w:w="1415" w:type="dxa"/>
            <w:tcBorders>
              <w:top w:val="single" w:color="auto" w:sz="4" w:space="0"/>
              <w:left w:val="single" w:color="auto" w:sz="4" w:space="0"/>
              <w:bottom w:val="single" w:color="auto" w:sz="8" w:space="0"/>
              <w:right w:val="single" w:color="auto" w:sz="4" w:space="0"/>
            </w:tcBorders>
          </w:tcPr>
          <w:p>
            <w:pPr>
              <w:spacing w:line="360" w:lineRule="exact"/>
              <w:ind w:left="-105" w:leftChars="-50" w:right="-105" w:rightChars="-50"/>
              <w:jc w:val="center"/>
              <w:rPr>
                <w:sz w:val="18"/>
                <w:szCs w:val="18"/>
              </w:rPr>
            </w:pPr>
          </w:p>
        </w:tc>
        <w:tc>
          <w:tcPr>
            <w:tcW w:w="1698" w:type="dxa"/>
            <w:tcBorders>
              <w:top w:val="single" w:color="auto" w:sz="4" w:space="0"/>
              <w:left w:val="single" w:color="auto" w:sz="4" w:space="0"/>
              <w:bottom w:val="single" w:color="auto" w:sz="8"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274" w:type="dxa"/>
            <w:tcBorders>
              <w:top w:val="single" w:color="auto" w:sz="4" w:space="0"/>
              <w:left w:val="single" w:color="auto" w:sz="4" w:space="0"/>
              <w:bottom w:val="single" w:color="auto" w:sz="8"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698" w:type="dxa"/>
            <w:tcBorders>
              <w:top w:val="single" w:color="auto" w:sz="4" w:space="0"/>
              <w:left w:val="single" w:color="auto" w:sz="4" w:space="0"/>
              <w:bottom w:val="single" w:color="auto" w:sz="8"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556" w:type="dxa"/>
            <w:tcBorders>
              <w:top w:val="single" w:color="auto" w:sz="4" w:space="0"/>
              <w:left w:val="single" w:color="auto" w:sz="4" w:space="0"/>
              <w:bottom w:val="single" w:color="auto" w:sz="8" w:space="0"/>
              <w:right w:val="single" w:color="auto" w:sz="4" w:space="0"/>
            </w:tcBorders>
          </w:tcPr>
          <w:p>
            <w:pPr>
              <w:spacing w:line="360" w:lineRule="exact"/>
              <w:ind w:right="-105" w:rightChars="-50"/>
              <w:jc w:val="center"/>
              <w:rPr>
                <w:sz w:val="18"/>
                <w:szCs w:val="18"/>
              </w:rPr>
            </w:pPr>
          </w:p>
        </w:tc>
        <w:tc>
          <w:tcPr>
            <w:tcW w:w="1758" w:type="dxa"/>
            <w:tcBorders>
              <w:top w:val="single" w:color="auto" w:sz="4" w:space="0"/>
              <w:left w:val="single" w:color="auto" w:sz="4" w:space="0"/>
              <w:bottom w:val="single" w:color="auto" w:sz="8"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496" w:type="dxa"/>
            <w:tcBorders>
              <w:top w:val="single" w:color="auto" w:sz="4" w:space="0"/>
              <w:left w:val="single" w:color="auto" w:sz="4" w:space="0"/>
              <w:bottom w:val="single" w:color="auto" w:sz="8" w:space="0"/>
              <w:right w:val="single" w:color="auto" w:sz="4" w:space="0"/>
            </w:tcBorders>
          </w:tcPr>
          <w:p>
            <w:pPr>
              <w:spacing w:line="360" w:lineRule="exact"/>
              <w:ind w:right="-105" w:rightChars="-50"/>
              <w:jc w:val="center"/>
              <w:rPr>
                <w:sz w:val="18"/>
                <w:szCs w:val="18"/>
              </w:rPr>
            </w:pPr>
          </w:p>
        </w:tc>
        <w:tc>
          <w:tcPr>
            <w:tcW w:w="1284" w:type="dxa"/>
            <w:tcBorders>
              <w:top w:val="single" w:color="auto" w:sz="4" w:space="0"/>
              <w:left w:val="single" w:color="auto" w:sz="4" w:space="0"/>
              <w:bottom w:val="single" w:color="auto" w:sz="8" w:space="0"/>
              <w:right w:val="single" w:color="auto" w:sz="8" w:space="0"/>
            </w:tcBorders>
            <w:vAlign w:val="center"/>
          </w:tcPr>
          <w:p>
            <w:pPr>
              <w:pStyle w:val="30"/>
              <w:spacing w:before="31" w:line="360" w:lineRule="exact"/>
              <w:rPr>
                <w:rFonts w:ascii="Times New Roman" w:hAnsi="Times New Roman" w:cs="Times New Roman"/>
                <w:snapToGrid w:val="0"/>
                <w:kern w:val="21"/>
                <w:szCs w:val="21"/>
              </w:rPr>
            </w:pPr>
          </w:p>
        </w:tc>
      </w:tr>
    </w:tbl>
    <w:p>
      <w:pPr>
        <w:pStyle w:val="30"/>
        <w:spacing w:before="249" w:beforeLines="80" w:after="24"/>
        <w:jc w:val="left"/>
      </w:pPr>
      <w:r>
        <w:rPr>
          <w:rFonts w:ascii="Times New Roman" w:hAnsi="Times New Roman" w:cs="Times New Roman"/>
          <w:snapToGrid w:val="0"/>
          <w:kern w:val="21"/>
          <w:szCs w:val="21"/>
        </w:rPr>
        <w:t>注：</w:t>
      </w:r>
      <w:r>
        <w:rPr>
          <w:rFonts w:ascii="Times New Roman" w:hAnsi="Times New Roman" w:cs="Times New Roman"/>
          <w:snapToGrid w:val="0"/>
          <w:spacing w:val="-16"/>
          <w:kern w:val="21"/>
          <w:szCs w:val="21"/>
        </w:rPr>
        <w:fldChar w:fldCharType="begin"/>
      </w:r>
      <w:r>
        <w:rPr>
          <w:rFonts w:ascii="Times New Roman" w:hAnsi="Times New Roman" w:cs="Times New Roman"/>
          <w:snapToGrid w:val="0"/>
          <w:spacing w:val="-16"/>
          <w:kern w:val="21"/>
          <w:szCs w:val="21"/>
        </w:rPr>
        <w:instrText xml:space="preserve"> = 6 \* GB3 \* MERGEFORMAT </w:instrText>
      </w:r>
      <w:r>
        <w:rPr>
          <w:rFonts w:ascii="Times New Roman" w:hAnsi="Times New Roman" w:cs="Times New Roman"/>
          <w:snapToGrid w:val="0"/>
          <w:spacing w:val="-16"/>
          <w:kern w:val="21"/>
          <w:szCs w:val="21"/>
        </w:rPr>
        <w:fldChar w:fldCharType="separate"/>
      </w:r>
      <w:r>
        <w:rPr>
          <w:rFonts w:hint="eastAsia" w:cs="宋体"/>
          <w:szCs w:val="21"/>
        </w:rPr>
        <w:t>⑥</w:t>
      </w:r>
      <w:r>
        <w:rPr>
          <w:rFonts w:ascii="Times New Roman" w:hAnsi="Times New Roman" w:cs="Times New Roman"/>
          <w:snapToGrid w:val="0"/>
          <w:spacing w:val="-16"/>
          <w:kern w:val="21"/>
          <w:szCs w:val="21"/>
        </w:rPr>
        <w:fldChar w:fldCharType="end"/>
      </w:r>
      <w:r>
        <w:rPr>
          <w:rFonts w:ascii="Times New Roman" w:hAnsi="Times New Roman" w:cs="Times New Roman"/>
          <w:snapToGrid w:val="0"/>
          <w:spacing w:val="-16"/>
          <w:kern w:val="21"/>
          <w:szCs w:val="21"/>
        </w:rPr>
        <w:t>=</w:t>
      </w:r>
      <w:r>
        <w:rPr>
          <w:rFonts w:ascii="Times New Roman" w:hAnsi="Times New Roman" w:cs="Times New Roman"/>
          <w:snapToGrid w:val="0"/>
          <w:spacing w:val="-6"/>
          <w:kern w:val="21"/>
          <w:szCs w:val="21"/>
        </w:rPr>
        <w:fldChar w:fldCharType="begin"/>
      </w:r>
      <w:r>
        <w:rPr>
          <w:rFonts w:ascii="Times New Roman" w:hAnsi="Times New Roman" w:cs="Times New Roman"/>
          <w:snapToGrid w:val="0"/>
          <w:spacing w:val="-6"/>
          <w:kern w:val="21"/>
          <w:szCs w:val="21"/>
        </w:rPr>
        <w:instrText xml:space="preserve"> = 1 \* GB3 \* MERGEFORMAT </w:instrText>
      </w:r>
      <w:r>
        <w:rPr>
          <w:rFonts w:ascii="Times New Roman" w:hAnsi="Times New Roman" w:cs="Times New Roman"/>
          <w:snapToGrid w:val="0"/>
          <w:spacing w:val="-6"/>
          <w:kern w:val="21"/>
          <w:szCs w:val="21"/>
        </w:rPr>
        <w:fldChar w:fldCharType="separate"/>
      </w:r>
      <w:r>
        <w:rPr>
          <w:rFonts w:hint="eastAsia" w:cs="宋体"/>
          <w:szCs w:val="21"/>
        </w:rPr>
        <w:t>①</w:t>
      </w:r>
      <w:r>
        <w:rPr>
          <w:rFonts w:ascii="Times New Roman" w:hAnsi="Times New Roman" w:cs="Times New Roman"/>
          <w:snapToGrid w:val="0"/>
          <w:spacing w:val="-6"/>
          <w:kern w:val="21"/>
          <w:szCs w:val="21"/>
        </w:rPr>
        <w:fldChar w:fldCharType="end"/>
      </w:r>
      <w:r>
        <w:rPr>
          <w:rFonts w:ascii="Times New Roman" w:hAnsi="Times New Roman" w:cs="Times New Roman"/>
          <w:snapToGrid w:val="0"/>
          <w:spacing w:val="-6"/>
          <w:kern w:val="21"/>
          <w:szCs w:val="21"/>
        </w:rPr>
        <w:t>+</w:t>
      </w:r>
      <w:r>
        <w:rPr>
          <w:rFonts w:ascii="Times New Roman" w:hAnsi="Times New Roman" w:cs="Times New Roman"/>
          <w:snapToGrid w:val="0"/>
          <w:spacing w:val="-6"/>
          <w:kern w:val="21"/>
          <w:szCs w:val="21"/>
        </w:rPr>
        <w:fldChar w:fldCharType="begin"/>
      </w:r>
      <w:r>
        <w:rPr>
          <w:rFonts w:ascii="Times New Roman" w:hAnsi="Times New Roman" w:cs="Times New Roman"/>
          <w:snapToGrid w:val="0"/>
          <w:spacing w:val="-6"/>
          <w:kern w:val="21"/>
          <w:szCs w:val="21"/>
        </w:rPr>
        <w:instrText xml:space="preserve"> = 3 \* GB3 \* MERGEFORMAT </w:instrText>
      </w:r>
      <w:r>
        <w:rPr>
          <w:rFonts w:ascii="Times New Roman" w:hAnsi="Times New Roman" w:cs="Times New Roman"/>
          <w:snapToGrid w:val="0"/>
          <w:spacing w:val="-6"/>
          <w:kern w:val="21"/>
          <w:szCs w:val="21"/>
        </w:rPr>
        <w:fldChar w:fldCharType="separate"/>
      </w:r>
      <w:r>
        <w:rPr>
          <w:rFonts w:hint="eastAsia" w:cs="宋体"/>
          <w:szCs w:val="21"/>
        </w:rPr>
        <w:t>③</w:t>
      </w:r>
      <w:r>
        <w:rPr>
          <w:rFonts w:ascii="Times New Roman" w:hAnsi="Times New Roman" w:cs="Times New Roman"/>
          <w:snapToGrid w:val="0"/>
          <w:spacing w:val="-6"/>
          <w:kern w:val="21"/>
          <w:szCs w:val="21"/>
        </w:rPr>
        <w:fldChar w:fldCharType="end"/>
      </w:r>
      <w:r>
        <w:rPr>
          <w:rFonts w:ascii="Times New Roman" w:hAnsi="Times New Roman" w:cs="Times New Roman"/>
          <w:snapToGrid w:val="0"/>
          <w:spacing w:val="-6"/>
          <w:kern w:val="21"/>
          <w:szCs w:val="21"/>
        </w:rPr>
        <w:t>+</w:t>
      </w:r>
      <w:r>
        <w:rPr>
          <w:rFonts w:ascii="Times New Roman" w:hAnsi="Times New Roman" w:cs="Times New Roman"/>
          <w:snapToGrid w:val="0"/>
          <w:spacing w:val="-6"/>
          <w:kern w:val="21"/>
          <w:szCs w:val="21"/>
        </w:rPr>
        <w:fldChar w:fldCharType="begin"/>
      </w:r>
      <w:r>
        <w:rPr>
          <w:rFonts w:ascii="Times New Roman" w:hAnsi="Times New Roman" w:cs="Times New Roman"/>
          <w:snapToGrid w:val="0"/>
          <w:spacing w:val="-6"/>
          <w:kern w:val="21"/>
          <w:szCs w:val="21"/>
        </w:rPr>
        <w:instrText xml:space="preserve"> = 4 \* GB3 \* MERGEFORMAT </w:instrText>
      </w:r>
      <w:r>
        <w:rPr>
          <w:rFonts w:ascii="Times New Roman" w:hAnsi="Times New Roman" w:cs="Times New Roman"/>
          <w:snapToGrid w:val="0"/>
          <w:spacing w:val="-6"/>
          <w:kern w:val="21"/>
          <w:szCs w:val="21"/>
        </w:rPr>
        <w:fldChar w:fldCharType="separate"/>
      </w:r>
      <w:r>
        <w:rPr>
          <w:rFonts w:hint="eastAsia" w:cs="宋体"/>
          <w:szCs w:val="21"/>
        </w:rPr>
        <w:t>④</w:t>
      </w:r>
      <w:r>
        <w:rPr>
          <w:rFonts w:ascii="Times New Roman" w:hAnsi="Times New Roman" w:cs="Times New Roman"/>
          <w:snapToGrid w:val="0"/>
          <w:spacing w:val="-6"/>
          <w:kern w:val="21"/>
          <w:szCs w:val="21"/>
        </w:rPr>
        <w:fldChar w:fldCharType="end"/>
      </w:r>
      <w:r>
        <w:rPr>
          <w:rFonts w:ascii="Times New Roman" w:hAnsi="Times New Roman" w:cs="Times New Roman"/>
          <w:snapToGrid w:val="0"/>
          <w:spacing w:val="-6"/>
          <w:kern w:val="21"/>
          <w:szCs w:val="21"/>
        </w:rPr>
        <w:t>-</w:t>
      </w:r>
      <w:r>
        <w:rPr>
          <w:rFonts w:ascii="Times New Roman" w:hAnsi="Times New Roman" w:cs="Times New Roman"/>
          <w:snapToGrid w:val="0"/>
          <w:spacing w:val="-16"/>
          <w:kern w:val="21"/>
          <w:szCs w:val="21"/>
        </w:rPr>
        <w:fldChar w:fldCharType="begin"/>
      </w:r>
      <w:r>
        <w:rPr>
          <w:rFonts w:ascii="Times New Roman" w:hAnsi="Times New Roman" w:cs="Times New Roman"/>
          <w:snapToGrid w:val="0"/>
          <w:spacing w:val="-16"/>
          <w:kern w:val="21"/>
          <w:szCs w:val="21"/>
        </w:rPr>
        <w:instrText xml:space="preserve"> = 5 \* GB3 \* MERGEFORMAT </w:instrText>
      </w:r>
      <w:r>
        <w:rPr>
          <w:rFonts w:ascii="Times New Roman" w:hAnsi="Times New Roman" w:cs="Times New Roman"/>
          <w:snapToGrid w:val="0"/>
          <w:spacing w:val="-16"/>
          <w:kern w:val="21"/>
          <w:szCs w:val="21"/>
        </w:rPr>
        <w:fldChar w:fldCharType="separate"/>
      </w:r>
      <w:r>
        <w:rPr>
          <w:rFonts w:hint="eastAsia" w:cs="宋体"/>
          <w:szCs w:val="21"/>
        </w:rPr>
        <w:t>⑤</w:t>
      </w:r>
      <w:r>
        <w:rPr>
          <w:rFonts w:ascii="Times New Roman" w:hAnsi="Times New Roman" w:cs="Times New Roman"/>
          <w:snapToGrid w:val="0"/>
          <w:spacing w:val="-16"/>
          <w:kern w:val="21"/>
          <w:szCs w:val="21"/>
        </w:rPr>
        <w:fldChar w:fldCharType="end"/>
      </w:r>
      <w:r>
        <w:rPr>
          <w:rFonts w:ascii="Times New Roman" w:hAnsi="Times New Roman" w:cs="Times New Roman"/>
          <w:snapToGrid w:val="0"/>
          <w:spacing w:val="-16"/>
          <w:kern w:val="21"/>
          <w:szCs w:val="21"/>
        </w:rPr>
        <w:t>；</w:t>
      </w:r>
      <w:r>
        <w:rPr>
          <w:rFonts w:ascii="Times New Roman" w:hAnsi="Times New Roman" w:cs="Times New Roman"/>
          <w:snapToGrid w:val="0"/>
          <w:spacing w:val="-6"/>
          <w:kern w:val="21"/>
          <w:szCs w:val="21"/>
        </w:rPr>
        <w:fldChar w:fldCharType="begin"/>
      </w:r>
      <w:r>
        <w:rPr>
          <w:rFonts w:ascii="Times New Roman" w:hAnsi="Times New Roman" w:cs="Times New Roman"/>
          <w:snapToGrid w:val="0"/>
          <w:spacing w:val="-6"/>
          <w:kern w:val="21"/>
          <w:szCs w:val="21"/>
        </w:rPr>
        <w:instrText xml:space="preserve"> = 7 \* GB3 \* MERGEFORMAT </w:instrText>
      </w:r>
      <w:r>
        <w:rPr>
          <w:rFonts w:ascii="Times New Roman" w:hAnsi="Times New Roman" w:cs="Times New Roman"/>
          <w:snapToGrid w:val="0"/>
          <w:spacing w:val="-6"/>
          <w:kern w:val="21"/>
          <w:szCs w:val="21"/>
        </w:rPr>
        <w:fldChar w:fldCharType="separate"/>
      </w:r>
      <w:r>
        <w:rPr>
          <w:rFonts w:hint="eastAsia" w:cs="宋体"/>
          <w:szCs w:val="21"/>
        </w:rPr>
        <w:t>⑦</w:t>
      </w:r>
      <w:r>
        <w:rPr>
          <w:rFonts w:ascii="Times New Roman" w:hAnsi="Times New Roman" w:cs="Times New Roman"/>
          <w:snapToGrid w:val="0"/>
          <w:spacing w:val="-6"/>
          <w:kern w:val="21"/>
          <w:szCs w:val="21"/>
        </w:rPr>
        <w:fldChar w:fldCharType="end"/>
      </w:r>
      <w:r>
        <w:rPr>
          <w:rFonts w:ascii="Times New Roman" w:hAnsi="Times New Roman" w:cs="Times New Roman"/>
          <w:snapToGrid w:val="0"/>
          <w:spacing w:val="-6"/>
          <w:kern w:val="21"/>
          <w:szCs w:val="21"/>
        </w:rPr>
        <w:t>=</w:t>
      </w:r>
      <w:r>
        <w:rPr>
          <w:rFonts w:ascii="Times New Roman" w:hAnsi="Times New Roman" w:cs="Times New Roman"/>
          <w:snapToGrid w:val="0"/>
          <w:spacing w:val="-16"/>
          <w:kern w:val="21"/>
          <w:szCs w:val="21"/>
        </w:rPr>
        <w:fldChar w:fldCharType="begin"/>
      </w:r>
      <w:r>
        <w:rPr>
          <w:rFonts w:ascii="Times New Roman" w:hAnsi="Times New Roman" w:cs="Times New Roman"/>
          <w:snapToGrid w:val="0"/>
          <w:spacing w:val="-16"/>
          <w:kern w:val="21"/>
          <w:szCs w:val="21"/>
        </w:rPr>
        <w:instrText xml:space="preserve"> = 6 \* GB3 \* MERGEFORMAT </w:instrText>
      </w:r>
      <w:r>
        <w:rPr>
          <w:rFonts w:ascii="Times New Roman" w:hAnsi="Times New Roman" w:cs="Times New Roman"/>
          <w:snapToGrid w:val="0"/>
          <w:spacing w:val="-16"/>
          <w:kern w:val="21"/>
          <w:szCs w:val="21"/>
        </w:rPr>
        <w:fldChar w:fldCharType="separate"/>
      </w:r>
      <w:r>
        <w:rPr>
          <w:rFonts w:hint="eastAsia" w:cs="宋体"/>
          <w:szCs w:val="21"/>
        </w:rPr>
        <w:t>⑥</w:t>
      </w:r>
      <w:r>
        <w:rPr>
          <w:rFonts w:ascii="Times New Roman" w:hAnsi="Times New Roman" w:cs="Times New Roman"/>
          <w:snapToGrid w:val="0"/>
          <w:spacing w:val="-16"/>
          <w:kern w:val="21"/>
          <w:szCs w:val="21"/>
        </w:rPr>
        <w:fldChar w:fldCharType="end"/>
      </w:r>
      <w:r>
        <w:rPr>
          <w:rFonts w:ascii="Times New Roman" w:hAnsi="Times New Roman" w:cs="Times New Roman"/>
          <w:snapToGrid w:val="0"/>
          <w:spacing w:val="-16"/>
          <w:kern w:val="21"/>
          <w:szCs w:val="21"/>
        </w:rPr>
        <w:t>-</w:t>
      </w:r>
      <w:r>
        <w:rPr>
          <w:rFonts w:ascii="Times New Roman" w:hAnsi="Times New Roman" w:cs="Times New Roman"/>
          <w:snapToGrid w:val="0"/>
          <w:spacing w:val="-6"/>
          <w:kern w:val="21"/>
          <w:szCs w:val="21"/>
        </w:rPr>
        <w:fldChar w:fldCharType="begin"/>
      </w:r>
      <w:r>
        <w:rPr>
          <w:rFonts w:ascii="Times New Roman" w:hAnsi="Times New Roman" w:cs="Times New Roman"/>
          <w:snapToGrid w:val="0"/>
          <w:spacing w:val="-6"/>
          <w:kern w:val="21"/>
          <w:szCs w:val="21"/>
        </w:rPr>
        <w:instrText xml:space="preserve"> = 1 \* GB3 \* MERGEFORMAT </w:instrText>
      </w:r>
      <w:r>
        <w:rPr>
          <w:rFonts w:ascii="Times New Roman" w:hAnsi="Times New Roman" w:cs="Times New Roman"/>
          <w:snapToGrid w:val="0"/>
          <w:spacing w:val="-6"/>
          <w:kern w:val="21"/>
          <w:szCs w:val="21"/>
        </w:rPr>
        <w:fldChar w:fldCharType="separate"/>
      </w:r>
      <w:r>
        <w:rPr>
          <w:rFonts w:hint="eastAsia" w:cs="宋体"/>
          <w:szCs w:val="21"/>
        </w:rPr>
        <w:t>①</w:t>
      </w:r>
      <w:r>
        <w:rPr>
          <w:rFonts w:ascii="Times New Roman" w:hAnsi="Times New Roman" w:cs="Times New Roman"/>
          <w:snapToGrid w:val="0"/>
          <w:spacing w:val="-6"/>
          <w:kern w:val="21"/>
          <w:szCs w:val="21"/>
        </w:rPr>
        <w:fldChar w:fldCharType="end"/>
      </w:r>
    </w:p>
    <w:sectPr>
      <w:footerReference r:id="rId5" w:type="default"/>
      <w:pgSz w:w="16838" w:h="11906" w:orient="landscape"/>
      <w:pgMar w:top="1800" w:right="1440" w:bottom="1800" w:left="1440" w:header="851" w:footer="1077"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魏碑">
    <w:altName w:val="黑体"/>
    <w:panose1 w:val="00000000000000000000"/>
    <w:charset w:val="86"/>
    <w:family w:val="modern"/>
    <w:pitch w:val="default"/>
    <w:sig w:usb0="00000000" w:usb1="00000000" w:usb2="00000010" w:usb3="00000000" w:csb0="00040000" w:csb1="00000000"/>
  </w:font>
  <w:font w:name="长城楷体">
    <w:altName w:val="宋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方正小标宋_GBK">
    <w:altName w:val="微软雅黑"/>
    <w:panose1 w:val="00000000000000000000"/>
    <w:charset w:val="86"/>
    <w:family w:val="script"/>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Wingdings 2">
    <w:altName w:val="Wingdings"/>
    <w:panose1 w:val="05020102010507070707"/>
    <w:charset w:val="02"/>
    <w:family w:val="roman"/>
    <w:pitch w:val="default"/>
    <w:sig w:usb0="00000000" w:usb1="00000000" w:usb2="00000000" w:usb3="00000000" w:csb0="80000000" w:csb1="00000000"/>
  </w:font>
  <w:font w:name="MS Gothic">
    <w:panose1 w:val="020B0609070205080204"/>
    <w:charset w:val="80"/>
    <w:family w:val="modern"/>
    <w:pitch w:val="default"/>
    <w:sig w:usb0="E00002FF" w:usb1="6AC7FDFB" w:usb2="08000012" w:usb3="00000000" w:csb0="4002009F" w:csb1="DFD7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righ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right"/>
      <w:rPr>
        <w:sz w:val="20"/>
        <w:szCs w:val="20"/>
      </w:rPr>
    </w:pPr>
    <w:r>
      <w:rPr>
        <w:sz w:val="20"/>
        <w:szCs w:val="20"/>
      </w:rPr>
      <w:fldChar w:fldCharType="begin"/>
    </w:r>
    <w:r>
      <w:rPr>
        <w:sz w:val="20"/>
        <w:szCs w:val="20"/>
      </w:rPr>
      <w:instrText xml:space="preserve">PAGE   \* MERGEFORMAT</w:instrText>
    </w:r>
    <w:r>
      <w:rPr>
        <w:sz w:val="20"/>
        <w:szCs w:val="20"/>
      </w:rPr>
      <w:fldChar w:fldCharType="separate"/>
    </w:r>
    <w:r>
      <w:rPr>
        <w:sz w:val="20"/>
        <w:szCs w:val="20"/>
        <w:lang w:val="zh-CN"/>
      </w:rPr>
      <w:t>-</w:t>
    </w:r>
    <w:r>
      <w:rPr>
        <w:sz w:val="20"/>
        <w:szCs w:val="20"/>
      </w:rPr>
      <w:t xml:space="preserve"> 2 -</w:t>
    </w:r>
    <w:r>
      <w:rPr>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right"/>
      <w:rPr>
        <w:sz w:val="20"/>
        <w:szCs w:val="20"/>
      </w:rPr>
    </w:pPr>
    <w:r>
      <w:rPr>
        <w:sz w:val="20"/>
        <w:szCs w:val="20"/>
      </w:rPr>
      <w:fldChar w:fldCharType="begin"/>
    </w:r>
    <w:r>
      <w:rPr>
        <w:sz w:val="20"/>
        <w:szCs w:val="20"/>
      </w:rPr>
      <w:instrText xml:space="preserve">PAGE   \* MERGEFORMAT</w:instrText>
    </w:r>
    <w:r>
      <w:rPr>
        <w:sz w:val="20"/>
        <w:szCs w:val="20"/>
      </w:rPr>
      <w:fldChar w:fldCharType="separate"/>
    </w:r>
    <w:r>
      <w:rPr>
        <w:sz w:val="20"/>
        <w:szCs w:val="20"/>
        <w:lang w:val="zh-CN"/>
      </w:rPr>
      <w:t>-</w:t>
    </w:r>
    <w:r>
      <w:rPr>
        <w:sz w:val="20"/>
        <w:szCs w:val="20"/>
      </w:rPr>
      <w:t xml:space="preserve"> 46 -</w:t>
    </w:r>
    <w:r>
      <w:rPr>
        <w:sz w:val="20"/>
        <w:szCs w:val="20"/>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FB"/>
    <w:multiLevelType w:val="multilevel"/>
    <w:tmpl w:val="FFFFFFFB"/>
    <w:lvl w:ilvl="0" w:tentative="0">
      <w:start w:val="1"/>
      <w:numFmt w:val="decimal"/>
      <w:pStyle w:val="2"/>
      <w:lvlText w:val="%1."/>
      <w:legacy w:legacy="1" w:legacySpace="144" w:legacyIndent="0"/>
      <w:lvlJc w:val="left"/>
      <w:rPr>
        <w:rFonts w:hint="eastAsia" w:ascii="宋体" w:eastAsia="宋体"/>
        <w:b/>
        <w:i w:val="0"/>
        <w:sz w:val="30"/>
      </w:rPr>
    </w:lvl>
    <w:lvl w:ilvl="1" w:tentative="0">
      <w:start w:val="1"/>
      <w:numFmt w:val="decimal"/>
      <w:pStyle w:val="3"/>
      <w:lvlText w:val="%1.%2."/>
      <w:legacy w:legacy="1" w:legacySpace="144" w:legacyIndent="0"/>
      <w:lvlJc w:val="left"/>
      <w:rPr>
        <w:rFonts w:hint="default" w:ascii="Times New Roman" w:hAnsi="Times New Roman"/>
        <w:b w:val="0"/>
        <w:i w:val="0"/>
        <w:sz w:val="28"/>
      </w:rPr>
    </w:lvl>
    <w:lvl w:ilvl="2" w:tentative="0">
      <w:start w:val="1"/>
      <w:numFmt w:val="decimal"/>
      <w:pStyle w:val="4"/>
      <w:lvlText w:val="%1.%2.%3."/>
      <w:legacy w:legacy="1" w:legacySpace="144" w:legacyIndent="0"/>
      <w:lvlJc w:val="left"/>
      <w:rPr>
        <w:rFonts w:hint="default" w:ascii="Times New Roman" w:hAnsi="Times New Roman"/>
        <w:b w:val="0"/>
        <w:i w:val="0"/>
        <w:sz w:val="28"/>
      </w:rPr>
    </w:lvl>
    <w:lvl w:ilvl="3" w:tentative="0">
      <w:start w:val="1"/>
      <w:numFmt w:val="decimal"/>
      <w:pStyle w:val="5"/>
      <w:lvlText w:val="%1.%2.%3.%4."/>
      <w:legacy w:legacy="1" w:legacySpace="144" w:legacyIndent="0"/>
      <w:lvlJc w:val="left"/>
      <w:rPr>
        <w:rFonts w:hint="default" w:ascii="Times New Roman" w:hAnsi="Times New Roman"/>
        <w:b w:val="0"/>
        <w:i w:val="0"/>
        <w:sz w:val="28"/>
      </w:rPr>
    </w:lvl>
    <w:lvl w:ilvl="4" w:tentative="0">
      <w:start w:val="1"/>
      <w:numFmt w:val="decimal"/>
      <w:pStyle w:val="6"/>
      <w:lvlText w:val="%1.%2.%3.%4.%5."/>
      <w:legacy w:legacy="1" w:legacySpace="144" w:legacyIndent="0"/>
      <w:lvlJc w:val="left"/>
      <w:rPr>
        <w:rFonts w:hint="default" w:ascii="Times New Roman" w:hAnsi="Times New Roman"/>
        <w:b w:val="0"/>
        <w:i w:val="0"/>
        <w:sz w:val="24"/>
      </w:rPr>
    </w:lvl>
    <w:lvl w:ilvl="5" w:tentative="0">
      <w:start w:val="1"/>
      <w:numFmt w:val="decimal"/>
      <w:pStyle w:val="7"/>
      <w:lvlText w:val="%1.%2.%3.%4.%5..%6"/>
      <w:legacy w:legacy="1" w:legacySpace="144" w:legacyIndent="0"/>
      <w:lvlJc w:val="left"/>
    </w:lvl>
    <w:lvl w:ilvl="6" w:tentative="0">
      <w:start w:val="1"/>
      <w:numFmt w:val="decimal"/>
      <w:pStyle w:val="8"/>
      <w:lvlText w:val="%1.%2.%3.%4.%5..%6.%7"/>
      <w:legacy w:legacy="1" w:legacySpace="144" w:legacyIndent="0"/>
      <w:lvlJc w:val="left"/>
    </w:lvl>
    <w:lvl w:ilvl="7" w:tentative="0">
      <w:start w:val="1"/>
      <w:numFmt w:val="decimal"/>
      <w:pStyle w:val="9"/>
      <w:lvlText w:val="%1.%2.%3.%4.%5..%6.%7.%8"/>
      <w:legacy w:legacy="1" w:legacySpace="144" w:legacyIndent="0"/>
      <w:lvlJc w:val="left"/>
    </w:lvl>
    <w:lvl w:ilvl="8" w:tentative="0">
      <w:start w:val="1"/>
      <w:numFmt w:val="decimal"/>
      <w:pStyle w:val="10"/>
      <w:lvlText w:val="%1.%2.%3.%4.%5..%6.%7.%8.%9"/>
      <w:legacy w:legacy="1" w:legacySpace="144" w:legacyIndent="0"/>
      <w:lvlJc w:val="left"/>
    </w:lvl>
  </w:abstractNum>
  <w:abstractNum w:abstractNumId="1">
    <w:nsid w:val="342E134E"/>
    <w:multiLevelType w:val="multilevel"/>
    <w:tmpl w:val="342E134E"/>
    <w:lvl w:ilvl="0" w:tentative="0">
      <w:start w:val="1"/>
      <w:numFmt w:val="decimal"/>
      <w:suff w:val="nothing"/>
      <w:lvlText w:val="%1"/>
      <w:lvlJc w:val="left"/>
      <w:pPr>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4CC7403B"/>
    <w:multiLevelType w:val="multilevel"/>
    <w:tmpl w:val="4CC7403B"/>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UzY2E4Mzg5YmZjMzcxNGU1NzY5YmQ2NDA1YTE1MzIifQ=="/>
  </w:docVars>
  <w:rsids>
    <w:rsidRoot w:val="00124917"/>
    <w:rsid w:val="000005F3"/>
    <w:rsid w:val="00001126"/>
    <w:rsid w:val="00001239"/>
    <w:rsid w:val="00001F41"/>
    <w:rsid w:val="00005F0D"/>
    <w:rsid w:val="0000642D"/>
    <w:rsid w:val="00006B41"/>
    <w:rsid w:val="00006F2F"/>
    <w:rsid w:val="000100B9"/>
    <w:rsid w:val="00010B2C"/>
    <w:rsid w:val="00014A80"/>
    <w:rsid w:val="00022465"/>
    <w:rsid w:val="00022682"/>
    <w:rsid w:val="00023392"/>
    <w:rsid w:val="00023A67"/>
    <w:rsid w:val="00024DC9"/>
    <w:rsid w:val="000255A9"/>
    <w:rsid w:val="00025C8F"/>
    <w:rsid w:val="00027898"/>
    <w:rsid w:val="00030F9E"/>
    <w:rsid w:val="0003172F"/>
    <w:rsid w:val="0003221D"/>
    <w:rsid w:val="00034212"/>
    <w:rsid w:val="000378F5"/>
    <w:rsid w:val="00041F33"/>
    <w:rsid w:val="00043445"/>
    <w:rsid w:val="00044D7B"/>
    <w:rsid w:val="00047329"/>
    <w:rsid w:val="00047869"/>
    <w:rsid w:val="00050FF2"/>
    <w:rsid w:val="00051591"/>
    <w:rsid w:val="00052909"/>
    <w:rsid w:val="00053281"/>
    <w:rsid w:val="00053CDD"/>
    <w:rsid w:val="00055037"/>
    <w:rsid w:val="0005647D"/>
    <w:rsid w:val="000572C3"/>
    <w:rsid w:val="000576FC"/>
    <w:rsid w:val="00057D5A"/>
    <w:rsid w:val="0006166B"/>
    <w:rsid w:val="00062A03"/>
    <w:rsid w:val="00063382"/>
    <w:rsid w:val="00065EC7"/>
    <w:rsid w:val="00066FFA"/>
    <w:rsid w:val="000676E2"/>
    <w:rsid w:val="00070F92"/>
    <w:rsid w:val="00071BE4"/>
    <w:rsid w:val="00072621"/>
    <w:rsid w:val="00075E37"/>
    <w:rsid w:val="000815B2"/>
    <w:rsid w:val="00082AF2"/>
    <w:rsid w:val="00083E53"/>
    <w:rsid w:val="00084FB7"/>
    <w:rsid w:val="000918B7"/>
    <w:rsid w:val="000918FC"/>
    <w:rsid w:val="00093AB3"/>
    <w:rsid w:val="00097359"/>
    <w:rsid w:val="00097629"/>
    <w:rsid w:val="00097888"/>
    <w:rsid w:val="000A09C5"/>
    <w:rsid w:val="000A1A59"/>
    <w:rsid w:val="000A2BEF"/>
    <w:rsid w:val="000A2EA5"/>
    <w:rsid w:val="000A3102"/>
    <w:rsid w:val="000A7E9F"/>
    <w:rsid w:val="000B0A3A"/>
    <w:rsid w:val="000B0E05"/>
    <w:rsid w:val="000B0FCD"/>
    <w:rsid w:val="000B3963"/>
    <w:rsid w:val="000B3FAA"/>
    <w:rsid w:val="000B64F2"/>
    <w:rsid w:val="000B7AF2"/>
    <w:rsid w:val="000C1CBF"/>
    <w:rsid w:val="000C2296"/>
    <w:rsid w:val="000C233E"/>
    <w:rsid w:val="000C51C5"/>
    <w:rsid w:val="000C6A60"/>
    <w:rsid w:val="000D0A5D"/>
    <w:rsid w:val="000D0C8F"/>
    <w:rsid w:val="000D13D9"/>
    <w:rsid w:val="000D2859"/>
    <w:rsid w:val="000D43F4"/>
    <w:rsid w:val="000D50B4"/>
    <w:rsid w:val="000D666C"/>
    <w:rsid w:val="000E2B35"/>
    <w:rsid w:val="000E39A2"/>
    <w:rsid w:val="000E5A8E"/>
    <w:rsid w:val="000F1BB8"/>
    <w:rsid w:val="000F31B6"/>
    <w:rsid w:val="000F3543"/>
    <w:rsid w:val="000F5CB0"/>
    <w:rsid w:val="000F7799"/>
    <w:rsid w:val="00100179"/>
    <w:rsid w:val="001003CB"/>
    <w:rsid w:val="00100900"/>
    <w:rsid w:val="00100CF2"/>
    <w:rsid w:val="001019FB"/>
    <w:rsid w:val="0010232D"/>
    <w:rsid w:val="00102EC0"/>
    <w:rsid w:val="00103112"/>
    <w:rsid w:val="00103BD3"/>
    <w:rsid w:val="00103D6C"/>
    <w:rsid w:val="00107B8A"/>
    <w:rsid w:val="00110BE6"/>
    <w:rsid w:val="00110C87"/>
    <w:rsid w:val="00112DB1"/>
    <w:rsid w:val="00117B82"/>
    <w:rsid w:val="0012131F"/>
    <w:rsid w:val="00121F84"/>
    <w:rsid w:val="00122CA2"/>
    <w:rsid w:val="00123727"/>
    <w:rsid w:val="00124917"/>
    <w:rsid w:val="00125D84"/>
    <w:rsid w:val="00125F1D"/>
    <w:rsid w:val="0012757A"/>
    <w:rsid w:val="001302CD"/>
    <w:rsid w:val="00131880"/>
    <w:rsid w:val="00132DE1"/>
    <w:rsid w:val="001339E3"/>
    <w:rsid w:val="00133F69"/>
    <w:rsid w:val="0013756F"/>
    <w:rsid w:val="001414E3"/>
    <w:rsid w:val="00141D5C"/>
    <w:rsid w:val="001441B8"/>
    <w:rsid w:val="00150BFB"/>
    <w:rsid w:val="00160BD5"/>
    <w:rsid w:val="00161B2C"/>
    <w:rsid w:val="001634C4"/>
    <w:rsid w:val="001635E9"/>
    <w:rsid w:val="001740DB"/>
    <w:rsid w:val="00174263"/>
    <w:rsid w:val="001768EA"/>
    <w:rsid w:val="0018123E"/>
    <w:rsid w:val="001815AA"/>
    <w:rsid w:val="001832FF"/>
    <w:rsid w:val="00183EB0"/>
    <w:rsid w:val="00190428"/>
    <w:rsid w:val="00191651"/>
    <w:rsid w:val="00192906"/>
    <w:rsid w:val="001963FC"/>
    <w:rsid w:val="00196678"/>
    <w:rsid w:val="00197F25"/>
    <w:rsid w:val="001A0302"/>
    <w:rsid w:val="001A2D7C"/>
    <w:rsid w:val="001A72BF"/>
    <w:rsid w:val="001B061E"/>
    <w:rsid w:val="001B251A"/>
    <w:rsid w:val="001B4C5D"/>
    <w:rsid w:val="001B5EB9"/>
    <w:rsid w:val="001B7230"/>
    <w:rsid w:val="001B74CA"/>
    <w:rsid w:val="001C3B15"/>
    <w:rsid w:val="001C3E28"/>
    <w:rsid w:val="001C53AB"/>
    <w:rsid w:val="001C5603"/>
    <w:rsid w:val="001C5764"/>
    <w:rsid w:val="001C75E2"/>
    <w:rsid w:val="001D02B5"/>
    <w:rsid w:val="001D1CA8"/>
    <w:rsid w:val="001D2C44"/>
    <w:rsid w:val="001D44F4"/>
    <w:rsid w:val="001D689C"/>
    <w:rsid w:val="001D7C21"/>
    <w:rsid w:val="001D7DAD"/>
    <w:rsid w:val="001E439A"/>
    <w:rsid w:val="001E5733"/>
    <w:rsid w:val="001E7EA6"/>
    <w:rsid w:val="001F20A7"/>
    <w:rsid w:val="001F30C5"/>
    <w:rsid w:val="001F3187"/>
    <w:rsid w:val="001F3F24"/>
    <w:rsid w:val="001F4AAB"/>
    <w:rsid w:val="001F5DAB"/>
    <w:rsid w:val="001F6B12"/>
    <w:rsid w:val="001F71F7"/>
    <w:rsid w:val="0020073A"/>
    <w:rsid w:val="002021B7"/>
    <w:rsid w:val="0020323D"/>
    <w:rsid w:val="00204527"/>
    <w:rsid w:val="00204DD3"/>
    <w:rsid w:val="00205454"/>
    <w:rsid w:val="00206613"/>
    <w:rsid w:val="0020677F"/>
    <w:rsid w:val="0020761A"/>
    <w:rsid w:val="00210C67"/>
    <w:rsid w:val="00214FD2"/>
    <w:rsid w:val="00215757"/>
    <w:rsid w:val="00216C8A"/>
    <w:rsid w:val="00217211"/>
    <w:rsid w:val="00221BEE"/>
    <w:rsid w:val="002244A7"/>
    <w:rsid w:val="00225FE1"/>
    <w:rsid w:val="002266DF"/>
    <w:rsid w:val="0023105E"/>
    <w:rsid w:val="00232F41"/>
    <w:rsid w:val="00233935"/>
    <w:rsid w:val="00234385"/>
    <w:rsid w:val="00235482"/>
    <w:rsid w:val="00235BEA"/>
    <w:rsid w:val="00240282"/>
    <w:rsid w:val="002420F2"/>
    <w:rsid w:val="00245DEC"/>
    <w:rsid w:val="00245F2D"/>
    <w:rsid w:val="002475A6"/>
    <w:rsid w:val="002520D7"/>
    <w:rsid w:val="00252EAD"/>
    <w:rsid w:val="0025347D"/>
    <w:rsid w:val="002538AF"/>
    <w:rsid w:val="002546C1"/>
    <w:rsid w:val="00255AF5"/>
    <w:rsid w:val="00257161"/>
    <w:rsid w:val="0025736C"/>
    <w:rsid w:val="00257D24"/>
    <w:rsid w:val="0026087F"/>
    <w:rsid w:val="00260E2B"/>
    <w:rsid w:val="002611E5"/>
    <w:rsid w:val="0026231C"/>
    <w:rsid w:val="0026272B"/>
    <w:rsid w:val="00263420"/>
    <w:rsid w:val="00271F19"/>
    <w:rsid w:val="00273536"/>
    <w:rsid w:val="00274933"/>
    <w:rsid w:val="002816A2"/>
    <w:rsid w:val="00283659"/>
    <w:rsid w:val="00284CA2"/>
    <w:rsid w:val="00287C17"/>
    <w:rsid w:val="0029051C"/>
    <w:rsid w:val="002906F9"/>
    <w:rsid w:val="0029167F"/>
    <w:rsid w:val="002928BE"/>
    <w:rsid w:val="002973C8"/>
    <w:rsid w:val="002A111D"/>
    <w:rsid w:val="002A37EC"/>
    <w:rsid w:val="002A3EDA"/>
    <w:rsid w:val="002B0231"/>
    <w:rsid w:val="002B1717"/>
    <w:rsid w:val="002B1767"/>
    <w:rsid w:val="002B1EBE"/>
    <w:rsid w:val="002B3CC8"/>
    <w:rsid w:val="002B6579"/>
    <w:rsid w:val="002C1831"/>
    <w:rsid w:val="002C2237"/>
    <w:rsid w:val="002C2B5F"/>
    <w:rsid w:val="002C4ECB"/>
    <w:rsid w:val="002C4F6D"/>
    <w:rsid w:val="002C5A08"/>
    <w:rsid w:val="002D01DC"/>
    <w:rsid w:val="002D0D63"/>
    <w:rsid w:val="002D0F85"/>
    <w:rsid w:val="002D791C"/>
    <w:rsid w:val="002E00EB"/>
    <w:rsid w:val="002E21C5"/>
    <w:rsid w:val="002E3583"/>
    <w:rsid w:val="002E4AE1"/>
    <w:rsid w:val="002F18FB"/>
    <w:rsid w:val="002F2184"/>
    <w:rsid w:val="002F30C7"/>
    <w:rsid w:val="002F4E5D"/>
    <w:rsid w:val="002F74EA"/>
    <w:rsid w:val="003020AB"/>
    <w:rsid w:val="00303ACB"/>
    <w:rsid w:val="00304655"/>
    <w:rsid w:val="003112B6"/>
    <w:rsid w:val="003118D4"/>
    <w:rsid w:val="003134A6"/>
    <w:rsid w:val="003137BB"/>
    <w:rsid w:val="0031387A"/>
    <w:rsid w:val="00315B5E"/>
    <w:rsid w:val="003160D1"/>
    <w:rsid w:val="003205AD"/>
    <w:rsid w:val="00320F7B"/>
    <w:rsid w:val="003228B4"/>
    <w:rsid w:val="003232FA"/>
    <w:rsid w:val="00323DB3"/>
    <w:rsid w:val="0032599B"/>
    <w:rsid w:val="00330EC9"/>
    <w:rsid w:val="0033186F"/>
    <w:rsid w:val="00333463"/>
    <w:rsid w:val="00333DAA"/>
    <w:rsid w:val="0033683F"/>
    <w:rsid w:val="00337247"/>
    <w:rsid w:val="00337ED3"/>
    <w:rsid w:val="00340120"/>
    <w:rsid w:val="00340917"/>
    <w:rsid w:val="00341A0F"/>
    <w:rsid w:val="00346CA3"/>
    <w:rsid w:val="00350327"/>
    <w:rsid w:val="003536DB"/>
    <w:rsid w:val="00353FBA"/>
    <w:rsid w:val="00354477"/>
    <w:rsid w:val="00356FCA"/>
    <w:rsid w:val="00360CAA"/>
    <w:rsid w:val="003616B1"/>
    <w:rsid w:val="00361F88"/>
    <w:rsid w:val="00363B97"/>
    <w:rsid w:val="00363C95"/>
    <w:rsid w:val="00366E84"/>
    <w:rsid w:val="00367E81"/>
    <w:rsid w:val="00371AD8"/>
    <w:rsid w:val="00371BE1"/>
    <w:rsid w:val="003734C6"/>
    <w:rsid w:val="003738FD"/>
    <w:rsid w:val="00373FB6"/>
    <w:rsid w:val="0037482E"/>
    <w:rsid w:val="00375C2C"/>
    <w:rsid w:val="00385B19"/>
    <w:rsid w:val="00387512"/>
    <w:rsid w:val="00387AF9"/>
    <w:rsid w:val="00390144"/>
    <w:rsid w:val="0039317E"/>
    <w:rsid w:val="00393693"/>
    <w:rsid w:val="00396CA2"/>
    <w:rsid w:val="00396EAD"/>
    <w:rsid w:val="00397690"/>
    <w:rsid w:val="00397E25"/>
    <w:rsid w:val="003A1F19"/>
    <w:rsid w:val="003A2DEA"/>
    <w:rsid w:val="003A7D3B"/>
    <w:rsid w:val="003B032D"/>
    <w:rsid w:val="003B1D2D"/>
    <w:rsid w:val="003B20B4"/>
    <w:rsid w:val="003C442C"/>
    <w:rsid w:val="003C62D7"/>
    <w:rsid w:val="003C6789"/>
    <w:rsid w:val="003D1483"/>
    <w:rsid w:val="003D23AC"/>
    <w:rsid w:val="003D262E"/>
    <w:rsid w:val="003D3072"/>
    <w:rsid w:val="003D646C"/>
    <w:rsid w:val="003E0D39"/>
    <w:rsid w:val="003E1D1A"/>
    <w:rsid w:val="003E3F51"/>
    <w:rsid w:val="003E5D90"/>
    <w:rsid w:val="003F1307"/>
    <w:rsid w:val="003F24F5"/>
    <w:rsid w:val="003F4DC5"/>
    <w:rsid w:val="003F62EC"/>
    <w:rsid w:val="00400A62"/>
    <w:rsid w:val="004015D8"/>
    <w:rsid w:val="00402B2A"/>
    <w:rsid w:val="00402B4B"/>
    <w:rsid w:val="00404166"/>
    <w:rsid w:val="00405B6A"/>
    <w:rsid w:val="004066F4"/>
    <w:rsid w:val="00407507"/>
    <w:rsid w:val="00410079"/>
    <w:rsid w:val="00410C88"/>
    <w:rsid w:val="00414703"/>
    <w:rsid w:val="004229B0"/>
    <w:rsid w:val="00422E6A"/>
    <w:rsid w:val="00423701"/>
    <w:rsid w:val="00423A1D"/>
    <w:rsid w:val="00423E8C"/>
    <w:rsid w:val="004240EF"/>
    <w:rsid w:val="00424C13"/>
    <w:rsid w:val="00425E64"/>
    <w:rsid w:val="004265EC"/>
    <w:rsid w:val="00426E73"/>
    <w:rsid w:val="004271F6"/>
    <w:rsid w:val="00430777"/>
    <w:rsid w:val="0043230B"/>
    <w:rsid w:val="00432956"/>
    <w:rsid w:val="004344E8"/>
    <w:rsid w:val="0043634D"/>
    <w:rsid w:val="0043769D"/>
    <w:rsid w:val="00440E47"/>
    <w:rsid w:val="0044285E"/>
    <w:rsid w:val="00442E72"/>
    <w:rsid w:val="00450054"/>
    <w:rsid w:val="00451FAE"/>
    <w:rsid w:val="0045380F"/>
    <w:rsid w:val="004540F1"/>
    <w:rsid w:val="0045502E"/>
    <w:rsid w:val="00456944"/>
    <w:rsid w:val="00456CEF"/>
    <w:rsid w:val="00456ECD"/>
    <w:rsid w:val="00457666"/>
    <w:rsid w:val="004603A5"/>
    <w:rsid w:val="00462F62"/>
    <w:rsid w:val="00463BA7"/>
    <w:rsid w:val="00463C46"/>
    <w:rsid w:val="00465534"/>
    <w:rsid w:val="0046786E"/>
    <w:rsid w:val="004705D0"/>
    <w:rsid w:val="00472053"/>
    <w:rsid w:val="00472A79"/>
    <w:rsid w:val="00472E68"/>
    <w:rsid w:val="004741FE"/>
    <w:rsid w:val="00475221"/>
    <w:rsid w:val="0047638A"/>
    <w:rsid w:val="00482859"/>
    <w:rsid w:val="00483414"/>
    <w:rsid w:val="00484143"/>
    <w:rsid w:val="00486584"/>
    <w:rsid w:val="004906B3"/>
    <w:rsid w:val="0049304E"/>
    <w:rsid w:val="004964E3"/>
    <w:rsid w:val="00496C50"/>
    <w:rsid w:val="004A3F78"/>
    <w:rsid w:val="004A7111"/>
    <w:rsid w:val="004A7763"/>
    <w:rsid w:val="004B2D4C"/>
    <w:rsid w:val="004B2DF0"/>
    <w:rsid w:val="004B3C31"/>
    <w:rsid w:val="004B4ACF"/>
    <w:rsid w:val="004B52F9"/>
    <w:rsid w:val="004B5B6F"/>
    <w:rsid w:val="004B6E79"/>
    <w:rsid w:val="004B7E78"/>
    <w:rsid w:val="004C31E9"/>
    <w:rsid w:val="004C69CE"/>
    <w:rsid w:val="004D4616"/>
    <w:rsid w:val="004E488C"/>
    <w:rsid w:val="004E524E"/>
    <w:rsid w:val="004E5821"/>
    <w:rsid w:val="004E5970"/>
    <w:rsid w:val="004E5B87"/>
    <w:rsid w:val="004E5DCB"/>
    <w:rsid w:val="004E5DED"/>
    <w:rsid w:val="004E640E"/>
    <w:rsid w:val="004E66A0"/>
    <w:rsid w:val="004E7E3C"/>
    <w:rsid w:val="004E7E80"/>
    <w:rsid w:val="004F2CD6"/>
    <w:rsid w:val="004F5206"/>
    <w:rsid w:val="004F585D"/>
    <w:rsid w:val="004F60E8"/>
    <w:rsid w:val="004F6F35"/>
    <w:rsid w:val="0050012C"/>
    <w:rsid w:val="00507024"/>
    <w:rsid w:val="005074DF"/>
    <w:rsid w:val="00510ADB"/>
    <w:rsid w:val="00514BE9"/>
    <w:rsid w:val="0051587C"/>
    <w:rsid w:val="0051712B"/>
    <w:rsid w:val="00517C95"/>
    <w:rsid w:val="005219E5"/>
    <w:rsid w:val="0052218B"/>
    <w:rsid w:val="005248DE"/>
    <w:rsid w:val="00525606"/>
    <w:rsid w:val="00526CBE"/>
    <w:rsid w:val="00526D3A"/>
    <w:rsid w:val="00530046"/>
    <w:rsid w:val="00531332"/>
    <w:rsid w:val="00534B0F"/>
    <w:rsid w:val="005364F5"/>
    <w:rsid w:val="00541812"/>
    <w:rsid w:val="00544830"/>
    <w:rsid w:val="00547163"/>
    <w:rsid w:val="00550F76"/>
    <w:rsid w:val="00554228"/>
    <w:rsid w:val="0055451C"/>
    <w:rsid w:val="005546EC"/>
    <w:rsid w:val="005612F9"/>
    <w:rsid w:val="0056141F"/>
    <w:rsid w:val="00561BB1"/>
    <w:rsid w:val="00565E9A"/>
    <w:rsid w:val="005660A1"/>
    <w:rsid w:val="005671ED"/>
    <w:rsid w:val="00567D1B"/>
    <w:rsid w:val="00567FCF"/>
    <w:rsid w:val="00571D90"/>
    <w:rsid w:val="00574B24"/>
    <w:rsid w:val="0057554B"/>
    <w:rsid w:val="00575B98"/>
    <w:rsid w:val="00575EE8"/>
    <w:rsid w:val="00576EA0"/>
    <w:rsid w:val="005807F0"/>
    <w:rsid w:val="0058146E"/>
    <w:rsid w:val="00584518"/>
    <w:rsid w:val="00585614"/>
    <w:rsid w:val="00585C62"/>
    <w:rsid w:val="00585DEE"/>
    <w:rsid w:val="00590C7B"/>
    <w:rsid w:val="00594757"/>
    <w:rsid w:val="0059697D"/>
    <w:rsid w:val="005A25AA"/>
    <w:rsid w:val="005A3C4B"/>
    <w:rsid w:val="005A4BE7"/>
    <w:rsid w:val="005A5BC3"/>
    <w:rsid w:val="005A6D3D"/>
    <w:rsid w:val="005A7DCE"/>
    <w:rsid w:val="005B0F83"/>
    <w:rsid w:val="005B187F"/>
    <w:rsid w:val="005B2D09"/>
    <w:rsid w:val="005B3404"/>
    <w:rsid w:val="005B6CDF"/>
    <w:rsid w:val="005B705B"/>
    <w:rsid w:val="005C2D8B"/>
    <w:rsid w:val="005C4EFA"/>
    <w:rsid w:val="005C5536"/>
    <w:rsid w:val="005C6468"/>
    <w:rsid w:val="005C7A43"/>
    <w:rsid w:val="005C7DB7"/>
    <w:rsid w:val="005D0366"/>
    <w:rsid w:val="005D44DC"/>
    <w:rsid w:val="005D5D00"/>
    <w:rsid w:val="005D6383"/>
    <w:rsid w:val="005D653E"/>
    <w:rsid w:val="005D70B8"/>
    <w:rsid w:val="005D7129"/>
    <w:rsid w:val="005D7D62"/>
    <w:rsid w:val="005E1830"/>
    <w:rsid w:val="005E4A8E"/>
    <w:rsid w:val="005E6A85"/>
    <w:rsid w:val="005F057C"/>
    <w:rsid w:val="005F201E"/>
    <w:rsid w:val="005F3581"/>
    <w:rsid w:val="005F49A7"/>
    <w:rsid w:val="005F4EF8"/>
    <w:rsid w:val="005F5F6D"/>
    <w:rsid w:val="005F7B3D"/>
    <w:rsid w:val="006003C7"/>
    <w:rsid w:val="00606ED0"/>
    <w:rsid w:val="00607793"/>
    <w:rsid w:val="00607D01"/>
    <w:rsid w:val="006100B5"/>
    <w:rsid w:val="006108BA"/>
    <w:rsid w:val="00610DFF"/>
    <w:rsid w:val="00612DA3"/>
    <w:rsid w:val="0061399A"/>
    <w:rsid w:val="00613C21"/>
    <w:rsid w:val="006148F0"/>
    <w:rsid w:val="00614B95"/>
    <w:rsid w:val="00615A9D"/>
    <w:rsid w:val="006163BE"/>
    <w:rsid w:val="00616829"/>
    <w:rsid w:val="00616FAC"/>
    <w:rsid w:val="00617D95"/>
    <w:rsid w:val="00620AEF"/>
    <w:rsid w:val="00621CA1"/>
    <w:rsid w:val="006228CD"/>
    <w:rsid w:val="00626252"/>
    <w:rsid w:val="006265A5"/>
    <w:rsid w:val="00626652"/>
    <w:rsid w:val="00626C46"/>
    <w:rsid w:val="00627AB9"/>
    <w:rsid w:val="00627E12"/>
    <w:rsid w:val="00630860"/>
    <w:rsid w:val="0063379B"/>
    <w:rsid w:val="00633ABF"/>
    <w:rsid w:val="00633CBB"/>
    <w:rsid w:val="00636715"/>
    <w:rsid w:val="006408BF"/>
    <w:rsid w:val="006414AF"/>
    <w:rsid w:val="00641E54"/>
    <w:rsid w:val="0064304D"/>
    <w:rsid w:val="00646C65"/>
    <w:rsid w:val="00647D44"/>
    <w:rsid w:val="006533F9"/>
    <w:rsid w:val="00655E0B"/>
    <w:rsid w:val="00656BE5"/>
    <w:rsid w:val="0066053A"/>
    <w:rsid w:val="00660BC3"/>
    <w:rsid w:val="006629A2"/>
    <w:rsid w:val="0066433B"/>
    <w:rsid w:val="006644E0"/>
    <w:rsid w:val="006650D4"/>
    <w:rsid w:val="006665B0"/>
    <w:rsid w:val="006731BD"/>
    <w:rsid w:val="0067537C"/>
    <w:rsid w:val="00676404"/>
    <w:rsid w:val="006777A4"/>
    <w:rsid w:val="00681794"/>
    <w:rsid w:val="006820AB"/>
    <w:rsid w:val="00684641"/>
    <w:rsid w:val="00684944"/>
    <w:rsid w:val="0068513D"/>
    <w:rsid w:val="006851F1"/>
    <w:rsid w:val="00685DA4"/>
    <w:rsid w:val="00686362"/>
    <w:rsid w:val="00686F7F"/>
    <w:rsid w:val="006904FF"/>
    <w:rsid w:val="0069244F"/>
    <w:rsid w:val="0069395D"/>
    <w:rsid w:val="00696DF7"/>
    <w:rsid w:val="00697949"/>
    <w:rsid w:val="006A4F0A"/>
    <w:rsid w:val="006B0460"/>
    <w:rsid w:val="006B1FD0"/>
    <w:rsid w:val="006B2918"/>
    <w:rsid w:val="006B2AEF"/>
    <w:rsid w:val="006B2C5D"/>
    <w:rsid w:val="006B36B4"/>
    <w:rsid w:val="006B3C6E"/>
    <w:rsid w:val="006B4C6F"/>
    <w:rsid w:val="006B665D"/>
    <w:rsid w:val="006B7D68"/>
    <w:rsid w:val="006C0C4A"/>
    <w:rsid w:val="006C2EEE"/>
    <w:rsid w:val="006C48AC"/>
    <w:rsid w:val="006C48F7"/>
    <w:rsid w:val="006C7F55"/>
    <w:rsid w:val="006D0953"/>
    <w:rsid w:val="006D12B8"/>
    <w:rsid w:val="006D4713"/>
    <w:rsid w:val="006D7AC8"/>
    <w:rsid w:val="006E32B3"/>
    <w:rsid w:val="006E56E3"/>
    <w:rsid w:val="006E5C42"/>
    <w:rsid w:val="006E64D8"/>
    <w:rsid w:val="006F1B96"/>
    <w:rsid w:val="006F4FAF"/>
    <w:rsid w:val="006F7BC3"/>
    <w:rsid w:val="00703198"/>
    <w:rsid w:val="00705DF6"/>
    <w:rsid w:val="007062A3"/>
    <w:rsid w:val="00706D38"/>
    <w:rsid w:val="0070739B"/>
    <w:rsid w:val="00707550"/>
    <w:rsid w:val="00710569"/>
    <w:rsid w:val="0071068A"/>
    <w:rsid w:val="007135F3"/>
    <w:rsid w:val="00713E79"/>
    <w:rsid w:val="007169F0"/>
    <w:rsid w:val="0071707A"/>
    <w:rsid w:val="0071790F"/>
    <w:rsid w:val="00717C1A"/>
    <w:rsid w:val="00720958"/>
    <w:rsid w:val="00721051"/>
    <w:rsid w:val="00721E78"/>
    <w:rsid w:val="0072253A"/>
    <w:rsid w:val="0072382C"/>
    <w:rsid w:val="00724EEF"/>
    <w:rsid w:val="0072525E"/>
    <w:rsid w:val="007277ED"/>
    <w:rsid w:val="00727CD8"/>
    <w:rsid w:val="00737B78"/>
    <w:rsid w:val="00742632"/>
    <w:rsid w:val="00743FF6"/>
    <w:rsid w:val="00744BB5"/>
    <w:rsid w:val="00746438"/>
    <w:rsid w:val="00753B7C"/>
    <w:rsid w:val="007545C0"/>
    <w:rsid w:val="00754806"/>
    <w:rsid w:val="0075641E"/>
    <w:rsid w:val="00756CAF"/>
    <w:rsid w:val="007610A7"/>
    <w:rsid w:val="00763B05"/>
    <w:rsid w:val="00764426"/>
    <w:rsid w:val="007652DE"/>
    <w:rsid w:val="0076535A"/>
    <w:rsid w:val="00770F26"/>
    <w:rsid w:val="007725C4"/>
    <w:rsid w:val="00774B2A"/>
    <w:rsid w:val="0077506C"/>
    <w:rsid w:val="00775A07"/>
    <w:rsid w:val="00775EC2"/>
    <w:rsid w:val="00776512"/>
    <w:rsid w:val="00777268"/>
    <w:rsid w:val="0077738C"/>
    <w:rsid w:val="007775DF"/>
    <w:rsid w:val="0078503F"/>
    <w:rsid w:val="0078590C"/>
    <w:rsid w:val="007906CF"/>
    <w:rsid w:val="00790DD0"/>
    <w:rsid w:val="00791588"/>
    <w:rsid w:val="00791BC4"/>
    <w:rsid w:val="00796E5F"/>
    <w:rsid w:val="007A028F"/>
    <w:rsid w:val="007A173F"/>
    <w:rsid w:val="007A2185"/>
    <w:rsid w:val="007A41FB"/>
    <w:rsid w:val="007A4717"/>
    <w:rsid w:val="007A4D2B"/>
    <w:rsid w:val="007B1D26"/>
    <w:rsid w:val="007B38D5"/>
    <w:rsid w:val="007B3FE9"/>
    <w:rsid w:val="007B49A4"/>
    <w:rsid w:val="007B50C4"/>
    <w:rsid w:val="007B55D0"/>
    <w:rsid w:val="007B7CD0"/>
    <w:rsid w:val="007C05CC"/>
    <w:rsid w:val="007C0682"/>
    <w:rsid w:val="007C2CDA"/>
    <w:rsid w:val="007C2EEA"/>
    <w:rsid w:val="007C7A45"/>
    <w:rsid w:val="007D12D3"/>
    <w:rsid w:val="007D411C"/>
    <w:rsid w:val="007D4D09"/>
    <w:rsid w:val="007E25C2"/>
    <w:rsid w:val="007E304C"/>
    <w:rsid w:val="007E371B"/>
    <w:rsid w:val="007E4D2E"/>
    <w:rsid w:val="007E4DF6"/>
    <w:rsid w:val="007E624D"/>
    <w:rsid w:val="007E7504"/>
    <w:rsid w:val="007F1696"/>
    <w:rsid w:val="007F1C65"/>
    <w:rsid w:val="007F2ECA"/>
    <w:rsid w:val="007F3361"/>
    <w:rsid w:val="007F5A73"/>
    <w:rsid w:val="007F6D97"/>
    <w:rsid w:val="00806367"/>
    <w:rsid w:val="00806740"/>
    <w:rsid w:val="00810249"/>
    <w:rsid w:val="008104F1"/>
    <w:rsid w:val="0081067F"/>
    <w:rsid w:val="00811432"/>
    <w:rsid w:val="008130CC"/>
    <w:rsid w:val="008139E9"/>
    <w:rsid w:val="00814731"/>
    <w:rsid w:val="00816668"/>
    <w:rsid w:val="00817157"/>
    <w:rsid w:val="0082273F"/>
    <w:rsid w:val="008239D0"/>
    <w:rsid w:val="00823CA2"/>
    <w:rsid w:val="0082412F"/>
    <w:rsid w:val="00826084"/>
    <w:rsid w:val="008313F7"/>
    <w:rsid w:val="00833800"/>
    <w:rsid w:val="00847F67"/>
    <w:rsid w:val="00853489"/>
    <w:rsid w:val="00856260"/>
    <w:rsid w:val="00860ABF"/>
    <w:rsid w:val="00862A64"/>
    <w:rsid w:val="00862B15"/>
    <w:rsid w:val="00863258"/>
    <w:rsid w:val="00863A5F"/>
    <w:rsid w:val="00863F8D"/>
    <w:rsid w:val="0086524A"/>
    <w:rsid w:val="008661BD"/>
    <w:rsid w:val="00871B24"/>
    <w:rsid w:val="00873ABA"/>
    <w:rsid w:val="00873FBA"/>
    <w:rsid w:val="008745E2"/>
    <w:rsid w:val="00874BE3"/>
    <w:rsid w:val="008758F9"/>
    <w:rsid w:val="0087733B"/>
    <w:rsid w:val="00877777"/>
    <w:rsid w:val="00880A19"/>
    <w:rsid w:val="00881D5D"/>
    <w:rsid w:val="008846DC"/>
    <w:rsid w:val="00886897"/>
    <w:rsid w:val="00886F05"/>
    <w:rsid w:val="00887DEF"/>
    <w:rsid w:val="0089226F"/>
    <w:rsid w:val="00893D06"/>
    <w:rsid w:val="00894962"/>
    <w:rsid w:val="00895879"/>
    <w:rsid w:val="00895E0A"/>
    <w:rsid w:val="00895E48"/>
    <w:rsid w:val="0089635E"/>
    <w:rsid w:val="008971A6"/>
    <w:rsid w:val="0089730C"/>
    <w:rsid w:val="0089795E"/>
    <w:rsid w:val="00897B22"/>
    <w:rsid w:val="008A1D01"/>
    <w:rsid w:val="008A26A5"/>
    <w:rsid w:val="008A511D"/>
    <w:rsid w:val="008A54CE"/>
    <w:rsid w:val="008A5792"/>
    <w:rsid w:val="008A5C75"/>
    <w:rsid w:val="008B4BF0"/>
    <w:rsid w:val="008B7866"/>
    <w:rsid w:val="008C04D7"/>
    <w:rsid w:val="008C334D"/>
    <w:rsid w:val="008C33D6"/>
    <w:rsid w:val="008C4803"/>
    <w:rsid w:val="008C63F4"/>
    <w:rsid w:val="008C7961"/>
    <w:rsid w:val="008D0309"/>
    <w:rsid w:val="008D2FB5"/>
    <w:rsid w:val="008D3EA4"/>
    <w:rsid w:val="008D5634"/>
    <w:rsid w:val="008E0506"/>
    <w:rsid w:val="008E233E"/>
    <w:rsid w:val="008E4CD0"/>
    <w:rsid w:val="008E5013"/>
    <w:rsid w:val="008E5BCF"/>
    <w:rsid w:val="008E5F9F"/>
    <w:rsid w:val="008E5FA6"/>
    <w:rsid w:val="008F0B20"/>
    <w:rsid w:val="008F670A"/>
    <w:rsid w:val="0090050E"/>
    <w:rsid w:val="00900862"/>
    <w:rsid w:val="00901AE1"/>
    <w:rsid w:val="009042FF"/>
    <w:rsid w:val="00905A07"/>
    <w:rsid w:val="00905B48"/>
    <w:rsid w:val="00906649"/>
    <w:rsid w:val="00907A73"/>
    <w:rsid w:val="00913559"/>
    <w:rsid w:val="00913A89"/>
    <w:rsid w:val="00914559"/>
    <w:rsid w:val="00916C60"/>
    <w:rsid w:val="009178A9"/>
    <w:rsid w:val="0092271C"/>
    <w:rsid w:val="0092277E"/>
    <w:rsid w:val="00922D99"/>
    <w:rsid w:val="009232DF"/>
    <w:rsid w:val="00923ADE"/>
    <w:rsid w:val="009244BC"/>
    <w:rsid w:val="00925AB2"/>
    <w:rsid w:val="009278D0"/>
    <w:rsid w:val="00927BB6"/>
    <w:rsid w:val="009303C5"/>
    <w:rsid w:val="009335C9"/>
    <w:rsid w:val="00936D31"/>
    <w:rsid w:val="00943FAE"/>
    <w:rsid w:val="00953B73"/>
    <w:rsid w:val="00956DD3"/>
    <w:rsid w:val="00963A98"/>
    <w:rsid w:val="00963BC7"/>
    <w:rsid w:val="00964885"/>
    <w:rsid w:val="0096509F"/>
    <w:rsid w:val="0096515C"/>
    <w:rsid w:val="00967B2A"/>
    <w:rsid w:val="00983F45"/>
    <w:rsid w:val="00985776"/>
    <w:rsid w:val="00985A45"/>
    <w:rsid w:val="00987862"/>
    <w:rsid w:val="00987F8E"/>
    <w:rsid w:val="00990580"/>
    <w:rsid w:val="00995C8C"/>
    <w:rsid w:val="00995DD2"/>
    <w:rsid w:val="009969C8"/>
    <w:rsid w:val="00996B71"/>
    <w:rsid w:val="00997768"/>
    <w:rsid w:val="009A08B7"/>
    <w:rsid w:val="009A14D1"/>
    <w:rsid w:val="009A1A8B"/>
    <w:rsid w:val="009A2290"/>
    <w:rsid w:val="009A2650"/>
    <w:rsid w:val="009A385B"/>
    <w:rsid w:val="009A4A3C"/>
    <w:rsid w:val="009A6B37"/>
    <w:rsid w:val="009B098A"/>
    <w:rsid w:val="009B0A6B"/>
    <w:rsid w:val="009B3D5C"/>
    <w:rsid w:val="009B56BC"/>
    <w:rsid w:val="009B5AEF"/>
    <w:rsid w:val="009B61A7"/>
    <w:rsid w:val="009C082B"/>
    <w:rsid w:val="009C2C0C"/>
    <w:rsid w:val="009C4264"/>
    <w:rsid w:val="009C6EC2"/>
    <w:rsid w:val="009D0067"/>
    <w:rsid w:val="009D3DA8"/>
    <w:rsid w:val="009D6CEC"/>
    <w:rsid w:val="009E334C"/>
    <w:rsid w:val="009E75C7"/>
    <w:rsid w:val="009F0AC6"/>
    <w:rsid w:val="009F2295"/>
    <w:rsid w:val="009F4A21"/>
    <w:rsid w:val="009F4FA2"/>
    <w:rsid w:val="009F7477"/>
    <w:rsid w:val="009F786C"/>
    <w:rsid w:val="009F78A8"/>
    <w:rsid w:val="00A001F8"/>
    <w:rsid w:val="00A006A0"/>
    <w:rsid w:val="00A011A5"/>
    <w:rsid w:val="00A06E42"/>
    <w:rsid w:val="00A1204E"/>
    <w:rsid w:val="00A12FC3"/>
    <w:rsid w:val="00A14CC1"/>
    <w:rsid w:val="00A14F2B"/>
    <w:rsid w:val="00A1722D"/>
    <w:rsid w:val="00A205F0"/>
    <w:rsid w:val="00A20789"/>
    <w:rsid w:val="00A24369"/>
    <w:rsid w:val="00A25035"/>
    <w:rsid w:val="00A25D79"/>
    <w:rsid w:val="00A2613F"/>
    <w:rsid w:val="00A276FB"/>
    <w:rsid w:val="00A305A8"/>
    <w:rsid w:val="00A31277"/>
    <w:rsid w:val="00A329C4"/>
    <w:rsid w:val="00A3331B"/>
    <w:rsid w:val="00A3551C"/>
    <w:rsid w:val="00A3720E"/>
    <w:rsid w:val="00A40C09"/>
    <w:rsid w:val="00A42C5B"/>
    <w:rsid w:val="00A4450B"/>
    <w:rsid w:val="00A45501"/>
    <w:rsid w:val="00A458E7"/>
    <w:rsid w:val="00A459F3"/>
    <w:rsid w:val="00A519CC"/>
    <w:rsid w:val="00A52719"/>
    <w:rsid w:val="00A52E17"/>
    <w:rsid w:val="00A54497"/>
    <w:rsid w:val="00A544B6"/>
    <w:rsid w:val="00A55EF2"/>
    <w:rsid w:val="00A56A92"/>
    <w:rsid w:val="00A62634"/>
    <w:rsid w:val="00A626C3"/>
    <w:rsid w:val="00A62BB7"/>
    <w:rsid w:val="00A67103"/>
    <w:rsid w:val="00A70A4B"/>
    <w:rsid w:val="00A72D23"/>
    <w:rsid w:val="00A73DD9"/>
    <w:rsid w:val="00A7434D"/>
    <w:rsid w:val="00A749A2"/>
    <w:rsid w:val="00A74E83"/>
    <w:rsid w:val="00A756F6"/>
    <w:rsid w:val="00A767B0"/>
    <w:rsid w:val="00A7783E"/>
    <w:rsid w:val="00A82B03"/>
    <w:rsid w:val="00A8629D"/>
    <w:rsid w:val="00A916F6"/>
    <w:rsid w:val="00A95E84"/>
    <w:rsid w:val="00A974E7"/>
    <w:rsid w:val="00A97C98"/>
    <w:rsid w:val="00AA1627"/>
    <w:rsid w:val="00AA1DFC"/>
    <w:rsid w:val="00AA2B12"/>
    <w:rsid w:val="00AA3806"/>
    <w:rsid w:val="00AA4887"/>
    <w:rsid w:val="00AA509C"/>
    <w:rsid w:val="00AA7DBF"/>
    <w:rsid w:val="00AB0A0C"/>
    <w:rsid w:val="00AB289D"/>
    <w:rsid w:val="00AB31BC"/>
    <w:rsid w:val="00AB5B9F"/>
    <w:rsid w:val="00AB6566"/>
    <w:rsid w:val="00AC17C0"/>
    <w:rsid w:val="00AC17E9"/>
    <w:rsid w:val="00AC3006"/>
    <w:rsid w:val="00AC37CE"/>
    <w:rsid w:val="00AC4E84"/>
    <w:rsid w:val="00AC6948"/>
    <w:rsid w:val="00AC6D8B"/>
    <w:rsid w:val="00AD4B1E"/>
    <w:rsid w:val="00AD7E9E"/>
    <w:rsid w:val="00AE1AF8"/>
    <w:rsid w:val="00AE3042"/>
    <w:rsid w:val="00AE4B98"/>
    <w:rsid w:val="00AE5742"/>
    <w:rsid w:val="00AE77AD"/>
    <w:rsid w:val="00AF2D3B"/>
    <w:rsid w:val="00AF315D"/>
    <w:rsid w:val="00AF3308"/>
    <w:rsid w:val="00AF373A"/>
    <w:rsid w:val="00AF7A96"/>
    <w:rsid w:val="00B0788D"/>
    <w:rsid w:val="00B07CE7"/>
    <w:rsid w:val="00B125CF"/>
    <w:rsid w:val="00B2078D"/>
    <w:rsid w:val="00B233AC"/>
    <w:rsid w:val="00B2535C"/>
    <w:rsid w:val="00B25AA1"/>
    <w:rsid w:val="00B26B70"/>
    <w:rsid w:val="00B31149"/>
    <w:rsid w:val="00B32C24"/>
    <w:rsid w:val="00B340C1"/>
    <w:rsid w:val="00B35FD1"/>
    <w:rsid w:val="00B36984"/>
    <w:rsid w:val="00B36B45"/>
    <w:rsid w:val="00B37F69"/>
    <w:rsid w:val="00B4318C"/>
    <w:rsid w:val="00B43994"/>
    <w:rsid w:val="00B439EE"/>
    <w:rsid w:val="00B45F26"/>
    <w:rsid w:val="00B52BDD"/>
    <w:rsid w:val="00B5650C"/>
    <w:rsid w:val="00B615F8"/>
    <w:rsid w:val="00B62BA3"/>
    <w:rsid w:val="00B62E7B"/>
    <w:rsid w:val="00B63C4C"/>
    <w:rsid w:val="00B6466C"/>
    <w:rsid w:val="00B66A1B"/>
    <w:rsid w:val="00B67C21"/>
    <w:rsid w:val="00B71ED2"/>
    <w:rsid w:val="00B74FCC"/>
    <w:rsid w:val="00B80666"/>
    <w:rsid w:val="00B81319"/>
    <w:rsid w:val="00B82517"/>
    <w:rsid w:val="00B902F9"/>
    <w:rsid w:val="00B915D3"/>
    <w:rsid w:val="00B91797"/>
    <w:rsid w:val="00B93F89"/>
    <w:rsid w:val="00B96744"/>
    <w:rsid w:val="00BA20CF"/>
    <w:rsid w:val="00BA2EAA"/>
    <w:rsid w:val="00BA416C"/>
    <w:rsid w:val="00BA477F"/>
    <w:rsid w:val="00BA75EB"/>
    <w:rsid w:val="00BA7AD1"/>
    <w:rsid w:val="00BB0D36"/>
    <w:rsid w:val="00BB20B8"/>
    <w:rsid w:val="00BB2E52"/>
    <w:rsid w:val="00BB3BF6"/>
    <w:rsid w:val="00BB4B35"/>
    <w:rsid w:val="00BB7D88"/>
    <w:rsid w:val="00BC60CD"/>
    <w:rsid w:val="00BC6BAA"/>
    <w:rsid w:val="00BC7206"/>
    <w:rsid w:val="00BD0A77"/>
    <w:rsid w:val="00BD2B68"/>
    <w:rsid w:val="00BD5572"/>
    <w:rsid w:val="00BD5795"/>
    <w:rsid w:val="00BD7B43"/>
    <w:rsid w:val="00BE2CC4"/>
    <w:rsid w:val="00BE2E2D"/>
    <w:rsid w:val="00BE54AF"/>
    <w:rsid w:val="00BE6BE6"/>
    <w:rsid w:val="00BF0A59"/>
    <w:rsid w:val="00BF2506"/>
    <w:rsid w:val="00BF5CB3"/>
    <w:rsid w:val="00BF71D9"/>
    <w:rsid w:val="00BF7941"/>
    <w:rsid w:val="00C017F6"/>
    <w:rsid w:val="00C054B6"/>
    <w:rsid w:val="00C061CE"/>
    <w:rsid w:val="00C104AF"/>
    <w:rsid w:val="00C12909"/>
    <w:rsid w:val="00C12A08"/>
    <w:rsid w:val="00C16097"/>
    <w:rsid w:val="00C17637"/>
    <w:rsid w:val="00C229F1"/>
    <w:rsid w:val="00C22D5D"/>
    <w:rsid w:val="00C24FC0"/>
    <w:rsid w:val="00C2622F"/>
    <w:rsid w:val="00C271DE"/>
    <w:rsid w:val="00C31085"/>
    <w:rsid w:val="00C322C0"/>
    <w:rsid w:val="00C333EC"/>
    <w:rsid w:val="00C338E2"/>
    <w:rsid w:val="00C33A83"/>
    <w:rsid w:val="00C35831"/>
    <w:rsid w:val="00C37161"/>
    <w:rsid w:val="00C44EB1"/>
    <w:rsid w:val="00C45D5C"/>
    <w:rsid w:val="00C47F3F"/>
    <w:rsid w:val="00C505F9"/>
    <w:rsid w:val="00C525C9"/>
    <w:rsid w:val="00C54343"/>
    <w:rsid w:val="00C54E42"/>
    <w:rsid w:val="00C5644C"/>
    <w:rsid w:val="00C56D67"/>
    <w:rsid w:val="00C5787C"/>
    <w:rsid w:val="00C61423"/>
    <w:rsid w:val="00C619FF"/>
    <w:rsid w:val="00C62050"/>
    <w:rsid w:val="00C631D6"/>
    <w:rsid w:val="00C6323E"/>
    <w:rsid w:val="00C633E5"/>
    <w:rsid w:val="00C67691"/>
    <w:rsid w:val="00C7161F"/>
    <w:rsid w:val="00C742CD"/>
    <w:rsid w:val="00C778E5"/>
    <w:rsid w:val="00C81B10"/>
    <w:rsid w:val="00C84507"/>
    <w:rsid w:val="00C879BF"/>
    <w:rsid w:val="00C87F49"/>
    <w:rsid w:val="00C90723"/>
    <w:rsid w:val="00C91CED"/>
    <w:rsid w:val="00C9200B"/>
    <w:rsid w:val="00C932C3"/>
    <w:rsid w:val="00C93BEE"/>
    <w:rsid w:val="00C956D0"/>
    <w:rsid w:val="00CA15D5"/>
    <w:rsid w:val="00CA4D84"/>
    <w:rsid w:val="00CA5654"/>
    <w:rsid w:val="00CA73E2"/>
    <w:rsid w:val="00CA771A"/>
    <w:rsid w:val="00CB2248"/>
    <w:rsid w:val="00CB2ADF"/>
    <w:rsid w:val="00CB401A"/>
    <w:rsid w:val="00CB40CF"/>
    <w:rsid w:val="00CB67D8"/>
    <w:rsid w:val="00CC059B"/>
    <w:rsid w:val="00CC0683"/>
    <w:rsid w:val="00CC3780"/>
    <w:rsid w:val="00CC60F6"/>
    <w:rsid w:val="00CC6122"/>
    <w:rsid w:val="00CC7576"/>
    <w:rsid w:val="00CD00B3"/>
    <w:rsid w:val="00CD1D06"/>
    <w:rsid w:val="00CD6E38"/>
    <w:rsid w:val="00CD6F53"/>
    <w:rsid w:val="00CE15F7"/>
    <w:rsid w:val="00CE2B35"/>
    <w:rsid w:val="00CE2EC1"/>
    <w:rsid w:val="00CF0FA3"/>
    <w:rsid w:val="00CF6405"/>
    <w:rsid w:val="00CF6515"/>
    <w:rsid w:val="00D00906"/>
    <w:rsid w:val="00D039CB"/>
    <w:rsid w:val="00D0703A"/>
    <w:rsid w:val="00D071AD"/>
    <w:rsid w:val="00D074B6"/>
    <w:rsid w:val="00D10A73"/>
    <w:rsid w:val="00D10FAF"/>
    <w:rsid w:val="00D1312F"/>
    <w:rsid w:val="00D13559"/>
    <w:rsid w:val="00D14FCF"/>
    <w:rsid w:val="00D15B45"/>
    <w:rsid w:val="00D202E0"/>
    <w:rsid w:val="00D2036E"/>
    <w:rsid w:val="00D21F67"/>
    <w:rsid w:val="00D22DBD"/>
    <w:rsid w:val="00D25E56"/>
    <w:rsid w:val="00D264D5"/>
    <w:rsid w:val="00D31838"/>
    <w:rsid w:val="00D337FE"/>
    <w:rsid w:val="00D33BEC"/>
    <w:rsid w:val="00D349F5"/>
    <w:rsid w:val="00D463D0"/>
    <w:rsid w:val="00D47620"/>
    <w:rsid w:val="00D51BCA"/>
    <w:rsid w:val="00D51EF4"/>
    <w:rsid w:val="00D52E32"/>
    <w:rsid w:val="00D53F34"/>
    <w:rsid w:val="00D5403C"/>
    <w:rsid w:val="00D544F9"/>
    <w:rsid w:val="00D55E08"/>
    <w:rsid w:val="00D57190"/>
    <w:rsid w:val="00D577E9"/>
    <w:rsid w:val="00D60A30"/>
    <w:rsid w:val="00D61F0B"/>
    <w:rsid w:val="00D6238E"/>
    <w:rsid w:val="00D62678"/>
    <w:rsid w:val="00D63AE4"/>
    <w:rsid w:val="00D72094"/>
    <w:rsid w:val="00D74DEA"/>
    <w:rsid w:val="00D74E76"/>
    <w:rsid w:val="00D81510"/>
    <w:rsid w:val="00D828E9"/>
    <w:rsid w:val="00D839E2"/>
    <w:rsid w:val="00D84541"/>
    <w:rsid w:val="00D92283"/>
    <w:rsid w:val="00D92365"/>
    <w:rsid w:val="00D93C72"/>
    <w:rsid w:val="00D94E6A"/>
    <w:rsid w:val="00D958E9"/>
    <w:rsid w:val="00D95B6A"/>
    <w:rsid w:val="00D9719E"/>
    <w:rsid w:val="00D97EFE"/>
    <w:rsid w:val="00DA0CE8"/>
    <w:rsid w:val="00DA125D"/>
    <w:rsid w:val="00DA55C9"/>
    <w:rsid w:val="00DB2521"/>
    <w:rsid w:val="00DB25CF"/>
    <w:rsid w:val="00DB476D"/>
    <w:rsid w:val="00DB77DA"/>
    <w:rsid w:val="00DC001C"/>
    <w:rsid w:val="00DC1072"/>
    <w:rsid w:val="00DC108D"/>
    <w:rsid w:val="00DC14F7"/>
    <w:rsid w:val="00DC269B"/>
    <w:rsid w:val="00DC31BB"/>
    <w:rsid w:val="00DC42CD"/>
    <w:rsid w:val="00DC7318"/>
    <w:rsid w:val="00DD042E"/>
    <w:rsid w:val="00DD462B"/>
    <w:rsid w:val="00DD4D10"/>
    <w:rsid w:val="00DD5072"/>
    <w:rsid w:val="00DE0F70"/>
    <w:rsid w:val="00DE34DF"/>
    <w:rsid w:val="00DE40C2"/>
    <w:rsid w:val="00DE547E"/>
    <w:rsid w:val="00DE62F5"/>
    <w:rsid w:val="00DE6363"/>
    <w:rsid w:val="00DE75BD"/>
    <w:rsid w:val="00DF4260"/>
    <w:rsid w:val="00DF44AF"/>
    <w:rsid w:val="00DF5C3D"/>
    <w:rsid w:val="00DF5FF2"/>
    <w:rsid w:val="00DF656F"/>
    <w:rsid w:val="00E011E1"/>
    <w:rsid w:val="00E0125C"/>
    <w:rsid w:val="00E01263"/>
    <w:rsid w:val="00E013B0"/>
    <w:rsid w:val="00E03A1B"/>
    <w:rsid w:val="00E04268"/>
    <w:rsid w:val="00E1012E"/>
    <w:rsid w:val="00E106DB"/>
    <w:rsid w:val="00E127B0"/>
    <w:rsid w:val="00E13083"/>
    <w:rsid w:val="00E13B8A"/>
    <w:rsid w:val="00E13C36"/>
    <w:rsid w:val="00E16DAF"/>
    <w:rsid w:val="00E16EDF"/>
    <w:rsid w:val="00E20016"/>
    <w:rsid w:val="00E20DD5"/>
    <w:rsid w:val="00E21CB1"/>
    <w:rsid w:val="00E22267"/>
    <w:rsid w:val="00E24DB5"/>
    <w:rsid w:val="00E26B40"/>
    <w:rsid w:val="00E304A6"/>
    <w:rsid w:val="00E313ED"/>
    <w:rsid w:val="00E3329B"/>
    <w:rsid w:val="00E33EA5"/>
    <w:rsid w:val="00E3799E"/>
    <w:rsid w:val="00E42526"/>
    <w:rsid w:val="00E42FC9"/>
    <w:rsid w:val="00E43912"/>
    <w:rsid w:val="00E43D96"/>
    <w:rsid w:val="00E44C93"/>
    <w:rsid w:val="00E46A52"/>
    <w:rsid w:val="00E52019"/>
    <w:rsid w:val="00E5556B"/>
    <w:rsid w:val="00E63838"/>
    <w:rsid w:val="00E63C24"/>
    <w:rsid w:val="00E65B66"/>
    <w:rsid w:val="00E668DB"/>
    <w:rsid w:val="00E67E33"/>
    <w:rsid w:val="00E750A0"/>
    <w:rsid w:val="00E76F9A"/>
    <w:rsid w:val="00E7773B"/>
    <w:rsid w:val="00E80385"/>
    <w:rsid w:val="00E81B4E"/>
    <w:rsid w:val="00E86D71"/>
    <w:rsid w:val="00E91068"/>
    <w:rsid w:val="00E92334"/>
    <w:rsid w:val="00E94963"/>
    <w:rsid w:val="00E97561"/>
    <w:rsid w:val="00EA0413"/>
    <w:rsid w:val="00EA1730"/>
    <w:rsid w:val="00EA300E"/>
    <w:rsid w:val="00EA4DA7"/>
    <w:rsid w:val="00EA5479"/>
    <w:rsid w:val="00EA6A11"/>
    <w:rsid w:val="00EA6F90"/>
    <w:rsid w:val="00EB0BB3"/>
    <w:rsid w:val="00EB13A9"/>
    <w:rsid w:val="00EB476C"/>
    <w:rsid w:val="00EB6197"/>
    <w:rsid w:val="00EB6F87"/>
    <w:rsid w:val="00EC1833"/>
    <w:rsid w:val="00EC3787"/>
    <w:rsid w:val="00EC3B7F"/>
    <w:rsid w:val="00EC4CE1"/>
    <w:rsid w:val="00EC5984"/>
    <w:rsid w:val="00EC7F98"/>
    <w:rsid w:val="00ED10C2"/>
    <w:rsid w:val="00ED23C3"/>
    <w:rsid w:val="00ED465D"/>
    <w:rsid w:val="00ED61C1"/>
    <w:rsid w:val="00ED7747"/>
    <w:rsid w:val="00ED788D"/>
    <w:rsid w:val="00EE1108"/>
    <w:rsid w:val="00EE21D3"/>
    <w:rsid w:val="00EE3EDD"/>
    <w:rsid w:val="00EE487E"/>
    <w:rsid w:val="00EE52D1"/>
    <w:rsid w:val="00EE61F0"/>
    <w:rsid w:val="00EE63AC"/>
    <w:rsid w:val="00EE7B36"/>
    <w:rsid w:val="00EF1603"/>
    <w:rsid w:val="00EF5992"/>
    <w:rsid w:val="00EF6CF5"/>
    <w:rsid w:val="00F00F33"/>
    <w:rsid w:val="00F0519B"/>
    <w:rsid w:val="00F06CFA"/>
    <w:rsid w:val="00F12687"/>
    <w:rsid w:val="00F13C47"/>
    <w:rsid w:val="00F146BF"/>
    <w:rsid w:val="00F16A41"/>
    <w:rsid w:val="00F16E44"/>
    <w:rsid w:val="00F213B4"/>
    <w:rsid w:val="00F23686"/>
    <w:rsid w:val="00F24A87"/>
    <w:rsid w:val="00F26398"/>
    <w:rsid w:val="00F26E13"/>
    <w:rsid w:val="00F3226D"/>
    <w:rsid w:val="00F328EB"/>
    <w:rsid w:val="00F36A27"/>
    <w:rsid w:val="00F37F3E"/>
    <w:rsid w:val="00F4117D"/>
    <w:rsid w:val="00F413DB"/>
    <w:rsid w:val="00F414AB"/>
    <w:rsid w:val="00F43F83"/>
    <w:rsid w:val="00F444F0"/>
    <w:rsid w:val="00F50A17"/>
    <w:rsid w:val="00F515B7"/>
    <w:rsid w:val="00F559AC"/>
    <w:rsid w:val="00F56726"/>
    <w:rsid w:val="00F60E5A"/>
    <w:rsid w:val="00F6270F"/>
    <w:rsid w:val="00F6281B"/>
    <w:rsid w:val="00F6352A"/>
    <w:rsid w:val="00F63874"/>
    <w:rsid w:val="00F646A5"/>
    <w:rsid w:val="00F65753"/>
    <w:rsid w:val="00F65D4D"/>
    <w:rsid w:val="00F65DF4"/>
    <w:rsid w:val="00F67429"/>
    <w:rsid w:val="00F67A99"/>
    <w:rsid w:val="00F75E9E"/>
    <w:rsid w:val="00F7747A"/>
    <w:rsid w:val="00F80902"/>
    <w:rsid w:val="00F815B3"/>
    <w:rsid w:val="00F840AE"/>
    <w:rsid w:val="00F85CA5"/>
    <w:rsid w:val="00F908F6"/>
    <w:rsid w:val="00F913A9"/>
    <w:rsid w:val="00F92210"/>
    <w:rsid w:val="00F928B5"/>
    <w:rsid w:val="00F93B5E"/>
    <w:rsid w:val="00F949E3"/>
    <w:rsid w:val="00F95A58"/>
    <w:rsid w:val="00F97CC7"/>
    <w:rsid w:val="00FA07FB"/>
    <w:rsid w:val="00FA1025"/>
    <w:rsid w:val="00FA15CE"/>
    <w:rsid w:val="00FA2788"/>
    <w:rsid w:val="00FA35A8"/>
    <w:rsid w:val="00FA397A"/>
    <w:rsid w:val="00FB0B53"/>
    <w:rsid w:val="00FB3CA0"/>
    <w:rsid w:val="00FB48A9"/>
    <w:rsid w:val="00FB4BEE"/>
    <w:rsid w:val="00FB520C"/>
    <w:rsid w:val="00FB74AD"/>
    <w:rsid w:val="00FB7A26"/>
    <w:rsid w:val="00FB7E8D"/>
    <w:rsid w:val="00FC0BEF"/>
    <w:rsid w:val="00FC0E8A"/>
    <w:rsid w:val="00FC2AB0"/>
    <w:rsid w:val="00FC6173"/>
    <w:rsid w:val="00FC75F1"/>
    <w:rsid w:val="00FD3196"/>
    <w:rsid w:val="00FD3B47"/>
    <w:rsid w:val="00FD679C"/>
    <w:rsid w:val="00FD71A3"/>
    <w:rsid w:val="00FE0034"/>
    <w:rsid w:val="00FE0379"/>
    <w:rsid w:val="00FE3783"/>
    <w:rsid w:val="00FE3A3D"/>
    <w:rsid w:val="00FE42DF"/>
    <w:rsid w:val="00FE4BBF"/>
    <w:rsid w:val="00FE4DC7"/>
    <w:rsid w:val="00FE68B2"/>
    <w:rsid w:val="00FF0547"/>
    <w:rsid w:val="00FF1BD8"/>
    <w:rsid w:val="00FF20FC"/>
    <w:rsid w:val="00FF2911"/>
    <w:rsid w:val="00FF29D3"/>
    <w:rsid w:val="00FF2B64"/>
    <w:rsid w:val="00FF2F7E"/>
    <w:rsid w:val="00FF56CD"/>
    <w:rsid w:val="00FF7435"/>
    <w:rsid w:val="00FF7B95"/>
    <w:rsid w:val="01850336"/>
    <w:rsid w:val="01DA5908"/>
    <w:rsid w:val="022B296C"/>
    <w:rsid w:val="0325222A"/>
    <w:rsid w:val="041864FF"/>
    <w:rsid w:val="04A5028C"/>
    <w:rsid w:val="05020C3A"/>
    <w:rsid w:val="05BB67B5"/>
    <w:rsid w:val="076F6095"/>
    <w:rsid w:val="07E31891"/>
    <w:rsid w:val="08032CE6"/>
    <w:rsid w:val="083A4517"/>
    <w:rsid w:val="087D440F"/>
    <w:rsid w:val="093E6593"/>
    <w:rsid w:val="09940D37"/>
    <w:rsid w:val="0ACB50DD"/>
    <w:rsid w:val="0C840BF9"/>
    <w:rsid w:val="0E190214"/>
    <w:rsid w:val="100C03F7"/>
    <w:rsid w:val="125D629F"/>
    <w:rsid w:val="143936D8"/>
    <w:rsid w:val="14691370"/>
    <w:rsid w:val="14917754"/>
    <w:rsid w:val="17A9396F"/>
    <w:rsid w:val="1D9A2A99"/>
    <w:rsid w:val="1DFC4A67"/>
    <w:rsid w:val="1F073BDC"/>
    <w:rsid w:val="1F096BCB"/>
    <w:rsid w:val="1FEF55E2"/>
    <w:rsid w:val="20C25233"/>
    <w:rsid w:val="21A42DF1"/>
    <w:rsid w:val="22192627"/>
    <w:rsid w:val="22827886"/>
    <w:rsid w:val="23874A9E"/>
    <w:rsid w:val="24BF57A7"/>
    <w:rsid w:val="27D668C5"/>
    <w:rsid w:val="28EF4EAE"/>
    <w:rsid w:val="28F3097D"/>
    <w:rsid w:val="2A1C4553"/>
    <w:rsid w:val="2C155DAD"/>
    <w:rsid w:val="2C864070"/>
    <w:rsid w:val="2F1A5A56"/>
    <w:rsid w:val="2F8D01B1"/>
    <w:rsid w:val="3153559F"/>
    <w:rsid w:val="31612853"/>
    <w:rsid w:val="31A83FE9"/>
    <w:rsid w:val="35410C3E"/>
    <w:rsid w:val="356279EA"/>
    <w:rsid w:val="364720BA"/>
    <w:rsid w:val="39A6213B"/>
    <w:rsid w:val="3E0E2F76"/>
    <w:rsid w:val="3F7153F9"/>
    <w:rsid w:val="3F994F93"/>
    <w:rsid w:val="3FC317DC"/>
    <w:rsid w:val="3FEF2FD4"/>
    <w:rsid w:val="402F48BD"/>
    <w:rsid w:val="40EB34E0"/>
    <w:rsid w:val="414F02D4"/>
    <w:rsid w:val="420F6F26"/>
    <w:rsid w:val="42AB57C0"/>
    <w:rsid w:val="42DC18B0"/>
    <w:rsid w:val="478B125C"/>
    <w:rsid w:val="47CD4A37"/>
    <w:rsid w:val="498E4CFF"/>
    <w:rsid w:val="49DE4A17"/>
    <w:rsid w:val="4A345A29"/>
    <w:rsid w:val="4BB6023E"/>
    <w:rsid w:val="4F721171"/>
    <w:rsid w:val="501222E0"/>
    <w:rsid w:val="507C2C79"/>
    <w:rsid w:val="53CE168B"/>
    <w:rsid w:val="54A05C84"/>
    <w:rsid w:val="54D95362"/>
    <w:rsid w:val="56015575"/>
    <w:rsid w:val="562F3567"/>
    <w:rsid w:val="56DF0A43"/>
    <w:rsid w:val="578660E0"/>
    <w:rsid w:val="589849E6"/>
    <w:rsid w:val="5987789B"/>
    <w:rsid w:val="5A186426"/>
    <w:rsid w:val="5A5A64D3"/>
    <w:rsid w:val="5B5867FE"/>
    <w:rsid w:val="5B5E69AB"/>
    <w:rsid w:val="5BA30875"/>
    <w:rsid w:val="5BD11F2F"/>
    <w:rsid w:val="5D206C20"/>
    <w:rsid w:val="5ECC3FA2"/>
    <w:rsid w:val="5EFB10EC"/>
    <w:rsid w:val="5F975656"/>
    <w:rsid w:val="5FC44D33"/>
    <w:rsid w:val="61D250D4"/>
    <w:rsid w:val="62FC132B"/>
    <w:rsid w:val="638A0558"/>
    <w:rsid w:val="667D6D4B"/>
    <w:rsid w:val="668E548D"/>
    <w:rsid w:val="67DB7004"/>
    <w:rsid w:val="68643ADC"/>
    <w:rsid w:val="68EA74FF"/>
    <w:rsid w:val="69DD0BFE"/>
    <w:rsid w:val="6AEA1A38"/>
    <w:rsid w:val="6B633598"/>
    <w:rsid w:val="6C6E0447"/>
    <w:rsid w:val="6D4D000C"/>
    <w:rsid w:val="6D6C0781"/>
    <w:rsid w:val="6E49116B"/>
    <w:rsid w:val="6F627F36"/>
    <w:rsid w:val="71606C3B"/>
    <w:rsid w:val="7201523C"/>
    <w:rsid w:val="74640099"/>
    <w:rsid w:val="74686C8A"/>
    <w:rsid w:val="76E41B32"/>
    <w:rsid w:val="77B062CA"/>
    <w:rsid w:val="77C36C9A"/>
    <w:rsid w:val="78091C0E"/>
    <w:rsid w:val="79D10442"/>
    <w:rsid w:val="7A86454D"/>
    <w:rsid w:val="7AEF0BC9"/>
    <w:rsid w:val="7B445194"/>
    <w:rsid w:val="7B7E31E4"/>
    <w:rsid w:val="7C22274D"/>
    <w:rsid w:val="7D7D563E"/>
    <w:rsid w:val="7FB818B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5"/>
    <w:qFormat/>
    <w:uiPriority w:val="0"/>
    <w:pPr>
      <w:keepNext/>
      <w:keepLines/>
      <w:numPr>
        <w:ilvl w:val="0"/>
        <w:numId w:val="1"/>
      </w:numPr>
      <w:autoSpaceDE w:val="0"/>
      <w:autoSpaceDN w:val="0"/>
      <w:adjustRightInd w:val="0"/>
      <w:spacing w:before="120" w:after="60" w:line="288" w:lineRule="auto"/>
      <w:jc w:val="left"/>
      <w:textAlignment w:val="baseline"/>
      <w:outlineLvl w:val="0"/>
    </w:pPr>
    <w:rPr>
      <w:rFonts w:eastAsia="魏碑"/>
      <w:b/>
      <w:kern w:val="0"/>
      <w:sz w:val="36"/>
      <w:szCs w:val="20"/>
    </w:rPr>
  </w:style>
  <w:style w:type="paragraph" w:styleId="3">
    <w:name w:val="heading 2"/>
    <w:basedOn w:val="1"/>
    <w:next w:val="1"/>
    <w:link w:val="46"/>
    <w:qFormat/>
    <w:uiPriority w:val="0"/>
    <w:pPr>
      <w:keepNext/>
      <w:keepLines/>
      <w:numPr>
        <w:ilvl w:val="1"/>
        <w:numId w:val="1"/>
      </w:numPr>
      <w:autoSpaceDE w:val="0"/>
      <w:autoSpaceDN w:val="0"/>
      <w:adjustRightInd w:val="0"/>
      <w:spacing w:before="100" w:after="60" w:line="288" w:lineRule="auto"/>
      <w:jc w:val="left"/>
      <w:textAlignment w:val="baseline"/>
      <w:outlineLvl w:val="1"/>
    </w:pPr>
    <w:rPr>
      <w:rFonts w:eastAsia="黑体"/>
      <w:kern w:val="0"/>
      <w:sz w:val="30"/>
      <w:szCs w:val="20"/>
    </w:rPr>
  </w:style>
  <w:style w:type="paragraph" w:styleId="4">
    <w:name w:val="heading 3"/>
    <w:basedOn w:val="1"/>
    <w:next w:val="1"/>
    <w:link w:val="47"/>
    <w:qFormat/>
    <w:uiPriority w:val="0"/>
    <w:pPr>
      <w:keepNext/>
      <w:keepLines/>
      <w:numPr>
        <w:ilvl w:val="2"/>
        <w:numId w:val="1"/>
      </w:numPr>
      <w:autoSpaceDE w:val="0"/>
      <w:autoSpaceDN w:val="0"/>
      <w:adjustRightInd w:val="0"/>
      <w:spacing w:before="20" w:after="20" w:line="288" w:lineRule="auto"/>
      <w:jc w:val="left"/>
      <w:textAlignment w:val="baseline"/>
      <w:outlineLvl w:val="2"/>
    </w:pPr>
    <w:rPr>
      <w:rFonts w:eastAsia="黑体"/>
      <w:kern w:val="0"/>
      <w:sz w:val="28"/>
      <w:szCs w:val="20"/>
    </w:rPr>
  </w:style>
  <w:style w:type="paragraph" w:styleId="5">
    <w:name w:val="heading 4"/>
    <w:basedOn w:val="1"/>
    <w:next w:val="1"/>
    <w:link w:val="48"/>
    <w:qFormat/>
    <w:uiPriority w:val="0"/>
    <w:pPr>
      <w:keepNext/>
      <w:keepLines/>
      <w:numPr>
        <w:ilvl w:val="3"/>
        <w:numId w:val="1"/>
      </w:numPr>
      <w:autoSpaceDE w:val="0"/>
      <w:autoSpaceDN w:val="0"/>
      <w:adjustRightInd w:val="0"/>
      <w:spacing w:before="20" w:line="288" w:lineRule="auto"/>
      <w:jc w:val="left"/>
      <w:textAlignment w:val="baseline"/>
      <w:outlineLvl w:val="3"/>
    </w:pPr>
    <w:rPr>
      <w:rFonts w:eastAsia="长城楷体"/>
      <w:b/>
      <w:kern w:val="0"/>
      <w:sz w:val="28"/>
      <w:szCs w:val="20"/>
    </w:rPr>
  </w:style>
  <w:style w:type="paragraph" w:styleId="6">
    <w:name w:val="heading 5"/>
    <w:basedOn w:val="1"/>
    <w:next w:val="1"/>
    <w:link w:val="49"/>
    <w:qFormat/>
    <w:uiPriority w:val="0"/>
    <w:pPr>
      <w:keepNext/>
      <w:keepLines/>
      <w:numPr>
        <w:ilvl w:val="4"/>
        <w:numId w:val="1"/>
      </w:numPr>
      <w:autoSpaceDE w:val="0"/>
      <w:autoSpaceDN w:val="0"/>
      <w:adjustRightInd w:val="0"/>
      <w:spacing w:line="288" w:lineRule="auto"/>
      <w:jc w:val="left"/>
      <w:textAlignment w:val="baseline"/>
      <w:outlineLvl w:val="4"/>
    </w:pPr>
    <w:rPr>
      <w:b/>
      <w:kern w:val="0"/>
      <w:sz w:val="24"/>
      <w:szCs w:val="20"/>
    </w:rPr>
  </w:style>
  <w:style w:type="paragraph" w:styleId="7">
    <w:name w:val="heading 6"/>
    <w:basedOn w:val="1"/>
    <w:next w:val="1"/>
    <w:link w:val="50"/>
    <w:qFormat/>
    <w:uiPriority w:val="0"/>
    <w:pPr>
      <w:keepNext/>
      <w:keepLines/>
      <w:numPr>
        <w:ilvl w:val="5"/>
        <w:numId w:val="1"/>
      </w:numPr>
      <w:autoSpaceDE w:val="0"/>
      <w:autoSpaceDN w:val="0"/>
      <w:adjustRightInd w:val="0"/>
      <w:spacing w:before="240" w:after="64" w:line="320" w:lineRule="auto"/>
      <w:jc w:val="left"/>
      <w:textAlignment w:val="baseline"/>
      <w:outlineLvl w:val="5"/>
    </w:pPr>
    <w:rPr>
      <w:rFonts w:ascii="Arial" w:hAnsi="Arial" w:eastAsia="黑体"/>
      <w:b/>
      <w:kern w:val="0"/>
      <w:sz w:val="24"/>
      <w:szCs w:val="20"/>
    </w:rPr>
  </w:style>
  <w:style w:type="paragraph" w:styleId="8">
    <w:name w:val="heading 7"/>
    <w:basedOn w:val="1"/>
    <w:next w:val="1"/>
    <w:link w:val="51"/>
    <w:qFormat/>
    <w:uiPriority w:val="0"/>
    <w:pPr>
      <w:keepNext/>
      <w:keepLines/>
      <w:numPr>
        <w:ilvl w:val="6"/>
        <w:numId w:val="1"/>
      </w:numPr>
      <w:autoSpaceDE w:val="0"/>
      <w:autoSpaceDN w:val="0"/>
      <w:adjustRightInd w:val="0"/>
      <w:spacing w:before="240" w:after="64" w:line="320" w:lineRule="auto"/>
      <w:jc w:val="left"/>
      <w:textAlignment w:val="baseline"/>
      <w:outlineLvl w:val="6"/>
    </w:pPr>
    <w:rPr>
      <w:b/>
      <w:kern w:val="0"/>
      <w:sz w:val="24"/>
      <w:szCs w:val="20"/>
    </w:rPr>
  </w:style>
  <w:style w:type="paragraph" w:styleId="9">
    <w:name w:val="heading 8"/>
    <w:basedOn w:val="1"/>
    <w:next w:val="1"/>
    <w:link w:val="52"/>
    <w:qFormat/>
    <w:uiPriority w:val="0"/>
    <w:pPr>
      <w:keepNext/>
      <w:keepLines/>
      <w:numPr>
        <w:ilvl w:val="7"/>
        <w:numId w:val="1"/>
      </w:numPr>
      <w:autoSpaceDE w:val="0"/>
      <w:autoSpaceDN w:val="0"/>
      <w:adjustRightInd w:val="0"/>
      <w:spacing w:before="240" w:after="64" w:line="320" w:lineRule="auto"/>
      <w:jc w:val="left"/>
      <w:textAlignment w:val="baseline"/>
      <w:outlineLvl w:val="7"/>
    </w:pPr>
    <w:rPr>
      <w:rFonts w:ascii="Arial" w:hAnsi="Arial" w:eastAsia="黑体"/>
      <w:kern w:val="0"/>
      <w:sz w:val="24"/>
      <w:szCs w:val="20"/>
    </w:rPr>
  </w:style>
  <w:style w:type="paragraph" w:styleId="10">
    <w:name w:val="heading 9"/>
    <w:basedOn w:val="1"/>
    <w:next w:val="1"/>
    <w:link w:val="53"/>
    <w:qFormat/>
    <w:uiPriority w:val="0"/>
    <w:pPr>
      <w:keepNext/>
      <w:keepLines/>
      <w:numPr>
        <w:ilvl w:val="8"/>
        <w:numId w:val="1"/>
      </w:numPr>
      <w:autoSpaceDE w:val="0"/>
      <w:autoSpaceDN w:val="0"/>
      <w:adjustRightInd w:val="0"/>
      <w:spacing w:before="240" w:after="64" w:line="320" w:lineRule="auto"/>
      <w:jc w:val="left"/>
      <w:textAlignment w:val="baseline"/>
      <w:outlineLvl w:val="8"/>
    </w:pPr>
    <w:rPr>
      <w:rFonts w:ascii="Arial" w:hAnsi="Arial" w:eastAsia="黑体"/>
      <w:kern w:val="0"/>
      <w:szCs w:val="20"/>
    </w:rPr>
  </w:style>
  <w:style w:type="character" w:default="1" w:styleId="23">
    <w:name w:val="Default Paragraph Font"/>
    <w:semiHidden/>
    <w:unhideWhenUsed/>
    <w:qFormat/>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11">
    <w:name w:val="caption"/>
    <w:basedOn w:val="1"/>
    <w:next w:val="1"/>
    <w:unhideWhenUsed/>
    <w:qFormat/>
    <w:uiPriority w:val="35"/>
    <w:rPr>
      <w:rFonts w:eastAsia="黑体" w:asciiTheme="majorHAnsi" w:hAnsiTheme="majorHAnsi" w:cstheme="majorBidi"/>
      <w:sz w:val="20"/>
      <w:szCs w:val="20"/>
    </w:rPr>
  </w:style>
  <w:style w:type="paragraph" w:styleId="12">
    <w:name w:val="Document Map"/>
    <w:basedOn w:val="1"/>
    <w:link w:val="59"/>
    <w:semiHidden/>
    <w:unhideWhenUsed/>
    <w:qFormat/>
    <w:uiPriority w:val="99"/>
    <w:rPr>
      <w:rFonts w:ascii="宋体"/>
      <w:sz w:val="18"/>
      <w:szCs w:val="18"/>
    </w:rPr>
  </w:style>
  <w:style w:type="paragraph" w:styleId="13">
    <w:name w:val="annotation text"/>
    <w:basedOn w:val="1"/>
    <w:link w:val="43"/>
    <w:semiHidden/>
    <w:unhideWhenUsed/>
    <w:qFormat/>
    <w:uiPriority w:val="99"/>
    <w:pPr>
      <w:jc w:val="left"/>
    </w:pPr>
  </w:style>
  <w:style w:type="paragraph" w:styleId="14">
    <w:name w:val="Body Text"/>
    <w:basedOn w:val="1"/>
    <w:link w:val="34"/>
    <w:semiHidden/>
    <w:unhideWhenUsed/>
    <w:qFormat/>
    <w:uiPriority w:val="99"/>
    <w:pPr>
      <w:spacing w:after="120"/>
    </w:pPr>
  </w:style>
  <w:style w:type="paragraph" w:styleId="15">
    <w:name w:val="Body Text Indent 2"/>
    <w:basedOn w:val="1"/>
    <w:link w:val="35"/>
    <w:qFormat/>
    <w:uiPriority w:val="99"/>
    <w:pPr>
      <w:spacing w:after="120" w:line="480" w:lineRule="auto"/>
      <w:ind w:left="420" w:leftChars="200"/>
    </w:pPr>
  </w:style>
  <w:style w:type="paragraph" w:styleId="16">
    <w:name w:val="Balloon Text"/>
    <w:basedOn w:val="1"/>
    <w:link w:val="31"/>
    <w:semiHidden/>
    <w:unhideWhenUsed/>
    <w:qFormat/>
    <w:uiPriority w:val="99"/>
    <w:rPr>
      <w:sz w:val="18"/>
      <w:szCs w:val="18"/>
    </w:rPr>
  </w:style>
  <w:style w:type="paragraph" w:styleId="17">
    <w:name w:val="footer"/>
    <w:basedOn w:val="1"/>
    <w:link w:val="27"/>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8">
    <w:name w:val="header"/>
    <w:basedOn w:val="1"/>
    <w:link w:val="26"/>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9">
    <w:name w:val="Normal (Web)"/>
    <w:basedOn w:val="1"/>
    <w:link w:val="28"/>
    <w:unhideWhenUsed/>
    <w:qFormat/>
    <w:uiPriority w:val="99"/>
    <w:pPr>
      <w:widowControl/>
      <w:spacing w:before="100" w:beforeAutospacing="1" w:after="100" w:afterAutospacing="1"/>
      <w:jc w:val="left"/>
    </w:pPr>
    <w:rPr>
      <w:rFonts w:ascii="宋体" w:hAnsi="宋体" w:cstheme="minorBidi"/>
      <w:sz w:val="24"/>
      <w:szCs w:val="22"/>
    </w:rPr>
  </w:style>
  <w:style w:type="paragraph" w:styleId="20">
    <w:name w:val="annotation subject"/>
    <w:basedOn w:val="13"/>
    <w:next w:val="13"/>
    <w:link w:val="44"/>
    <w:semiHidden/>
    <w:unhideWhenUsed/>
    <w:qFormat/>
    <w:uiPriority w:val="99"/>
    <w:rPr>
      <w:b/>
      <w:bCs/>
    </w:rPr>
  </w:style>
  <w:style w:type="table" w:styleId="22">
    <w:name w:val="Table Grid"/>
    <w:basedOn w:val="21"/>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Hyperlink"/>
    <w:basedOn w:val="23"/>
    <w:unhideWhenUsed/>
    <w:qFormat/>
    <w:uiPriority w:val="99"/>
    <w:rPr>
      <w:color w:val="0000FF"/>
      <w:u w:val="single"/>
    </w:rPr>
  </w:style>
  <w:style w:type="character" w:styleId="25">
    <w:name w:val="annotation reference"/>
    <w:basedOn w:val="23"/>
    <w:semiHidden/>
    <w:unhideWhenUsed/>
    <w:qFormat/>
    <w:uiPriority w:val="99"/>
    <w:rPr>
      <w:sz w:val="21"/>
      <w:szCs w:val="21"/>
    </w:rPr>
  </w:style>
  <w:style w:type="character" w:customStyle="1" w:styleId="26">
    <w:name w:val="页眉 Char"/>
    <w:basedOn w:val="23"/>
    <w:link w:val="18"/>
    <w:qFormat/>
    <w:uiPriority w:val="99"/>
    <w:rPr>
      <w:sz w:val="18"/>
      <w:szCs w:val="18"/>
    </w:rPr>
  </w:style>
  <w:style w:type="character" w:customStyle="1" w:styleId="27">
    <w:name w:val="页脚 Char"/>
    <w:basedOn w:val="23"/>
    <w:link w:val="17"/>
    <w:qFormat/>
    <w:uiPriority w:val="99"/>
    <w:rPr>
      <w:sz w:val="18"/>
      <w:szCs w:val="18"/>
    </w:rPr>
  </w:style>
  <w:style w:type="character" w:customStyle="1" w:styleId="28">
    <w:name w:val="普通(网站) Char"/>
    <w:link w:val="19"/>
    <w:qFormat/>
    <w:locked/>
    <w:uiPriority w:val="99"/>
    <w:rPr>
      <w:rFonts w:ascii="宋体" w:hAnsi="宋体" w:eastAsia="宋体"/>
      <w:sz w:val="24"/>
    </w:rPr>
  </w:style>
  <w:style w:type="character" w:customStyle="1" w:styleId="29">
    <w:name w:val="表格 Char"/>
    <w:link w:val="30"/>
    <w:qFormat/>
    <w:locked/>
    <w:uiPriority w:val="0"/>
    <w:rPr>
      <w:rFonts w:ascii="宋体" w:hAnsi="宋体" w:eastAsia="宋体"/>
    </w:rPr>
  </w:style>
  <w:style w:type="paragraph" w:customStyle="1" w:styleId="30">
    <w:name w:val="表格"/>
    <w:basedOn w:val="1"/>
    <w:next w:val="1"/>
    <w:link w:val="29"/>
    <w:qFormat/>
    <w:uiPriority w:val="0"/>
    <w:pPr>
      <w:adjustRightInd w:val="0"/>
      <w:snapToGrid w:val="0"/>
      <w:spacing w:beforeLines="10" w:line="256" w:lineRule="auto"/>
      <w:jc w:val="center"/>
    </w:pPr>
    <w:rPr>
      <w:rFonts w:ascii="宋体" w:hAnsi="宋体" w:cstheme="minorBidi"/>
      <w:szCs w:val="22"/>
    </w:rPr>
  </w:style>
  <w:style w:type="character" w:customStyle="1" w:styleId="31">
    <w:name w:val="批注框文本 Char"/>
    <w:basedOn w:val="23"/>
    <w:link w:val="16"/>
    <w:semiHidden/>
    <w:qFormat/>
    <w:uiPriority w:val="99"/>
    <w:rPr>
      <w:rFonts w:ascii="Times New Roman" w:hAnsi="Times New Roman" w:eastAsia="宋体" w:cs="Times New Roman"/>
      <w:sz w:val="18"/>
      <w:szCs w:val="18"/>
    </w:rPr>
  </w:style>
  <w:style w:type="paragraph" w:customStyle="1" w:styleId="32">
    <w:name w:val="列出段落1"/>
    <w:basedOn w:val="1"/>
    <w:qFormat/>
    <w:uiPriority w:val="0"/>
    <w:pPr>
      <w:ind w:firstLine="420" w:firstLineChars="200"/>
    </w:pPr>
  </w:style>
  <w:style w:type="paragraph" w:customStyle="1" w:styleId="33">
    <w:name w:val="表格文字"/>
    <w:basedOn w:val="14"/>
    <w:link w:val="56"/>
    <w:qFormat/>
    <w:uiPriority w:val="0"/>
    <w:pPr>
      <w:spacing w:before="100" w:beforeAutospacing="1" w:after="0"/>
    </w:pPr>
    <w:rPr>
      <w:szCs w:val="21"/>
    </w:rPr>
  </w:style>
  <w:style w:type="character" w:customStyle="1" w:styleId="34">
    <w:name w:val="正文文本 Char"/>
    <w:basedOn w:val="23"/>
    <w:link w:val="14"/>
    <w:semiHidden/>
    <w:qFormat/>
    <w:uiPriority w:val="99"/>
    <w:rPr>
      <w:rFonts w:ascii="Times New Roman" w:hAnsi="Times New Roman" w:eastAsia="宋体" w:cs="Times New Roman"/>
      <w:kern w:val="2"/>
      <w:sz w:val="21"/>
      <w:szCs w:val="24"/>
    </w:rPr>
  </w:style>
  <w:style w:type="character" w:customStyle="1" w:styleId="35">
    <w:name w:val="正文文本缩进 2 Char"/>
    <w:basedOn w:val="23"/>
    <w:link w:val="15"/>
    <w:qFormat/>
    <w:uiPriority w:val="99"/>
    <w:rPr>
      <w:rFonts w:ascii="Times New Roman" w:hAnsi="Times New Roman" w:eastAsia="宋体" w:cs="Times New Roman"/>
      <w:kern w:val="2"/>
      <w:sz w:val="21"/>
      <w:szCs w:val="24"/>
    </w:rPr>
  </w:style>
  <w:style w:type="character" w:customStyle="1" w:styleId="36">
    <w:name w:val="16"/>
    <w:basedOn w:val="23"/>
    <w:qFormat/>
    <w:uiPriority w:val="0"/>
    <w:rPr>
      <w:rFonts w:hint="default" w:ascii="Times New Roman" w:hAnsi="Times New Roman" w:cs="Times New Roman"/>
      <w:color w:val="FF0000"/>
      <w:sz w:val="18"/>
      <w:szCs w:val="18"/>
    </w:rPr>
  </w:style>
  <w:style w:type="character" w:customStyle="1" w:styleId="37">
    <w:name w:val="17"/>
    <w:basedOn w:val="23"/>
    <w:qFormat/>
    <w:uiPriority w:val="0"/>
    <w:rPr>
      <w:rFonts w:hint="eastAsia" w:ascii="宋体" w:hAnsi="宋体" w:eastAsia="宋体"/>
      <w:color w:val="FF0000"/>
      <w:sz w:val="18"/>
      <w:szCs w:val="18"/>
    </w:rPr>
  </w:style>
  <w:style w:type="paragraph" w:customStyle="1" w:styleId="38">
    <w:name w:val="样式4"/>
    <w:basedOn w:val="1"/>
    <w:next w:val="1"/>
    <w:qFormat/>
    <w:uiPriority w:val="0"/>
    <w:pPr>
      <w:spacing w:line="440" w:lineRule="exact"/>
    </w:pPr>
    <w:rPr>
      <w:sz w:val="24"/>
    </w:rPr>
  </w:style>
  <w:style w:type="paragraph" w:customStyle="1" w:styleId="39">
    <w:name w:val="Table Paragraph"/>
    <w:basedOn w:val="1"/>
    <w:qFormat/>
    <w:uiPriority w:val="1"/>
    <w:pPr>
      <w:spacing w:before="100" w:beforeAutospacing="1"/>
      <w:jc w:val="left"/>
    </w:pPr>
    <w:rPr>
      <w:rFonts w:ascii="Calibri" w:hAnsi="Calibri"/>
      <w:kern w:val="0"/>
      <w:sz w:val="22"/>
      <w:szCs w:val="22"/>
    </w:rPr>
  </w:style>
  <w:style w:type="table" w:customStyle="1" w:styleId="40">
    <w:name w:val="Table Normal"/>
    <w:semiHidden/>
    <w:unhideWhenUsed/>
    <w:qFormat/>
    <w:uiPriority w:val="2"/>
    <w:pPr>
      <w:widowControl w:val="0"/>
    </w:pPr>
    <w:rPr>
      <w:sz w:val="22"/>
      <w:szCs w:val="22"/>
      <w:lang w:eastAsia="en-US"/>
    </w:rPr>
    <w:tblPr>
      <w:tblCellMar>
        <w:top w:w="0" w:type="dxa"/>
        <w:left w:w="0" w:type="dxa"/>
        <w:bottom w:w="0" w:type="dxa"/>
        <w:right w:w="0" w:type="dxa"/>
      </w:tblCellMar>
    </w:tblPr>
  </w:style>
  <w:style w:type="character" w:customStyle="1" w:styleId="41">
    <w:name w:val="表格内容 Char"/>
    <w:link w:val="42"/>
    <w:qFormat/>
    <w:uiPriority w:val="0"/>
    <w:rPr>
      <w:rFonts w:ascii="Calibri" w:hAnsi="Calibri"/>
      <w:sz w:val="18"/>
    </w:rPr>
  </w:style>
  <w:style w:type="paragraph" w:customStyle="1" w:styleId="42">
    <w:name w:val="表格内容"/>
    <w:basedOn w:val="1"/>
    <w:link w:val="41"/>
    <w:qFormat/>
    <w:uiPriority w:val="0"/>
    <w:pPr>
      <w:spacing w:before="60" w:after="60" w:line="240" w:lineRule="exact"/>
      <w:ind w:firstLine="20" w:firstLineChars="20"/>
      <w:jc w:val="center"/>
    </w:pPr>
    <w:rPr>
      <w:rFonts w:ascii="Calibri" w:hAnsi="Calibri" w:eastAsiaTheme="minorEastAsia" w:cstheme="minorBidi"/>
      <w:kern w:val="0"/>
      <w:sz w:val="18"/>
      <w:szCs w:val="20"/>
    </w:rPr>
  </w:style>
  <w:style w:type="character" w:customStyle="1" w:styleId="43">
    <w:name w:val="批注文字 Char"/>
    <w:basedOn w:val="23"/>
    <w:link w:val="13"/>
    <w:semiHidden/>
    <w:qFormat/>
    <w:uiPriority w:val="99"/>
    <w:rPr>
      <w:rFonts w:ascii="Times New Roman" w:hAnsi="Times New Roman" w:eastAsia="宋体" w:cs="Times New Roman"/>
      <w:kern w:val="2"/>
      <w:sz w:val="21"/>
      <w:szCs w:val="24"/>
    </w:rPr>
  </w:style>
  <w:style w:type="character" w:customStyle="1" w:styleId="44">
    <w:name w:val="批注主题 Char"/>
    <w:basedOn w:val="43"/>
    <w:link w:val="20"/>
    <w:semiHidden/>
    <w:qFormat/>
    <w:uiPriority w:val="99"/>
    <w:rPr>
      <w:rFonts w:ascii="Times New Roman" w:hAnsi="Times New Roman" w:eastAsia="宋体" w:cs="Times New Roman"/>
      <w:b/>
      <w:bCs/>
      <w:kern w:val="2"/>
      <w:sz w:val="21"/>
      <w:szCs w:val="24"/>
    </w:rPr>
  </w:style>
  <w:style w:type="character" w:customStyle="1" w:styleId="45">
    <w:name w:val="标题 1 Char"/>
    <w:basedOn w:val="23"/>
    <w:link w:val="2"/>
    <w:qFormat/>
    <w:uiPriority w:val="0"/>
    <w:rPr>
      <w:rFonts w:ascii="Times New Roman" w:hAnsi="Times New Roman" w:eastAsia="魏碑" w:cs="Times New Roman"/>
      <w:b/>
      <w:sz w:val="36"/>
    </w:rPr>
  </w:style>
  <w:style w:type="character" w:customStyle="1" w:styleId="46">
    <w:name w:val="标题 2 Char"/>
    <w:basedOn w:val="23"/>
    <w:link w:val="3"/>
    <w:qFormat/>
    <w:uiPriority w:val="0"/>
    <w:rPr>
      <w:rFonts w:ascii="Times New Roman" w:hAnsi="Times New Roman" w:eastAsia="黑体" w:cs="Times New Roman"/>
      <w:sz w:val="30"/>
    </w:rPr>
  </w:style>
  <w:style w:type="character" w:customStyle="1" w:styleId="47">
    <w:name w:val="标题 3 Char"/>
    <w:basedOn w:val="23"/>
    <w:link w:val="4"/>
    <w:qFormat/>
    <w:uiPriority w:val="0"/>
    <w:rPr>
      <w:rFonts w:ascii="Times New Roman" w:hAnsi="Times New Roman" w:eastAsia="黑体" w:cs="Times New Roman"/>
      <w:sz w:val="28"/>
    </w:rPr>
  </w:style>
  <w:style w:type="character" w:customStyle="1" w:styleId="48">
    <w:name w:val="标题 4 Char"/>
    <w:basedOn w:val="23"/>
    <w:link w:val="5"/>
    <w:qFormat/>
    <w:uiPriority w:val="0"/>
    <w:rPr>
      <w:rFonts w:ascii="Times New Roman" w:hAnsi="Times New Roman" w:eastAsia="长城楷体" w:cs="Times New Roman"/>
      <w:b/>
      <w:sz w:val="28"/>
    </w:rPr>
  </w:style>
  <w:style w:type="character" w:customStyle="1" w:styleId="49">
    <w:name w:val="标题 5 Char"/>
    <w:basedOn w:val="23"/>
    <w:link w:val="6"/>
    <w:qFormat/>
    <w:uiPriority w:val="0"/>
    <w:rPr>
      <w:rFonts w:ascii="Times New Roman" w:hAnsi="Times New Roman" w:eastAsia="宋体" w:cs="Times New Roman"/>
      <w:b/>
      <w:sz w:val="24"/>
    </w:rPr>
  </w:style>
  <w:style w:type="character" w:customStyle="1" w:styleId="50">
    <w:name w:val="标题 6 Char"/>
    <w:basedOn w:val="23"/>
    <w:link w:val="7"/>
    <w:qFormat/>
    <w:uiPriority w:val="0"/>
    <w:rPr>
      <w:rFonts w:ascii="Arial" w:hAnsi="Arial" w:eastAsia="黑体" w:cs="Times New Roman"/>
      <w:b/>
      <w:sz w:val="24"/>
    </w:rPr>
  </w:style>
  <w:style w:type="character" w:customStyle="1" w:styleId="51">
    <w:name w:val="标题 7 Char"/>
    <w:basedOn w:val="23"/>
    <w:link w:val="8"/>
    <w:qFormat/>
    <w:uiPriority w:val="0"/>
    <w:rPr>
      <w:rFonts w:ascii="Times New Roman" w:hAnsi="Times New Roman" w:eastAsia="宋体" w:cs="Times New Roman"/>
      <w:b/>
      <w:sz w:val="24"/>
    </w:rPr>
  </w:style>
  <w:style w:type="character" w:customStyle="1" w:styleId="52">
    <w:name w:val="标题 8 Char"/>
    <w:basedOn w:val="23"/>
    <w:link w:val="9"/>
    <w:qFormat/>
    <w:uiPriority w:val="0"/>
    <w:rPr>
      <w:rFonts w:ascii="Arial" w:hAnsi="Arial" w:eastAsia="黑体" w:cs="Times New Roman"/>
      <w:sz w:val="24"/>
    </w:rPr>
  </w:style>
  <w:style w:type="character" w:customStyle="1" w:styleId="53">
    <w:name w:val="标题 9 Char"/>
    <w:basedOn w:val="23"/>
    <w:link w:val="10"/>
    <w:qFormat/>
    <w:uiPriority w:val="0"/>
    <w:rPr>
      <w:rFonts w:ascii="Arial" w:hAnsi="Arial" w:eastAsia="黑体" w:cs="Times New Roman"/>
      <w:sz w:val="21"/>
    </w:rPr>
  </w:style>
  <w:style w:type="character" w:customStyle="1" w:styleId="54">
    <w:name w:val="报告 Char"/>
    <w:link w:val="55"/>
    <w:qFormat/>
    <w:uiPriority w:val="0"/>
    <w:rPr>
      <w:sz w:val="24"/>
    </w:rPr>
  </w:style>
  <w:style w:type="paragraph" w:customStyle="1" w:styleId="55">
    <w:name w:val="报告"/>
    <w:basedOn w:val="1"/>
    <w:link w:val="54"/>
    <w:qFormat/>
    <w:uiPriority w:val="0"/>
    <w:pPr>
      <w:adjustRightInd w:val="0"/>
      <w:spacing w:line="360" w:lineRule="auto"/>
      <w:ind w:firstLine="505"/>
      <w:jc w:val="left"/>
      <w:textAlignment w:val="baseline"/>
    </w:pPr>
    <w:rPr>
      <w:rFonts w:asciiTheme="minorHAnsi" w:hAnsiTheme="minorHAnsi" w:eastAsiaTheme="minorEastAsia" w:cstheme="minorBidi"/>
      <w:kern w:val="0"/>
      <w:sz w:val="24"/>
      <w:szCs w:val="20"/>
    </w:rPr>
  </w:style>
  <w:style w:type="character" w:customStyle="1" w:styleId="56">
    <w:name w:val="表格文字 Char"/>
    <w:link w:val="33"/>
    <w:qFormat/>
    <w:locked/>
    <w:uiPriority w:val="0"/>
    <w:rPr>
      <w:kern w:val="2"/>
      <w:sz w:val="21"/>
      <w:szCs w:val="21"/>
    </w:rPr>
  </w:style>
  <w:style w:type="paragraph" w:customStyle="1" w:styleId="57">
    <w:name w:val="正文1"/>
    <w:qFormat/>
    <w:uiPriority w:val="0"/>
    <w:pPr>
      <w:jc w:val="both"/>
    </w:pPr>
    <w:rPr>
      <w:rFonts w:ascii="Times New Roman" w:hAnsi="Times New Roman" w:eastAsia="宋体" w:cs="Times New Roman"/>
      <w:kern w:val="2"/>
      <w:sz w:val="21"/>
      <w:szCs w:val="21"/>
      <w:lang w:val="en-US" w:eastAsia="zh-CN" w:bidi="ar-SA"/>
    </w:rPr>
  </w:style>
  <w:style w:type="paragraph" w:styleId="58">
    <w:name w:val="List Paragraph"/>
    <w:basedOn w:val="1"/>
    <w:unhideWhenUsed/>
    <w:qFormat/>
    <w:uiPriority w:val="99"/>
    <w:pPr>
      <w:ind w:firstLine="420" w:firstLineChars="200"/>
    </w:pPr>
  </w:style>
  <w:style w:type="character" w:customStyle="1" w:styleId="59">
    <w:name w:val="文档结构图 Char"/>
    <w:basedOn w:val="23"/>
    <w:link w:val="12"/>
    <w:semiHidden/>
    <w:qFormat/>
    <w:uiPriority w:val="99"/>
    <w:rPr>
      <w:rFonts w:ascii="宋体"/>
      <w:kern w:val="2"/>
      <w:sz w:val="18"/>
      <w:szCs w:val="18"/>
    </w:rPr>
  </w:style>
  <w:style w:type="paragraph" w:customStyle="1" w:styleId="60">
    <w:name w:val="Normal_0"/>
    <w:basedOn w:val="1"/>
    <w:qFormat/>
    <w:uiPriority w:val="0"/>
    <w:pPr>
      <w:spacing w:line="360" w:lineRule="auto"/>
      <w:ind w:firstLine="200" w:firstLineChars="200"/>
    </w:pPr>
    <w:rPr>
      <w:rFonts w:eastAsia="仿宋"/>
      <w:sz w:val="28"/>
      <w:szCs w:val="28"/>
    </w:rPr>
  </w:style>
  <w:style w:type="character" w:customStyle="1" w:styleId="61">
    <w:name w:val="10"/>
    <w:basedOn w:val="23"/>
    <w:qFormat/>
    <w:uiPriority w:val="0"/>
    <w:rPr>
      <w:rFonts w:hint="default" w:ascii="Calibri" w:hAnsi="Calibri" w:cs="Calibri"/>
    </w:rPr>
  </w:style>
  <w:style w:type="paragraph" w:customStyle="1" w:styleId="62">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63">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64">
    <w:name w:val="标准正文"/>
    <w:basedOn w:val="1"/>
    <w:qFormat/>
    <w:uiPriority w:val="0"/>
    <w:pPr>
      <w:spacing w:line="360" w:lineRule="auto"/>
      <w:ind w:firstLine="200" w:firstLineChars="200"/>
    </w:pPr>
    <w:rPr>
      <w:sz w:val="24"/>
    </w:rPr>
  </w:style>
  <w:style w:type="paragraph" w:customStyle="1" w:styleId="65">
    <w:name w:val="!BG_正文"/>
    <w:basedOn w:val="1"/>
    <w:qFormat/>
    <w:uiPriority w:val="0"/>
    <w:pPr>
      <w:wordWrap w:val="0"/>
      <w:spacing w:line="360" w:lineRule="auto"/>
      <w:ind w:firstLine="200" w:firstLineChars="200"/>
    </w:pPr>
    <w:rPr>
      <w:sz w:val="24"/>
    </w:rPr>
  </w:style>
  <w:style w:type="paragraph" w:customStyle="1" w:styleId="66">
    <w:name w:val="表文字"/>
    <w:basedOn w:val="1"/>
    <w:qFormat/>
    <w:uiPriority w:val="0"/>
    <w:pPr>
      <w:overflowPunct w:val="0"/>
      <w:autoSpaceDE w:val="0"/>
      <w:autoSpaceDN w:val="0"/>
      <w:adjustRightInd w:val="0"/>
      <w:spacing w:beforeLines="10" w:afterLines="10"/>
      <w:jc w:val="center"/>
      <w:textAlignment w:val="baseline"/>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6B2805-99FD-406A-B08A-5BEB5850476F}">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47</Pages>
  <Words>33078</Words>
  <Characters>35504</Characters>
  <Lines>283</Lines>
  <Paragraphs>79</Paragraphs>
  <TotalTime>582</TotalTime>
  <ScaleCrop>false</ScaleCrop>
  <LinksUpToDate>false</LinksUpToDate>
  <CharactersWithSpaces>35817</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2022-01-17T03:06:00Z</dcterms:created>
  <dc:creator>Administrator</dc:creator>
  <cp:lastModifiedBy>idiot</cp:lastModifiedBy>
  <cp:lastPrinted>2023-05-19T09:53:00Z</cp:lastPrinted>
  <dcterms:modified xsi:type="dcterms:W3CDTF">2023-09-06T01:49:30Z</dcterms:modified>
  <cp:revision>162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CA67DFBE385149DD9EAD0F5A2CE1AE2F_13</vt:lpwstr>
  </property>
</Properties>
</file>