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2023年达州市通川区政府性基金预算收支执行情况的说明</w:t>
      </w:r>
    </w:p>
    <w:p>
      <w:pPr>
        <w:adjustRightInd w:val="0"/>
        <w:snapToGrid w:val="0"/>
        <w:spacing w:line="578" w:lineRule="exact"/>
        <w:ind w:firstLine="880" w:firstLineChars="200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640" w:firstLineChars="200"/>
        <w:rPr>
          <w:rStyle w:val="8"/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通川区第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十二届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人民代表大会第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次会议</w:t>
      </w:r>
      <w:r>
        <w:rPr>
          <w:rStyle w:val="8"/>
          <w:rFonts w:hint="default" w:ascii="Times New Roman" w:hAnsi="Times New Roman" w:eastAsia="方正仿宋简体" w:cs="Times New Roman"/>
        </w:rPr>
        <w:t>审查批准的</w:t>
      </w:r>
      <w:r>
        <w:rPr>
          <w:rStyle w:val="8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简体" w:cs="Times New Roman"/>
        </w:rPr>
        <w:t>年</w:t>
      </w:r>
      <w:r>
        <w:rPr>
          <w:rStyle w:val="8"/>
          <w:rFonts w:hint="eastAsia" w:ascii="Times New Roman" w:hAnsi="Times New Roman" w:eastAsia="方正仿宋简体" w:cs="Times New Roman"/>
          <w:lang w:eastAsia="zh-CN"/>
        </w:rPr>
        <w:t>通川区</w:t>
      </w:r>
      <w:r>
        <w:rPr>
          <w:rStyle w:val="8"/>
          <w:rFonts w:hint="default" w:ascii="Times New Roman" w:hAnsi="Times New Roman" w:eastAsia="方正仿宋简体" w:cs="Times New Roman"/>
        </w:rPr>
        <w:t>政府性基金收入预算为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290000</w:t>
      </w:r>
      <w:r>
        <w:rPr>
          <w:rStyle w:val="8"/>
          <w:rFonts w:hint="default" w:ascii="Times New Roman" w:hAnsi="Times New Roman" w:eastAsia="方正仿宋简体" w:cs="Times New Roman"/>
        </w:rPr>
        <w:t>万元，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区十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二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届人大常委会第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十六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次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会议批准，政府性基金预算收入调整为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253300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万元，</w:t>
      </w:r>
      <w:r>
        <w:rPr>
          <w:rStyle w:val="8"/>
          <w:rFonts w:hint="default" w:ascii="Times New Roman" w:hAnsi="Times New Roman" w:eastAsia="方正仿宋简体" w:cs="Times New Roman"/>
          <w:lang w:val="en-US" w:eastAsia="zh-CN"/>
        </w:rPr>
        <w:t>实际执行数为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255604</w:t>
      </w:r>
      <w:r>
        <w:rPr>
          <w:rStyle w:val="8"/>
          <w:rFonts w:hint="default" w:ascii="Times New Roman" w:hAnsi="Times New Roman" w:eastAsia="方正仿宋简体" w:cs="Times New Roman"/>
          <w:lang w:val="en-US" w:eastAsia="zh-CN"/>
        </w:rPr>
        <w:t>万元，</w:t>
      </w:r>
      <w:r>
        <w:rPr>
          <w:rStyle w:val="8"/>
          <w:rFonts w:hint="default" w:ascii="Times New Roman" w:hAnsi="Times New Roman" w:eastAsia="方正仿宋简体" w:cs="Times New Roman"/>
        </w:rPr>
        <w:t>为</w:t>
      </w:r>
      <w:r>
        <w:rPr>
          <w:rStyle w:val="8"/>
          <w:rFonts w:hint="default" w:ascii="Times New Roman" w:hAnsi="Times New Roman" w:eastAsia="方正仿宋简体" w:cs="Times New Roman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100.91</w:t>
      </w:r>
      <w:r>
        <w:rPr>
          <w:rStyle w:val="8"/>
          <w:rFonts w:hint="default" w:ascii="Times New Roman" w:hAnsi="Times New Roman" w:eastAsia="方正仿宋简体" w:cs="Times New Roman"/>
        </w:rPr>
        <w:t>%。</w:t>
      </w:r>
    </w:p>
    <w:p>
      <w:pPr>
        <w:adjustRightInd w:val="0"/>
        <w:snapToGrid w:val="0"/>
        <w:spacing w:line="578" w:lineRule="exact"/>
        <w:ind w:firstLine="640" w:firstLineChars="200"/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通川区第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十二届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人民代表大会第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次会议</w:t>
      </w:r>
      <w:r>
        <w:rPr>
          <w:rStyle w:val="8"/>
          <w:rFonts w:hint="default" w:ascii="Times New Roman" w:hAnsi="Times New Roman" w:eastAsia="方正仿宋简体" w:cs="Times New Roman"/>
        </w:rPr>
        <w:t>审查批准的</w:t>
      </w:r>
      <w:r>
        <w:rPr>
          <w:rStyle w:val="8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简体" w:cs="Times New Roman"/>
        </w:rPr>
        <w:t>年</w:t>
      </w:r>
      <w:r>
        <w:rPr>
          <w:rStyle w:val="8"/>
          <w:rFonts w:hint="eastAsia" w:ascii="Times New Roman" w:hAnsi="Times New Roman" w:eastAsia="方正仿宋简体" w:cs="Times New Roman"/>
          <w:lang w:eastAsia="zh-CN"/>
        </w:rPr>
        <w:t>通川区</w:t>
      </w:r>
      <w:r>
        <w:rPr>
          <w:rStyle w:val="8"/>
          <w:rFonts w:hint="default" w:ascii="Times New Roman" w:hAnsi="Times New Roman" w:eastAsia="方正仿宋简体" w:cs="Times New Roman"/>
        </w:rPr>
        <w:t>政府性基金支出预算为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280828</w:t>
      </w:r>
      <w:r>
        <w:rPr>
          <w:rStyle w:val="8"/>
          <w:rFonts w:hint="default" w:ascii="Times New Roman" w:hAnsi="Times New Roman" w:eastAsia="方正仿宋简体" w:cs="Times New Roman"/>
        </w:rPr>
        <w:t>万元。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区十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二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届人大常委会第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十六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次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会议批准，政府性基金预算支出调整为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411505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万元。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实际执行数</w:t>
      </w:r>
      <w:bookmarkStart w:id="0" w:name="_GoBack"/>
      <w:bookmarkEnd w:id="0"/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408122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元，为调整预算数的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99.18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%。</w:t>
      </w:r>
    </w:p>
    <w:p>
      <w:pPr>
        <w:adjustRightInd w:val="0"/>
        <w:snapToGrid w:val="0"/>
        <w:spacing w:line="578" w:lineRule="exact"/>
        <w:ind w:firstLine="640" w:firstLineChars="200"/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</w:pP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平衡情况：政府性基金预算收入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255604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万元，加上级专项补助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（含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专项债券收入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）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、上年结转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，政府性基金预算共计收入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452359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万元，减去当年支出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408122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、债务还本支出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22830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万元、调出资金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12000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万元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、上解支出163万元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结转下年使用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9244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万元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，收支平衡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6F5F5415"/>
    <w:rsid w:val="0BC77D65"/>
    <w:rsid w:val="280D4F46"/>
    <w:rsid w:val="2AA50082"/>
    <w:rsid w:val="39E82BB3"/>
    <w:rsid w:val="3D271561"/>
    <w:rsid w:val="6F5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autoRedefine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11"/>
    <w:basedOn w:val="3"/>
    <w:autoRedefine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21"/>
    <w:basedOn w:val="3"/>
    <w:autoRedefine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3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4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9">
    <w:name w:val="fontstyle51"/>
    <w:basedOn w:val="3"/>
    <w:autoRedefine/>
    <w:qFormat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2024-03-18T06:13:00Z</dcterms:created>
  <dc:creator>Q</dc:creator>
  <cp:lastModifiedBy>Q</cp:lastModifiedBy>
  <dcterms:modified xsi:type="dcterms:W3CDTF">2024-03-18T11:07:59Z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D630E97852D6445CBA3BEA8D7BFF8E12_13</vt:lpwstr>
  </property>
</Properties>
</file>