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</w:rPr>
      </w:pPr>
      <w:r>
        <w:rPr>
          <w:rStyle w:val="4"/>
          <w:rFonts w:hint="eastAsia" w:ascii="方正小标宋简体" w:hAnsi="方正小标宋简体" w:eastAsia="方正小标宋简体" w:cs="方正小标宋简体"/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25</w:t>
      </w:r>
      <w:r>
        <w:rPr>
          <w:rStyle w:val="5"/>
          <w:rFonts w:hint="eastAsia" w:ascii="方正小标宋简体" w:hAnsi="方正小标宋简体" w:eastAsia="方正小标宋简体" w:cs="方正小标宋简体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lang w:eastAsia="zh-CN"/>
        </w:rPr>
        <w:t>上级</w:t>
      </w:r>
      <w:r>
        <w:rPr>
          <w:rStyle w:val="6"/>
          <w:rFonts w:hint="eastAsia" w:ascii="方正小标宋简体" w:hAnsi="方正小标宋简体" w:eastAsia="方正小标宋简体" w:cs="方正小标宋简体"/>
        </w:rPr>
        <w:t>对</w:t>
      </w:r>
      <w:r>
        <w:rPr>
          <w:rStyle w:val="6"/>
          <w:rFonts w:hint="eastAsia" w:ascii="方正小标宋简体" w:hAnsi="方正小标宋简体" w:eastAsia="方正小标宋简体" w:cs="方正小标宋简体"/>
          <w:lang w:eastAsia="zh-CN"/>
        </w:rPr>
        <w:t>通川</w:t>
      </w:r>
      <w:r>
        <w:rPr>
          <w:rStyle w:val="5"/>
          <w:rFonts w:hint="eastAsia" w:ascii="方正小标宋简体" w:hAnsi="方正小标宋简体" w:eastAsia="方正小标宋简体" w:cs="方正小标宋简体"/>
        </w:rPr>
        <w:t>区税收返</w:t>
      </w:r>
      <w:r>
        <w:rPr>
          <w:rStyle w:val="6"/>
          <w:rFonts w:hint="eastAsia" w:ascii="方正小标宋简体" w:hAnsi="方正小标宋简体" w:eastAsia="方正小标宋简体" w:cs="方正小标宋简体"/>
        </w:rPr>
        <w:t>还</w:t>
      </w:r>
      <w:r>
        <w:rPr>
          <w:rStyle w:val="5"/>
          <w:rFonts w:hint="eastAsia" w:ascii="方正小标宋简体" w:hAnsi="方正小标宋简体" w:eastAsia="方正小标宋简体" w:cs="方正小标宋简体"/>
        </w:rPr>
        <w:t>和</w:t>
      </w:r>
      <w:r>
        <w:rPr>
          <w:rStyle w:val="6"/>
          <w:rFonts w:hint="eastAsia" w:ascii="方正小标宋简体" w:hAnsi="方正小标宋简体" w:eastAsia="方正小标宋简体" w:cs="方正小标宋简体"/>
        </w:rPr>
        <w:t>转</w:t>
      </w:r>
      <w:r>
        <w:rPr>
          <w:rStyle w:val="5"/>
          <w:rFonts w:hint="eastAsia" w:ascii="方正小标宋简体" w:hAnsi="方正小标宋简体" w:eastAsia="方正小标宋简体" w:cs="方正小标宋简体"/>
        </w:rPr>
        <w:t>移支付</w:t>
      </w:r>
      <w:r>
        <w:rPr>
          <w:rStyle w:val="6"/>
          <w:rFonts w:hint="eastAsia" w:ascii="方正小标宋简体" w:hAnsi="方正小标宋简体" w:eastAsia="方正小标宋简体" w:cs="方正小标宋简体"/>
        </w:rPr>
        <w:t>补</w:t>
      </w:r>
      <w:r>
        <w:rPr>
          <w:rStyle w:val="5"/>
          <w:rFonts w:hint="eastAsia" w:ascii="方正小标宋简体" w:hAnsi="方正小标宋简体" w:eastAsia="方正小标宋简体" w:cs="方正小标宋简体"/>
        </w:rPr>
        <w:t>助</w:t>
      </w:r>
      <w:r>
        <w:rPr>
          <w:rStyle w:val="6"/>
          <w:rFonts w:hint="eastAsia" w:ascii="方正小标宋简体" w:hAnsi="方正小标宋简体" w:eastAsia="方正小标宋简体" w:cs="方正小标宋简体"/>
        </w:rPr>
        <w:t>预</w:t>
      </w:r>
      <w:r>
        <w:rPr>
          <w:rStyle w:val="5"/>
          <w:rFonts w:hint="eastAsia" w:ascii="方正小标宋简体" w:hAnsi="方正小标宋简体" w:eastAsia="方正小标宋简体" w:cs="方正小标宋简体"/>
        </w:rPr>
        <w:t>算的</w:t>
      </w:r>
      <w:r>
        <w:rPr>
          <w:rStyle w:val="6"/>
          <w:rFonts w:hint="eastAsia" w:ascii="方正小标宋简体" w:hAnsi="方正小标宋简体" w:eastAsia="方正小标宋简体" w:cs="方正小标宋简体"/>
        </w:rPr>
        <w:t>说</w:t>
      </w:r>
      <w:r>
        <w:rPr>
          <w:rStyle w:val="6"/>
          <w:rFonts w:hint="eastAsia" w:ascii="方正小标宋简体" w:hAnsi="方正小标宋简体" w:eastAsia="方正小标宋简体" w:cs="方正小标宋简体"/>
          <w:lang w:eastAsia="zh-CN"/>
        </w:rPr>
        <w:t>明</w:t>
      </w:r>
    </w:p>
    <w:p>
      <w:pPr>
        <w:widowControl/>
        <w:spacing w:line="580" w:lineRule="exact"/>
        <w:ind w:left="105" w:leftChars="50" w:firstLine="480" w:firstLineChars="150"/>
        <w:jc w:val="left"/>
        <w:rPr>
          <w:rStyle w:val="7"/>
          <w:rFonts w:hint="default" w:ascii="Times New Roman" w:hAnsi="Times New Roman" w:cs="Times New Roman"/>
        </w:rPr>
      </w:pPr>
    </w:p>
    <w:p>
      <w:pPr>
        <w:widowControl/>
        <w:spacing w:line="580" w:lineRule="exact"/>
        <w:ind w:left="105" w:leftChars="50"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上级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对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eastAsia="zh-CN"/>
        </w:rPr>
        <w:t>通川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区税收返还和转移支付预算数为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170703</w:t>
      </w:r>
      <w:bookmarkStart w:id="0" w:name="_GoBack"/>
      <w:bookmarkEnd w:id="0"/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具体情况如下：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一、上级补助转移支付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为加快建立权责清晰、财力协调、区域均衡的市区财政关系，进一步提升市对区转移支付制度的规范性、科学性、有效性，按照中、省关于完善转移支付制度相关文件精神，从编制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2021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年市对区转移支付预算起，将市对区转移支付调整完善为一般性转移支付、共同财政事权转移支付和专项转移支付等三大类，为与预算法规定相衔接，暂将共同财政事权转移支付列入一般性转移支付。</w:t>
      </w:r>
    </w:p>
    <w:p>
      <w:pPr>
        <w:widowControl/>
        <w:spacing w:line="580" w:lineRule="exact"/>
        <w:ind w:firstLine="640" w:firstLineChars="200"/>
        <w:jc w:val="both"/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一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一般性转移支付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收入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年一般性转移支付预算数为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159367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万元，主要如下：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1.均衡性转移支付预算数为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72748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2.县级基本财力保障机制奖补资金预算数为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13840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3.结算补助收入预算数11380万元。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4.企业事业单位划转补助收入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317万元。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5.固定数额补助收入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7833万元。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6.革命老区转移支付收入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1922万元。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7.衔接乡村振兴转移支付收入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4000万元。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.教育共同财政事权转移支付收入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8698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社会保障和就业共同财政事权转移支付收入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14880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.医疗卫生共同财政事权转移支付收入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8071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11.节能环保共同财政事权转移支付收入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19万元。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12.农林水共同财政事权转移支付收入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11108万元。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13.交通运输共同财政事权转移支付收入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2056万元。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14.住房保障共同财政事权转移支付收入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1905万元。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其他一般性转移支付收入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590万元。</w:t>
      </w:r>
    </w:p>
    <w:p>
      <w:pPr>
        <w:widowControl/>
        <w:spacing w:line="580" w:lineRule="exact"/>
        <w:ind w:left="105" w:leftChars="50" w:firstLine="640" w:firstLineChars="200"/>
        <w:jc w:val="both"/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二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专项转移支付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年达州市对通川区专项转移支付预算数为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2181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1.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商业服务业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专项补助收入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968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2.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农林水专项补助收入为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1213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返还性收入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上级补助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税收返还预算数为9155万元。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增值税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消费税税收返还预算数为5512万元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2.所得税基数返还预算数为1742万元。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3.成品油税费改革税收返还预算数为708万元。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4.其他税收返还预算数为-3308万元。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5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增值税“五五分”税收返还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eastAsia="zh-CN"/>
        </w:rPr>
        <w:t>预算数为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4501万元。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22931EAC"/>
    <w:rsid w:val="01D743EA"/>
    <w:rsid w:val="03D853B0"/>
    <w:rsid w:val="22931EAC"/>
    <w:rsid w:val="28BB4440"/>
    <w:rsid w:val="31093867"/>
    <w:rsid w:val="4C014A33"/>
    <w:rsid w:val="5D774E64"/>
    <w:rsid w:val="751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21"/>
    <w:basedOn w:val="3"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31"/>
    <w:basedOn w:val="3"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41"/>
    <w:basedOn w:val="3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51"/>
    <w:basedOn w:val="3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2024-03-18T07:10:00Z</dcterms:created>
  <dc:creator>Q</dc:creator>
  <cp:lastModifiedBy>Administrator</cp:lastModifiedBy>
  <dcterms:modified xsi:type="dcterms:W3CDTF">2025-03-31T03:51:13Z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09F05ABEFC954E8C8931A3FC86084BE0</vt:lpwstr>
  </property>
</Properties>
</file>